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0750C4">
      <w:pPr>
        <w:jc w:val="center"/>
        <w:rPr>
          <w:rFonts w:hAnsi="宋体"/>
          <w:color w:val="000000"/>
          <w:szCs w:val="24"/>
        </w:rPr>
      </w:pPr>
    </w:p>
    <w:p w14:paraId="6441BF0A">
      <w:pPr>
        <w:pStyle w:val="41"/>
        <w:tabs>
          <w:tab w:val="right" w:leader="dot" w:pos="8949"/>
        </w:tabs>
        <w:spacing w:line="400" w:lineRule="exact"/>
        <w:ind w:left="0" w:firstLine="686" w:firstLineChars="200"/>
        <w:jc w:val="center"/>
        <w:rPr>
          <w:rFonts w:ascii="宋体" w:hAnsi="宋体"/>
          <w:sz w:val="24"/>
          <w:szCs w:val="24"/>
        </w:rPr>
      </w:pPr>
      <w:bookmarkStart w:id="0" w:name="_Toc208474731"/>
      <w:bookmarkStart w:id="1" w:name="_Toc205882484"/>
      <w:bookmarkStart w:id="2" w:name="_Toc208474650"/>
      <w:r>
        <w:rPr>
          <w:rFonts w:hint="eastAsia" w:ascii="黑体" w:hAnsi="黑体" w:eastAsia="黑体"/>
          <w:color w:val="000000"/>
          <w:sz w:val="32"/>
          <w:szCs w:val="32"/>
        </w:rPr>
        <w:t>目   录</w:t>
      </w:r>
      <w:bookmarkEnd w:id="0"/>
      <w:bookmarkEnd w:id="1"/>
      <w:bookmarkEnd w:id="2"/>
      <w:r>
        <w:rPr>
          <w:rFonts w:ascii="宋体" w:hAnsi="宋体"/>
          <w:bCs/>
          <w:caps/>
          <w:smallCaps w:val="0"/>
          <w:color w:val="000000"/>
          <w:sz w:val="24"/>
          <w:szCs w:val="24"/>
        </w:rPr>
        <w:fldChar w:fldCharType="begin"/>
      </w:r>
      <w:r>
        <w:rPr>
          <w:rFonts w:ascii="宋体" w:hAnsi="宋体"/>
          <w:bCs/>
          <w:caps/>
          <w:smallCaps w:val="0"/>
          <w:color w:val="000000"/>
          <w:sz w:val="24"/>
          <w:szCs w:val="24"/>
        </w:rPr>
        <w:instrText xml:space="preserve"> TOC \o "1-2" \h \z \u </w:instrText>
      </w:r>
      <w:r>
        <w:rPr>
          <w:rFonts w:ascii="宋体" w:hAnsi="宋体"/>
          <w:bCs/>
          <w:caps/>
          <w:smallCaps w:val="0"/>
          <w:color w:val="000000"/>
          <w:sz w:val="24"/>
          <w:szCs w:val="24"/>
        </w:rPr>
        <w:fldChar w:fldCharType="separate"/>
      </w:r>
    </w:p>
    <w:p w14:paraId="377FDBD4">
      <w:pPr>
        <w:pStyle w:val="32"/>
        <w:tabs>
          <w:tab w:val="right" w:leader="dot" w:pos="8949"/>
        </w:tabs>
        <w:spacing w:before="0" w:after="0" w:line="380" w:lineRule="exact"/>
        <w:ind w:firstLine="446" w:firstLineChars="200"/>
        <w:rPr>
          <w:rFonts w:ascii="宋体" w:hAnsi="宋体"/>
          <w:b w:val="0"/>
          <w:bCs w:val="0"/>
          <w:caps w:val="0"/>
          <w:spacing w:val="0"/>
          <w:sz w:val="24"/>
          <w:szCs w:val="24"/>
        </w:rPr>
      </w:pPr>
      <w:r>
        <w:fldChar w:fldCharType="begin"/>
      </w:r>
      <w:r>
        <w:instrText xml:space="preserve"> HYPERLINK \l "_Toc230178768" </w:instrText>
      </w:r>
      <w:r>
        <w:fldChar w:fldCharType="separate"/>
      </w:r>
      <w:r>
        <w:rPr>
          <w:rStyle w:val="55"/>
          <w:rFonts w:ascii="黑体" w:hAnsi="黑体"/>
          <w:b w:val="0"/>
        </w:rPr>
        <w:t xml:space="preserve">1 </w:t>
      </w:r>
      <w:r>
        <w:rPr>
          <w:rStyle w:val="55"/>
          <w:rFonts w:hint="eastAsia" w:ascii="黑体" w:hAnsi="黑体"/>
          <w:b w:val="0"/>
          <w:lang w:val="zh-CN"/>
        </w:rPr>
        <w:t>概述</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_Toc230178768 \h </w:instrText>
      </w:r>
      <w:r>
        <w:rPr>
          <w:rFonts w:ascii="宋体" w:hAnsi="宋体"/>
          <w:b w:val="0"/>
          <w:sz w:val="24"/>
          <w:szCs w:val="24"/>
        </w:rPr>
        <w:fldChar w:fldCharType="separate"/>
      </w:r>
      <w:r>
        <w:rPr>
          <w:rFonts w:ascii="宋体" w:hAnsi="宋体"/>
          <w:b w:val="0"/>
          <w:sz w:val="24"/>
          <w:szCs w:val="24"/>
        </w:rPr>
        <w:t>1</w:t>
      </w:r>
      <w:r>
        <w:rPr>
          <w:rFonts w:ascii="宋体" w:hAnsi="宋体"/>
          <w:b w:val="0"/>
          <w:sz w:val="24"/>
          <w:szCs w:val="24"/>
        </w:rPr>
        <w:fldChar w:fldCharType="end"/>
      </w:r>
      <w:r>
        <w:rPr>
          <w:rFonts w:ascii="宋体" w:hAnsi="宋体"/>
          <w:b w:val="0"/>
          <w:sz w:val="24"/>
          <w:szCs w:val="24"/>
        </w:rPr>
        <w:fldChar w:fldCharType="end"/>
      </w:r>
    </w:p>
    <w:p w14:paraId="2F1392AC">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"_Toc230178769" </w:instrText>
      </w:r>
      <w:r>
        <w:fldChar w:fldCharType="separate"/>
      </w:r>
      <w:r>
        <w:rPr>
          <w:rStyle w:val="55"/>
          <w:rFonts w:ascii="宋体" w:hAnsi="宋体" w:eastAsia="宋体" w:cs="黑体"/>
          <w:lang w:bidi="ar"/>
        </w:rPr>
        <w:t xml:space="preserve">1.1 </w:t>
      </w:r>
      <w:r>
        <w:rPr>
          <w:rStyle w:val="55"/>
          <w:rFonts w:hint="eastAsia" w:ascii="宋体" w:hAnsi="宋体" w:eastAsia="宋体" w:cs="黑体"/>
          <w:lang w:bidi="ar"/>
        </w:rPr>
        <w:t>建设项目特点</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_Toc230178769 \h </w:instrText>
      </w:r>
      <w:r>
        <w:rPr>
          <w:rFonts w:ascii="宋体" w:hAnsi="宋体"/>
          <w:sz w:val="24"/>
          <w:szCs w:val="24"/>
        </w:rPr>
        <w:fldChar w:fldCharType="separate"/>
      </w:r>
      <w:r>
        <w:rPr>
          <w:rFonts w:ascii="宋体" w:hAnsi="宋体"/>
          <w:sz w:val="24"/>
          <w:szCs w:val="24"/>
        </w:rPr>
        <w:t>1</w:t>
      </w:r>
      <w:r>
        <w:rPr>
          <w:rFonts w:ascii="宋体" w:hAnsi="宋体"/>
          <w:sz w:val="24"/>
          <w:szCs w:val="24"/>
        </w:rPr>
        <w:fldChar w:fldCharType="end"/>
      </w:r>
      <w:r>
        <w:rPr>
          <w:rFonts w:ascii="宋体" w:hAnsi="宋体"/>
          <w:sz w:val="24"/>
          <w:szCs w:val="24"/>
        </w:rPr>
        <w:fldChar w:fldCharType="end"/>
      </w:r>
    </w:p>
    <w:p w14:paraId="7F9475A5">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"_Toc230178770" </w:instrText>
      </w:r>
      <w:r>
        <w:fldChar w:fldCharType="separate"/>
      </w:r>
      <w:r>
        <w:rPr>
          <w:rStyle w:val="55"/>
          <w:rFonts w:ascii="宋体" w:hAnsi="宋体" w:eastAsia="宋体" w:cs="黑体"/>
          <w:lang w:bidi="ar"/>
        </w:rPr>
        <w:t xml:space="preserve">1.2 </w:t>
      </w:r>
      <w:r>
        <w:rPr>
          <w:rStyle w:val="55"/>
          <w:rFonts w:hint="eastAsia" w:ascii="宋体" w:hAnsi="宋体" w:eastAsia="宋体" w:cs="黑体"/>
          <w:lang w:bidi="ar"/>
        </w:rPr>
        <w:t>环境影响评价工作过程</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_Toc230178770 \h </w:instrText>
      </w:r>
      <w:r>
        <w:rPr>
          <w:rFonts w:ascii="宋体" w:hAnsi="宋体"/>
          <w:sz w:val="24"/>
          <w:szCs w:val="24"/>
        </w:rPr>
        <w:fldChar w:fldCharType="separate"/>
      </w:r>
      <w:r>
        <w:rPr>
          <w:rFonts w:ascii="宋体" w:hAnsi="宋体"/>
          <w:sz w:val="24"/>
          <w:szCs w:val="24"/>
        </w:rPr>
        <w:t>1</w:t>
      </w:r>
      <w:r>
        <w:rPr>
          <w:rFonts w:ascii="宋体" w:hAnsi="宋体"/>
          <w:sz w:val="24"/>
          <w:szCs w:val="24"/>
        </w:rPr>
        <w:fldChar w:fldCharType="end"/>
      </w:r>
      <w:r>
        <w:rPr>
          <w:rFonts w:ascii="宋体" w:hAnsi="宋体"/>
          <w:sz w:val="24"/>
          <w:szCs w:val="24"/>
        </w:rPr>
        <w:fldChar w:fldCharType="end"/>
      </w:r>
    </w:p>
    <w:p w14:paraId="70596EF1">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"_Toc230178771" </w:instrText>
      </w:r>
      <w:r>
        <w:fldChar w:fldCharType="separate"/>
      </w:r>
      <w:r>
        <w:rPr>
          <w:rStyle w:val="55"/>
          <w:rFonts w:ascii="宋体" w:hAnsi="宋体" w:eastAsia="宋体" w:cs="黑体"/>
          <w:lang w:bidi="ar"/>
        </w:rPr>
        <w:t xml:space="preserve">1.3 </w:t>
      </w:r>
      <w:r>
        <w:rPr>
          <w:rStyle w:val="55"/>
          <w:rFonts w:hint="eastAsia" w:ascii="宋体" w:hAnsi="宋体" w:eastAsia="宋体" w:cs="黑体"/>
          <w:lang w:bidi="ar"/>
        </w:rPr>
        <w:t>分析判定相关情况</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_Toc230178771 \h </w:instrText>
      </w:r>
      <w:r>
        <w:rPr>
          <w:rFonts w:ascii="宋体" w:hAnsi="宋体"/>
          <w:sz w:val="24"/>
          <w:szCs w:val="24"/>
        </w:rPr>
        <w:fldChar w:fldCharType="separate"/>
      </w:r>
      <w:r>
        <w:rPr>
          <w:rFonts w:ascii="宋体" w:hAnsi="宋体"/>
          <w:sz w:val="24"/>
          <w:szCs w:val="24"/>
        </w:rPr>
        <w:t>2</w:t>
      </w:r>
      <w:r>
        <w:rPr>
          <w:rFonts w:ascii="宋体" w:hAnsi="宋体"/>
          <w:sz w:val="24"/>
          <w:szCs w:val="24"/>
        </w:rPr>
        <w:fldChar w:fldCharType="end"/>
      </w:r>
      <w:r>
        <w:rPr>
          <w:rFonts w:ascii="宋体" w:hAnsi="宋体"/>
          <w:sz w:val="24"/>
          <w:szCs w:val="24"/>
        </w:rPr>
        <w:fldChar w:fldCharType="end"/>
      </w:r>
    </w:p>
    <w:p w14:paraId="39BB9A2C">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"_Toc230178772" </w:instrText>
      </w:r>
      <w:r>
        <w:fldChar w:fldCharType="separate"/>
      </w:r>
      <w:r>
        <w:rPr>
          <w:rStyle w:val="55"/>
          <w:rFonts w:ascii="宋体" w:hAnsi="宋体" w:eastAsia="宋体" w:cs="黑体"/>
          <w:lang w:bidi="ar"/>
        </w:rPr>
        <w:t xml:space="preserve">1.4 </w:t>
      </w:r>
      <w:r>
        <w:rPr>
          <w:rStyle w:val="55"/>
          <w:rFonts w:hint="eastAsia" w:ascii="宋体" w:hAnsi="宋体" w:eastAsia="宋体" w:cs="黑体"/>
          <w:lang w:bidi="ar"/>
        </w:rPr>
        <w:t>关注的主要环境问题及环境影响</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_Toc230178772 \h </w:instrText>
      </w:r>
      <w:r>
        <w:rPr>
          <w:rFonts w:ascii="宋体" w:hAnsi="宋体"/>
          <w:sz w:val="24"/>
          <w:szCs w:val="24"/>
        </w:rPr>
        <w:fldChar w:fldCharType="separate"/>
      </w:r>
      <w:r>
        <w:rPr>
          <w:rFonts w:ascii="宋体" w:hAnsi="宋体"/>
          <w:sz w:val="24"/>
          <w:szCs w:val="24"/>
        </w:rPr>
        <w:t>3</w:t>
      </w:r>
      <w:r>
        <w:rPr>
          <w:rFonts w:ascii="宋体" w:hAnsi="宋体"/>
          <w:sz w:val="24"/>
          <w:szCs w:val="24"/>
        </w:rPr>
        <w:fldChar w:fldCharType="end"/>
      </w:r>
      <w:r>
        <w:rPr>
          <w:rFonts w:ascii="宋体" w:hAnsi="宋体"/>
          <w:sz w:val="24"/>
          <w:szCs w:val="24"/>
        </w:rPr>
        <w:fldChar w:fldCharType="end"/>
      </w:r>
    </w:p>
    <w:p w14:paraId="28C108F5">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"_Toc230178773" </w:instrText>
      </w:r>
      <w:r>
        <w:fldChar w:fldCharType="separate"/>
      </w:r>
      <w:r>
        <w:rPr>
          <w:rStyle w:val="55"/>
          <w:rFonts w:ascii="宋体" w:hAnsi="宋体" w:eastAsia="宋体" w:cs="黑体"/>
          <w:lang w:bidi="ar"/>
        </w:rPr>
        <w:t xml:space="preserve">1.5 </w:t>
      </w:r>
      <w:r>
        <w:rPr>
          <w:rStyle w:val="55"/>
          <w:rFonts w:hint="eastAsia" w:ascii="宋体" w:hAnsi="宋体" w:eastAsia="宋体" w:cs="黑体"/>
          <w:lang w:bidi="ar"/>
        </w:rPr>
        <w:t>环境影响评价的主要结论</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_Toc230178773 \h </w:instrText>
      </w:r>
      <w:r>
        <w:rPr>
          <w:rFonts w:ascii="宋体" w:hAnsi="宋体"/>
          <w:sz w:val="24"/>
          <w:szCs w:val="24"/>
        </w:rPr>
        <w:fldChar w:fldCharType="separate"/>
      </w:r>
      <w:r>
        <w:rPr>
          <w:rFonts w:ascii="宋体" w:hAnsi="宋体"/>
          <w:sz w:val="24"/>
          <w:szCs w:val="24"/>
        </w:rPr>
        <w:t>4</w:t>
      </w:r>
      <w:r>
        <w:rPr>
          <w:rFonts w:ascii="宋体" w:hAnsi="宋体"/>
          <w:sz w:val="24"/>
          <w:szCs w:val="24"/>
        </w:rPr>
        <w:fldChar w:fldCharType="end"/>
      </w:r>
      <w:r>
        <w:rPr>
          <w:rFonts w:ascii="宋体" w:hAnsi="宋体"/>
          <w:sz w:val="24"/>
          <w:szCs w:val="24"/>
        </w:rPr>
        <w:fldChar w:fldCharType="end"/>
      </w:r>
    </w:p>
    <w:p w14:paraId="55D2F8BF">
      <w:pPr>
        <w:pStyle w:val="32"/>
        <w:tabs>
          <w:tab w:val="right" w:leader="dot" w:pos="8949"/>
        </w:tabs>
        <w:spacing w:before="0" w:after="0" w:line="380" w:lineRule="exact"/>
        <w:ind w:firstLine="446" w:firstLineChars="200"/>
        <w:rPr>
          <w:rFonts w:ascii="宋体" w:hAnsi="宋体"/>
          <w:b w:val="0"/>
          <w:bCs w:val="0"/>
          <w:caps w:val="0"/>
          <w:spacing w:val="0"/>
          <w:sz w:val="24"/>
          <w:szCs w:val="24"/>
        </w:rPr>
      </w:pPr>
      <w:r>
        <w:fldChar w:fldCharType="begin"/>
      </w:r>
      <w:r>
        <w:instrText xml:space="preserve"> HYPERLINK \l "_Toc230178774" </w:instrText>
      </w:r>
      <w:r>
        <w:fldChar w:fldCharType="separate"/>
      </w:r>
      <w:r>
        <w:rPr>
          <w:rStyle w:val="55"/>
          <w:rFonts w:ascii="黑体" w:hAnsi="黑体"/>
          <w:b w:val="0"/>
        </w:rPr>
        <w:t xml:space="preserve">2 </w:t>
      </w:r>
      <w:r>
        <w:rPr>
          <w:rStyle w:val="55"/>
          <w:rFonts w:hint="eastAsia" w:ascii="黑体" w:hAnsi="黑体"/>
          <w:b w:val="0"/>
        </w:rPr>
        <w:t>总则</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_Toc230178774 \h </w:instrText>
      </w:r>
      <w:r>
        <w:rPr>
          <w:rFonts w:ascii="宋体" w:hAnsi="宋体"/>
          <w:b w:val="0"/>
          <w:sz w:val="24"/>
          <w:szCs w:val="24"/>
        </w:rPr>
        <w:fldChar w:fldCharType="separate"/>
      </w:r>
      <w:r>
        <w:rPr>
          <w:rFonts w:ascii="宋体" w:hAnsi="宋体"/>
          <w:b w:val="0"/>
          <w:sz w:val="24"/>
          <w:szCs w:val="24"/>
        </w:rPr>
        <w:t>5</w:t>
      </w:r>
      <w:r>
        <w:rPr>
          <w:rFonts w:ascii="宋体" w:hAnsi="宋体"/>
          <w:b w:val="0"/>
          <w:sz w:val="24"/>
          <w:szCs w:val="24"/>
        </w:rPr>
        <w:fldChar w:fldCharType="end"/>
      </w:r>
      <w:r>
        <w:rPr>
          <w:rFonts w:ascii="宋体" w:hAnsi="宋体"/>
          <w:b w:val="0"/>
          <w:sz w:val="24"/>
          <w:szCs w:val="24"/>
        </w:rPr>
        <w:fldChar w:fldCharType="end"/>
      </w:r>
    </w:p>
    <w:p w14:paraId="20108226">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"_Toc230178775" </w:instrText>
      </w:r>
      <w:r>
        <w:fldChar w:fldCharType="separate"/>
      </w:r>
      <w:r>
        <w:rPr>
          <w:rStyle w:val="55"/>
          <w:rFonts w:ascii="宋体" w:hAnsi="宋体" w:eastAsia="宋体" w:cs="黑体"/>
          <w:lang w:bidi="ar"/>
        </w:rPr>
        <w:t xml:space="preserve">2.1 </w:t>
      </w:r>
      <w:r>
        <w:rPr>
          <w:rStyle w:val="55"/>
          <w:rFonts w:hint="eastAsia" w:ascii="宋体" w:hAnsi="宋体" w:eastAsia="宋体" w:cs="黑体"/>
          <w:lang w:bidi="ar"/>
        </w:rPr>
        <w:t>编制依据</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_Toc230178775 \h </w:instrText>
      </w:r>
      <w:r>
        <w:rPr>
          <w:rFonts w:ascii="宋体" w:hAnsi="宋体"/>
          <w:sz w:val="24"/>
          <w:szCs w:val="24"/>
        </w:rPr>
        <w:fldChar w:fldCharType="separate"/>
      </w:r>
      <w:r>
        <w:rPr>
          <w:rFonts w:ascii="宋体" w:hAnsi="宋体"/>
          <w:sz w:val="24"/>
          <w:szCs w:val="24"/>
        </w:rPr>
        <w:t>5</w:t>
      </w:r>
      <w:r>
        <w:rPr>
          <w:rFonts w:ascii="宋体" w:hAnsi="宋体"/>
          <w:sz w:val="24"/>
          <w:szCs w:val="24"/>
        </w:rPr>
        <w:fldChar w:fldCharType="end"/>
      </w:r>
      <w:r>
        <w:rPr>
          <w:rFonts w:ascii="宋体" w:hAnsi="宋体"/>
          <w:sz w:val="24"/>
          <w:szCs w:val="24"/>
        </w:rPr>
        <w:fldChar w:fldCharType="end"/>
      </w:r>
    </w:p>
    <w:p w14:paraId="53F0BB74">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"_Toc230178776" </w:instrText>
      </w:r>
      <w:r>
        <w:fldChar w:fldCharType="separate"/>
      </w:r>
      <w:r>
        <w:rPr>
          <w:rStyle w:val="55"/>
          <w:rFonts w:ascii="宋体" w:hAnsi="宋体" w:eastAsia="宋体" w:cs="黑体"/>
          <w:lang w:bidi="ar"/>
        </w:rPr>
        <w:t xml:space="preserve">2.2 </w:t>
      </w:r>
      <w:r>
        <w:rPr>
          <w:rStyle w:val="55"/>
          <w:rFonts w:hint="eastAsia" w:ascii="宋体" w:hAnsi="宋体" w:eastAsia="宋体" w:cs="黑体"/>
          <w:lang w:bidi="ar"/>
        </w:rPr>
        <w:t>评价目的和评价原则</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_Toc230178776 \h </w:instrText>
      </w:r>
      <w:r>
        <w:rPr>
          <w:rFonts w:ascii="宋体" w:hAnsi="宋体"/>
          <w:sz w:val="24"/>
          <w:szCs w:val="24"/>
        </w:rPr>
        <w:fldChar w:fldCharType="separate"/>
      </w:r>
      <w:r>
        <w:rPr>
          <w:rFonts w:ascii="宋体" w:hAnsi="宋体"/>
          <w:sz w:val="24"/>
          <w:szCs w:val="24"/>
        </w:rPr>
        <w:t>12</w:t>
      </w:r>
      <w:r>
        <w:rPr>
          <w:rFonts w:ascii="宋体" w:hAnsi="宋体"/>
          <w:sz w:val="24"/>
          <w:szCs w:val="24"/>
        </w:rPr>
        <w:fldChar w:fldCharType="end"/>
      </w:r>
      <w:r>
        <w:rPr>
          <w:rFonts w:ascii="宋体" w:hAnsi="宋体"/>
          <w:sz w:val="24"/>
          <w:szCs w:val="24"/>
        </w:rPr>
        <w:fldChar w:fldCharType="end"/>
      </w:r>
    </w:p>
    <w:p w14:paraId="695A7522">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"_Toc230178777" </w:instrText>
      </w:r>
      <w:r>
        <w:fldChar w:fldCharType="separate"/>
      </w:r>
      <w:r>
        <w:rPr>
          <w:rStyle w:val="55"/>
          <w:rFonts w:ascii="宋体" w:hAnsi="宋体" w:eastAsia="宋体" w:cs="黑体"/>
          <w:lang w:bidi="ar"/>
        </w:rPr>
        <w:t xml:space="preserve">2.3 </w:t>
      </w:r>
      <w:r>
        <w:rPr>
          <w:rStyle w:val="55"/>
          <w:rFonts w:hint="eastAsia" w:ascii="宋体" w:hAnsi="宋体" w:eastAsia="宋体" w:cs="黑体"/>
          <w:lang w:bidi="ar"/>
        </w:rPr>
        <w:t>环境影响因素和评价因子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_Toc230178777 \h </w:instrText>
      </w:r>
      <w:r>
        <w:rPr>
          <w:rFonts w:ascii="宋体" w:hAnsi="宋体"/>
          <w:sz w:val="24"/>
          <w:szCs w:val="24"/>
        </w:rPr>
        <w:fldChar w:fldCharType="separate"/>
      </w:r>
      <w:r>
        <w:rPr>
          <w:rFonts w:ascii="宋体" w:hAnsi="宋体"/>
          <w:sz w:val="24"/>
          <w:szCs w:val="24"/>
        </w:rPr>
        <w:t>13</w:t>
      </w:r>
      <w:r>
        <w:rPr>
          <w:rFonts w:ascii="宋体" w:hAnsi="宋体"/>
          <w:sz w:val="24"/>
          <w:szCs w:val="24"/>
        </w:rPr>
        <w:fldChar w:fldCharType="end"/>
      </w:r>
      <w:r>
        <w:rPr>
          <w:rFonts w:ascii="宋体" w:hAnsi="宋体"/>
          <w:sz w:val="24"/>
          <w:szCs w:val="24"/>
        </w:rPr>
        <w:fldChar w:fldCharType="end"/>
      </w:r>
    </w:p>
    <w:p w14:paraId="171988CE">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"_Toc230178778" </w:instrText>
      </w:r>
      <w:r>
        <w:fldChar w:fldCharType="separate"/>
      </w:r>
      <w:r>
        <w:rPr>
          <w:rStyle w:val="55"/>
          <w:rFonts w:ascii="宋体" w:hAnsi="宋体" w:eastAsia="宋体" w:cs="黑体"/>
          <w:lang w:bidi="ar"/>
        </w:rPr>
        <w:t xml:space="preserve">2.4 </w:t>
      </w:r>
      <w:r>
        <w:rPr>
          <w:rStyle w:val="55"/>
          <w:rFonts w:hint="eastAsia" w:ascii="宋体" w:hAnsi="宋体" w:eastAsia="宋体" w:cs="黑体"/>
          <w:lang w:bidi="ar"/>
        </w:rPr>
        <w:t>环境功能区划及评价标准</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_Toc230178778 \h </w:instrText>
      </w:r>
      <w:r>
        <w:rPr>
          <w:rFonts w:ascii="宋体" w:hAnsi="宋体"/>
          <w:sz w:val="24"/>
          <w:szCs w:val="24"/>
        </w:rPr>
        <w:fldChar w:fldCharType="separate"/>
      </w:r>
      <w:r>
        <w:rPr>
          <w:rFonts w:ascii="宋体" w:hAnsi="宋体"/>
          <w:sz w:val="24"/>
          <w:szCs w:val="24"/>
        </w:rPr>
        <w:t>15</w:t>
      </w:r>
      <w:r>
        <w:rPr>
          <w:rFonts w:ascii="宋体" w:hAnsi="宋体"/>
          <w:sz w:val="24"/>
          <w:szCs w:val="24"/>
        </w:rPr>
        <w:fldChar w:fldCharType="end"/>
      </w:r>
      <w:r>
        <w:rPr>
          <w:rFonts w:ascii="宋体" w:hAnsi="宋体"/>
          <w:sz w:val="24"/>
          <w:szCs w:val="24"/>
        </w:rPr>
        <w:fldChar w:fldCharType="end"/>
      </w:r>
    </w:p>
    <w:p w14:paraId="26EB8908">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"_Toc230178779" </w:instrText>
      </w:r>
      <w:r>
        <w:fldChar w:fldCharType="separate"/>
      </w:r>
      <w:r>
        <w:rPr>
          <w:rStyle w:val="55"/>
          <w:rFonts w:ascii="宋体" w:hAnsi="宋体" w:eastAsia="宋体" w:cs="黑体"/>
          <w:lang w:bidi="ar"/>
        </w:rPr>
        <w:t xml:space="preserve">2.5 </w:t>
      </w:r>
      <w:r>
        <w:rPr>
          <w:rStyle w:val="55"/>
          <w:rFonts w:hint="eastAsia" w:ascii="宋体" w:hAnsi="宋体" w:eastAsia="宋体" w:cs="黑体"/>
          <w:lang w:bidi="ar"/>
        </w:rPr>
        <w:t>评价工作等级和评价范围</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_Toc230178779 \h </w:instrText>
      </w:r>
      <w:r>
        <w:rPr>
          <w:rFonts w:ascii="宋体" w:hAnsi="宋体"/>
          <w:sz w:val="24"/>
          <w:szCs w:val="24"/>
        </w:rPr>
        <w:fldChar w:fldCharType="separate"/>
      </w:r>
      <w:r>
        <w:rPr>
          <w:rFonts w:ascii="宋体" w:hAnsi="宋体"/>
          <w:sz w:val="24"/>
          <w:szCs w:val="24"/>
        </w:rPr>
        <w:t>19</w:t>
      </w:r>
      <w:r>
        <w:rPr>
          <w:rFonts w:ascii="宋体" w:hAnsi="宋体"/>
          <w:sz w:val="24"/>
          <w:szCs w:val="24"/>
        </w:rPr>
        <w:fldChar w:fldCharType="end"/>
      </w:r>
      <w:r>
        <w:rPr>
          <w:rFonts w:ascii="宋体" w:hAnsi="宋体"/>
          <w:sz w:val="24"/>
          <w:szCs w:val="24"/>
        </w:rPr>
        <w:fldChar w:fldCharType="end"/>
      </w:r>
    </w:p>
    <w:p w14:paraId="14D4FE06">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"_Toc230178780" </w:instrText>
      </w:r>
      <w:r>
        <w:fldChar w:fldCharType="separate"/>
      </w:r>
      <w:r>
        <w:rPr>
          <w:rStyle w:val="55"/>
          <w:rFonts w:ascii="宋体" w:hAnsi="宋体" w:eastAsia="宋体" w:cs="黑体"/>
          <w:lang w:bidi="ar"/>
        </w:rPr>
        <w:t xml:space="preserve">2.6 </w:t>
      </w:r>
      <w:r>
        <w:rPr>
          <w:rStyle w:val="55"/>
          <w:rFonts w:hint="eastAsia" w:ascii="宋体" w:hAnsi="宋体" w:eastAsia="宋体" w:cs="黑体"/>
          <w:lang w:bidi="ar"/>
        </w:rPr>
        <w:t>环境保护目标</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_Toc230178780 \h </w:instrText>
      </w:r>
      <w:r>
        <w:rPr>
          <w:rFonts w:ascii="宋体" w:hAnsi="宋体"/>
          <w:sz w:val="24"/>
          <w:szCs w:val="24"/>
        </w:rPr>
        <w:fldChar w:fldCharType="separate"/>
      </w:r>
      <w:r>
        <w:rPr>
          <w:rFonts w:ascii="宋体" w:hAnsi="宋体"/>
          <w:sz w:val="24"/>
          <w:szCs w:val="24"/>
        </w:rPr>
        <w:t>25</w:t>
      </w:r>
      <w:r>
        <w:rPr>
          <w:rFonts w:ascii="宋体" w:hAnsi="宋体"/>
          <w:sz w:val="24"/>
          <w:szCs w:val="24"/>
        </w:rPr>
        <w:fldChar w:fldCharType="end"/>
      </w:r>
      <w:r>
        <w:rPr>
          <w:rFonts w:ascii="宋体" w:hAnsi="宋体"/>
          <w:sz w:val="24"/>
          <w:szCs w:val="24"/>
        </w:rPr>
        <w:fldChar w:fldCharType="end"/>
      </w:r>
    </w:p>
    <w:p w14:paraId="5A2B1898">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"_Toc230178781" </w:instrText>
      </w:r>
      <w:r>
        <w:fldChar w:fldCharType="separate"/>
      </w:r>
      <w:r>
        <w:rPr>
          <w:rStyle w:val="55"/>
          <w:rFonts w:ascii="宋体" w:hAnsi="宋体" w:eastAsia="宋体" w:cs="黑体"/>
          <w:lang w:bidi="ar"/>
        </w:rPr>
        <w:t xml:space="preserve">2.7 </w:t>
      </w:r>
      <w:r>
        <w:rPr>
          <w:rStyle w:val="55"/>
          <w:rFonts w:hint="eastAsia" w:ascii="宋体" w:hAnsi="宋体" w:eastAsia="宋体" w:cs="黑体"/>
          <w:lang w:bidi="ar"/>
        </w:rPr>
        <w:t>评价内容和评价重点</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_Toc230178781 \h </w:instrText>
      </w:r>
      <w:r>
        <w:rPr>
          <w:rFonts w:ascii="宋体" w:hAnsi="宋体"/>
          <w:sz w:val="24"/>
          <w:szCs w:val="24"/>
        </w:rPr>
        <w:fldChar w:fldCharType="separate"/>
      </w:r>
      <w:r>
        <w:rPr>
          <w:rFonts w:ascii="宋体" w:hAnsi="宋体"/>
          <w:sz w:val="24"/>
          <w:szCs w:val="24"/>
        </w:rPr>
        <w:t>26</w:t>
      </w:r>
      <w:r>
        <w:rPr>
          <w:rFonts w:ascii="宋体" w:hAnsi="宋体"/>
          <w:sz w:val="24"/>
          <w:szCs w:val="24"/>
        </w:rPr>
        <w:fldChar w:fldCharType="end"/>
      </w:r>
      <w:r>
        <w:rPr>
          <w:rFonts w:ascii="宋体" w:hAnsi="宋体"/>
          <w:sz w:val="24"/>
          <w:szCs w:val="24"/>
        </w:rPr>
        <w:fldChar w:fldCharType="end"/>
      </w:r>
    </w:p>
    <w:p w14:paraId="0E8EB799">
      <w:pPr>
        <w:pStyle w:val="41"/>
        <w:tabs>
          <w:tab w:val="right" w:leader="dot" w:pos="8949"/>
        </w:tabs>
        <w:spacing w:line="380" w:lineRule="exact"/>
        <w:ind w:left="0" w:firstLine="446" w:firstLineChars="200"/>
        <w:rPr>
          <w:rFonts w:ascii="宋体" w:hAnsi="宋体"/>
          <w:smallCaps w:val="0"/>
          <w:spacing w:val="0"/>
          <w:sz w:val="24"/>
          <w:szCs w:val="24"/>
        </w:rPr>
      </w:pPr>
      <w:r>
        <w:fldChar w:fldCharType="begin"/>
      </w:r>
      <w:r>
        <w:instrText xml:space="preserve"> HYPERLINK \l "_Toc230178782" </w:instrText>
      </w:r>
      <w:r>
        <w:fldChar w:fldCharType="separate"/>
      </w:r>
      <w:r>
        <w:rPr>
          <w:rStyle w:val="55"/>
          <w:rFonts w:ascii="宋体" w:hAnsi="宋体" w:eastAsia="宋体" w:cs="黑体"/>
          <w:lang w:bidi="ar"/>
        </w:rPr>
        <w:t xml:space="preserve">2.8 </w:t>
      </w:r>
      <w:r>
        <w:rPr>
          <w:rStyle w:val="55"/>
          <w:rFonts w:hint="eastAsia" w:ascii="宋体" w:hAnsi="宋体" w:eastAsia="宋体" w:cs="黑体"/>
          <w:lang w:bidi="ar"/>
        </w:rPr>
        <w:t>评价时段和评价方法</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_Toc230178782 \h </w:instrText>
      </w:r>
      <w:r>
        <w:rPr>
          <w:rFonts w:ascii="宋体" w:hAnsi="宋体"/>
          <w:sz w:val="24"/>
          <w:szCs w:val="24"/>
        </w:rPr>
        <w:fldChar w:fldCharType="separate"/>
      </w:r>
      <w:r>
        <w:rPr>
          <w:rFonts w:ascii="宋体" w:hAnsi="宋体"/>
          <w:sz w:val="24"/>
          <w:szCs w:val="24"/>
        </w:rPr>
        <w:t>27</w:t>
      </w:r>
      <w:r>
        <w:rPr>
          <w:rFonts w:ascii="宋体" w:hAnsi="宋体"/>
          <w:sz w:val="24"/>
          <w:szCs w:val="24"/>
        </w:rPr>
        <w:fldChar w:fldCharType="end"/>
      </w:r>
      <w:r>
        <w:rPr>
          <w:rFonts w:ascii="宋体" w:hAnsi="宋体"/>
          <w:sz w:val="24"/>
          <w:szCs w:val="24"/>
        </w:rPr>
        <w:fldChar w:fldCharType="end"/>
      </w:r>
    </w:p>
    <w:p w14:paraId="10A30A37">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"_Toc230178783" </w:instrText>
      </w:r>
      <w:r>
        <w:fldChar w:fldCharType="separate"/>
      </w:r>
      <w:r>
        <w:rPr>
          <w:rStyle w:val="55"/>
          <w:rFonts w:ascii="黑体" w:hAnsi="黑体"/>
          <w:b w:val="0"/>
        </w:rPr>
        <w:t xml:space="preserve">3 </w:t>
      </w:r>
      <w:r>
        <w:rPr>
          <w:rStyle w:val="55"/>
          <w:rFonts w:hint="eastAsia" w:ascii="黑体" w:hAnsi="黑体"/>
          <w:b w:val="0"/>
        </w:rPr>
        <w:t>建设项目工程概况和工程分析</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_Toc230178783 \h </w:instrText>
      </w:r>
      <w:r>
        <w:rPr>
          <w:rFonts w:ascii="宋体" w:hAnsi="宋体"/>
          <w:b w:val="0"/>
          <w:sz w:val="24"/>
          <w:szCs w:val="24"/>
        </w:rPr>
        <w:fldChar w:fldCharType="separate"/>
      </w:r>
      <w:r>
        <w:rPr>
          <w:rFonts w:ascii="宋体" w:hAnsi="宋体"/>
          <w:b w:val="0"/>
          <w:sz w:val="24"/>
          <w:szCs w:val="24"/>
        </w:rPr>
        <w:t>28</w:t>
      </w:r>
      <w:r>
        <w:rPr>
          <w:rFonts w:ascii="宋体" w:hAnsi="宋体"/>
          <w:b w:val="0"/>
          <w:sz w:val="24"/>
          <w:szCs w:val="24"/>
        </w:rPr>
        <w:fldChar w:fldCharType="end"/>
      </w:r>
      <w:r>
        <w:rPr>
          <w:rFonts w:ascii="宋体" w:hAnsi="宋体"/>
          <w:b w:val="0"/>
          <w:sz w:val="24"/>
          <w:szCs w:val="24"/>
        </w:rPr>
        <w:fldChar w:fldCharType="end"/>
      </w:r>
    </w:p>
    <w:p w14:paraId="7BAF75A3">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"_Toc230178784" </w:instrText>
      </w:r>
      <w:r>
        <w:fldChar w:fldCharType="separate"/>
      </w:r>
      <w:r>
        <w:rPr>
          <w:rStyle w:val="55"/>
          <w:rFonts w:ascii="宋体" w:hAnsi="宋体" w:eastAsia="宋体" w:cs="黑体"/>
          <w:lang w:bidi="ar"/>
        </w:rPr>
        <w:t xml:space="preserve">3.1 </w:t>
      </w:r>
      <w:r>
        <w:rPr>
          <w:rStyle w:val="55"/>
          <w:rFonts w:hint="eastAsia" w:ascii="宋体" w:hAnsi="宋体" w:eastAsia="宋体" w:cs="黑体"/>
          <w:lang w:bidi="ar"/>
        </w:rPr>
        <w:t>塔中Ⅰ号气田Ⅲ区开发现状及环境影响回顾</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_Toc230178784 \h </w:instrText>
      </w:r>
      <w:r>
        <w:rPr>
          <w:rFonts w:ascii="宋体" w:hAnsi="宋体"/>
          <w:sz w:val="24"/>
          <w:szCs w:val="24"/>
        </w:rPr>
        <w:fldChar w:fldCharType="separate"/>
      </w:r>
      <w:r>
        <w:rPr>
          <w:rFonts w:ascii="宋体" w:hAnsi="宋体"/>
          <w:sz w:val="24"/>
          <w:szCs w:val="24"/>
        </w:rPr>
        <w:t>28</w:t>
      </w:r>
      <w:r>
        <w:rPr>
          <w:rFonts w:ascii="宋体" w:hAnsi="宋体"/>
          <w:sz w:val="24"/>
          <w:szCs w:val="24"/>
        </w:rPr>
        <w:fldChar w:fldCharType="end"/>
      </w:r>
      <w:r>
        <w:rPr>
          <w:rFonts w:ascii="宋体" w:hAnsi="宋体"/>
          <w:sz w:val="24"/>
          <w:szCs w:val="24"/>
        </w:rPr>
        <w:fldChar w:fldCharType="end"/>
      </w:r>
    </w:p>
    <w:p w14:paraId="287C5A3A">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"_Toc230178785" </w:instrText>
      </w:r>
      <w:r>
        <w:fldChar w:fldCharType="separate"/>
      </w:r>
      <w:r>
        <w:rPr>
          <w:rStyle w:val="55"/>
          <w:rFonts w:ascii="宋体" w:hAnsi="宋体" w:eastAsia="宋体" w:cs="宋体"/>
        </w:rPr>
        <w:t xml:space="preserve">3.2 </w:t>
      </w:r>
      <w:r>
        <w:rPr>
          <w:rStyle w:val="55"/>
          <w:rFonts w:hint="eastAsia" w:ascii="宋体" w:hAnsi="宋体" w:eastAsia="宋体" w:cs="宋体"/>
        </w:rPr>
        <w:t>现有工程</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_Toc230178785 \h </w:instrText>
      </w:r>
      <w:r>
        <w:rPr>
          <w:rFonts w:ascii="宋体" w:hAnsi="宋体"/>
          <w:sz w:val="24"/>
          <w:szCs w:val="24"/>
        </w:rPr>
        <w:fldChar w:fldCharType="separate"/>
      </w:r>
      <w:r>
        <w:rPr>
          <w:rFonts w:ascii="宋体" w:hAnsi="宋体"/>
          <w:sz w:val="24"/>
          <w:szCs w:val="24"/>
        </w:rPr>
        <w:t>39</w:t>
      </w:r>
      <w:r>
        <w:rPr>
          <w:rFonts w:ascii="宋体" w:hAnsi="宋体"/>
          <w:sz w:val="24"/>
          <w:szCs w:val="24"/>
        </w:rPr>
        <w:fldChar w:fldCharType="end"/>
      </w:r>
      <w:r>
        <w:rPr>
          <w:rFonts w:ascii="宋体" w:hAnsi="宋体"/>
          <w:sz w:val="24"/>
          <w:szCs w:val="24"/>
        </w:rPr>
        <w:fldChar w:fldCharType="end"/>
      </w:r>
    </w:p>
    <w:p w14:paraId="11E0DE7A">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"_Toc230178786" </w:instrText>
      </w:r>
      <w:r>
        <w:fldChar w:fldCharType="separate"/>
      </w:r>
      <w:r>
        <w:rPr>
          <w:rStyle w:val="55"/>
          <w:rFonts w:ascii="宋体" w:hAnsi="宋体" w:eastAsia="宋体" w:cs="黑体"/>
          <w:lang w:bidi="ar"/>
        </w:rPr>
        <w:t xml:space="preserve">3.3 </w:t>
      </w:r>
      <w:r>
        <w:rPr>
          <w:rStyle w:val="55"/>
          <w:rFonts w:hint="eastAsia" w:ascii="宋体" w:hAnsi="宋体" w:eastAsia="宋体" w:cs="黑体"/>
          <w:lang w:bidi="ar"/>
        </w:rPr>
        <w:t>拟建工程</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_Toc230178786 \h </w:instrText>
      </w:r>
      <w:r>
        <w:rPr>
          <w:rFonts w:ascii="宋体" w:hAnsi="宋体"/>
          <w:sz w:val="24"/>
          <w:szCs w:val="24"/>
        </w:rPr>
        <w:fldChar w:fldCharType="separate"/>
      </w:r>
      <w:r>
        <w:rPr>
          <w:rFonts w:ascii="宋体" w:hAnsi="宋体"/>
          <w:sz w:val="24"/>
          <w:szCs w:val="24"/>
        </w:rPr>
        <w:t>41</w:t>
      </w:r>
      <w:r>
        <w:rPr>
          <w:rFonts w:ascii="宋体" w:hAnsi="宋体"/>
          <w:sz w:val="24"/>
          <w:szCs w:val="24"/>
        </w:rPr>
        <w:fldChar w:fldCharType="end"/>
      </w:r>
      <w:r>
        <w:rPr>
          <w:rFonts w:ascii="宋体" w:hAnsi="宋体"/>
          <w:sz w:val="24"/>
          <w:szCs w:val="24"/>
        </w:rPr>
        <w:fldChar w:fldCharType="end"/>
      </w:r>
    </w:p>
    <w:p w14:paraId="6C75D80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"_Toc230178787" </w:instrText>
      </w:r>
      <w:r>
        <w:fldChar w:fldCharType="separate"/>
      </w:r>
      <w:r>
        <w:rPr>
          <w:rStyle w:val="55"/>
          <w:rFonts w:ascii="宋体" w:hAnsi="宋体" w:eastAsia="宋体" w:cs="黑体"/>
          <w:lang w:bidi="ar"/>
        </w:rPr>
        <w:t xml:space="preserve">3.4 </w:t>
      </w:r>
      <w:r>
        <w:rPr>
          <w:rStyle w:val="55"/>
          <w:rFonts w:hint="eastAsia" w:ascii="宋体" w:hAnsi="宋体" w:eastAsia="宋体" w:cs="黑体"/>
          <w:lang w:bidi="ar"/>
        </w:rPr>
        <w:t>工程分析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_Toc230178787 \h </w:instrText>
      </w:r>
      <w:r>
        <w:rPr>
          <w:rFonts w:ascii="宋体" w:hAnsi="宋体"/>
          <w:sz w:val="24"/>
          <w:szCs w:val="24"/>
        </w:rPr>
        <w:fldChar w:fldCharType="separate"/>
      </w:r>
      <w:r>
        <w:rPr>
          <w:rFonts w:ascii="宋体" w:hAnsi="宋体"/>
          <w:sz w:val="24"/>
          <w:szCs w:val="24"/>
        </w:rPr>
        <w:t>46</w:t>
      </w:r>
      <w:r>
        <w:rPr>
          <w:rFonts w:ascii="宋体" w:hAnsi="宋体"/>
          <w:sz w:val="24"/>
          <w:szCs w:val="24"/>
        </w:rPr>
        <w:fldChar w:fldCharType="end"/>
      </w:r>
      <w:r>
        <w:rPr>
          <w:rFonts w:ascii="宋体" w:hAnsi="宋体"/>
          <w:sz w:val="24"/>
          <w:szCs w:val="24"/>
        </w:rPr>
        <w:fldChar w:fldCharType="end"/>
      </w:r>
    </w:p>
    <w:p w14:paraId="53DFA29D">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"_Toc230178788" </w:instrText>
      </w:r>
      <w:r>
        <w:fldChar w:fldCharType="separate"/>
      </w:r>
      <w:r>
        <w:rPr>
          <w:rStyle w:val="55"/>
          <w:rFonts w:ascii="宋体" w:hAnsi="宋体" w:eastAsia="宋体" w:cs="黑体"/>
          <w:lang w:bidi="ar"/>
        </w:rPr>
        <w:t xml:space="preserve">3.5 </w:t>
      </w:r>
      <w:r>
        <w:rPr>
          <w:rStyle w:val="55"/>
          <w:rFonts w:hint="eastAsia" w:ascii="宋体" w:hAnsi="宋体" w:eastAsia="宋体" w:cs="黑体"/>
          <w:lang w:bidi="ar"/>
        </w:rPr>
        <w:t>相关政策法规、规划符合性分析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_Toc230178788 \h </w:instrText>
      </w:r>
      <w:r>
        <w:rPr>
          <w:rFonts w:ascii="宋体" w:hAnsi="宋体"/>
          <w:sz w:val="24"/>
          <w:szCs w:val="24"/>
        </w:rPr>
        <w:fldChar w:fldCharType="separate"/>
      </w:r>
      <w:r>
        <w:rPr>
          <w:rFonts w:ascii="宋体" w:hAnsi="宋体"/>
          <w:sz w:val="24"/>
          <w:szCs w:val="24"/>
        </w:rPr>
        <w:t>58</w:t>
      </w:r>
      <w:r>
        <w:rPr>
          <w:rFonts w:ascii="宋体" w:hAnsi="宋体"/>
          <w:sz w:val="24"/>
          <w:szCs w:val="24"/>
        </w:rPr>
        <w:fldChar w:fldCharType="end"/>
      </w:r>
      <w:r>
        <w:rPr>
          <w:rFonts w:ascii="宋体" w:hAnsi="宋体"/>
          <w:sz w:val="24"/>
          <w:szCs w:val="24"/>
        </w:rPr>
        <w:fldChar w:fldCharType="end"/>
      </w:r>
    </w:p>
    <w:p w14:paraId="576C663D">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"_Toc230178789" </w:instrText>
      </w:r>
      <w:r>
        <w:fldChar w:fldCharType="separate"/>
      </w:r>
      <w:r>
        <w:rPr>
          <w:rStyle w:val="55"/>
          <w:rFonts w:ascii="宋体" w:hAnsi="宋体" w:eastAsia="宋体" w:cs="黑体"/>
          <w:lang w:bidi="ar"/>
        </w:rPr>
        <w:t xml:space="preserve">3.6 </w:t>
      </w:r>
      <w:r>
        <w:rPr>
          <w:rStyle w:val="55"/>
          <w:rFonts w:hint="eastAsia" w:ascii="宋体" w:hAnsi="宋体" w:eastAsia="宋体" w:cs="黑体"/>
          <w:lang w:bidi="ar"/>
        </w:rPr>
        <w:t>选址选线合理性分析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_Toc230178789 \h </w:instrText>
      </w:r>
      <w:r>
        <w:rPr>
          <w:rFonts w:ascii="宋体" w:hAnsi="宋体"/>
          <w:sz w:val="24"/>
          <w:szCs w:val="24"/>
        </w:rPr>
        <w:fldChar w:fldCharType="separate"/>
      </w:r>
      <w:r>
        <w:rPr>
          <w:rFonts w:ascii="宋体" w:hAnsi="宋体"/>
          <w:sz w:val="24"/>
          <w:szCs w:val="24"/>
        </w:rPr>
        <w:t>95</w:t>
      </w:r>
      <w:r>
        <w:rPr>
          <w:rFonts w:ascii="宋体" w:hAnsi="宋体"/>
          <w:sz w:val="24"/>
          <w:szCs w:val="24"/>
        </w:rPr>
        <w:fldChar w:fldCharType="end"/>
      </w:r>
      <w:r>
        <w:rPr>
          <w:rFonts w:ascii="宋体" w:hAnsi="宋体"/>
          <w:sz w:val="24"/>
          <w:szCs w:val="24"/>
        </w:rPr>
        <w:fldChar w:fldCharType="end"/>
      </w:r>
    </w:p>
    <w:p w14:paraId="44426BFB">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"_Toc230178790" </w:instrText>
      </w:r>
      <w:r>
        <w:fldChar w:fldCharType="separate"/>
      </w:r>
      <w:r>
        <w:rPr>
          <w:rStyle w:val="55"/>
          <w:rFonts w:ascii="黑体" w:hAnsi="黑体"/>
          <w:b w:val="0"/>
        </w:rPr>
        <w:t xml:space="preserve">4 </w:t>
      </w:r>
      <w:r>
        <w:rPr>
          <w:rStyle w:val="55"/>
          <w:rFonts w:hint="eastAsia" w:ascii="黑体" w:hAnsi="黑体"/>
          <w:b w:val="0"/>
        </w:rPr>
        <w:t>环境现状调查与评价</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_Toc230178790 \h </w:instrText>
      </w:r>
      <w:r>
        <w:rPr>
          <w:rFonts w:ascii="宋体" w:hAnsi="宋体"/>
          <w:b w:val="0"/>
          <w:sz w:val="24"/>
          <w:szCs w:val="24"/>
        </w:rPr>
        <w:fldChar w:fldCharType="separate"/>
      </w:r>
      <w:r>
        <w:rPr>
          <w:rFonts w:ascii="宋体" w:hAnsi="宋体"/>
          <w:b w:val="0"/>
          <w:sz w:val="24"/>
          <w:szCs w:val="24"/>
        </w:rPr>
        <w:t>97</w:t>
      </w:r>
      <w:r>
        <w:rPr>
          <w:rFonts w:ascii="宋体" w:hAnsi="宋体"/>
          <w:b w:val="0"/>
          <w:sz w:val="24"/>
          <w:szCs w:val="24"/>
        </w:rPr>
        <w:fldChar w:fldCharType="end"/>
      </w:r>
      <w:r>
        <w:rPr>
          <w:rFonts w:ascii="宋体" w:hAnsi="宋体"/>
          <w:b w:val="0"/>
          <w:sz w:val="24"/>
          <w:szCs w:val="24"/>
        </w:rPr>
        <w:fldChar w:fldCharType="end"/>
      </w:r>
    </w:p>
    <w:p w14:paraId="0C1812E1">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"_Toc230178791" </w:instrText>
      </w:r>
      <w:r>
        <w:fldChar w:fldCharType="separate"/>
      </w:r>
      <w:r>
        <w:rPr>
          <w:rStyle w:val="55"/>
          <w:rFonts w:ascii="宋体" w:hAnsi="宋体" w:eastAsia="宋体" w:cs="黑体"/>
          <w:lang w:bidi="ar"/>
        </w:rPr>
        <w:t xml:space="preserve">4.1 </w:t>
      </w:r>
      <w:r>
        <w:rPr>
          <w:rStyle w:val="55"/>
          <w:rFonts w:hint="eastAsia" w:ascii="宋体" w:hAnsi="宋体" w:eastAsia="宋体" w:cs="黑体"/>
          <w:lang w:bidi="ar"/>
        </w:rPr>
        <w:t>自然环境概况</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_Toc230178791 \h </w:instrText>
      </w:r>
      <w:r>
        <w:rPr>
          <w:rFonts w:ascii="宋体" w:hAnsi="宋体"/>
          <w:sz w:val="24"/>
          <w:szCs w:val="24"/>
        </w:rPr>
        <w:fldChar w:fldCharType="separate"/>
      </w:r>
      <w:r>
        <w:rPr>
          <w:rFonts w:ascii="宋体" w:hAnsi="宋体"/>
          <w:sz w:val="24"/>
          <w:szCs w:val="24"/>
        </w:rPr>
        <w:t>97</w:t>
      </w:r>
      <w:r>
        <w:rPr>
          <w:rFonts w:ascii="宋体" w:hAnsi="宋体"/>
          <w:sz w:val="24"/>
          <w:szCs w:val="24"/>
        </w:rPr>
        <w:fldChar w:fldCharType="end"/>
      </w:r>
      <w:r>
        <w:rPr>
          <w:rFonts w:ascii="宋体" w:hAnsi="宋体"/>
          <w:sz w:val="24"/>
          <w:szCs w:val="24"/>
        </w:rPr>
        <w:fldChar w:fldCharType="end"/>
      </w:r>
    </w:p>
    <w:p w14:paraId="3A39DA65">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"_Toc230178792" </w:instrText>
      </w:r>
      <w:r>
        <w:fldChar w:fldCharType="separate"/>
      </w:r>
      <w:r>
        <w:rPr>
          <w:rStyle w:val="55"/>
          <w:rFonts w:ascii="宋体" w:hAnsi="宋体" w:eastAsia="宋体" w:cs="黑体"/>
          <w:lang w:bidi="ar"/>
        </w:rPr>
        <w:t xml:space="preserve">4.2 </w:t>
      </w:r>
      <w:r>
        <w:rPr>
          <w:rStyle w:val="55"/>
          <w:rFonts w:hint="eastAsia" w:ascii="宋体" w:hAnsi="宋体" w:eastAsia="宋体" w:cs="黑体"/>
          <w:lang w:bidi="ar"/>
        </w:rPr>
        <w:t>生态现状调查与评价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_Toc230178792 \h </w:instrText>
      </w:r>
      <w:r>
        <w:rPr>
          <w:rFonts w:ascii="宋体" w:hAnsi="宋体"/>
          <w:sz w:val="24"/>
          <w:szCs w:val="24"/>
        </w:rPr>
        <w:fldChar w:fldCharType="separate"/>
      </w:r>
      <w:r>
        <w:rPr>
          <w:rFonts w:ascii="宋体" w:hAnsi="宋体"/>
          <w:sz w:val="24"/>
          <w:szCs w:val="24"/>
        </w:rPr>
        <w:t>99</w:t>
      </w:r>
      <w:r>
        <w:rPr>
          <w:rFonts w:ascii="宋体" w:hAnsi="宋体"/>
          <w:sz w:val="24"/>
          <w:szCs w:val="24"/>
        </w:rPr>
        <w:fldChar w:fldCharType="end"/>
      </w:r>
      <w:r>
        <w:rPr>
          <w:rFonts w:ascii="宋体" w:hAnsi="宋体"/>
          <w:sz w:val="24"/>
          <w:szCs w:val="24"/>
        </w:rPr>
        <w:fldChar w:fldCharType="end"/>
      </w:r>
    </w:p>
    <w:p w14:paraId="165EE90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"_Toc230178793" </w:instrText>
      </w:r>
      <w:r>
        <w:fldChar w:fldCharType="separate"/>
      </w:r>
      <w:r>
        <w:rPr>
          <w:rStyle w:val="55"/>
          <w:rFonts w:ascii="宋体" w:hAnsi="宋体" w:eastAsia="宋体" w:cs="黑体"/>
          <w:lang w:bidi="ar"/>
        </w:rPr>
        <w:t xml:space="preserve">4.3 </w:t>
      </w:r>
      <w:r>
        <w:rPr>
          <w:rStyle w:val="55"/>
          <w:rFonts w:hint="eastAsia" w:ascii="宋体" w:hAnsi="宋体" w:eastAsia="宋体" w:cs="黑体"/>
          <w:lang w:bidi="ar"/>
        </w:rPr>
        <w:t>地下水环境现状调查与评价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_Toc230178793 \h </w:instrText>
      </w:r>
      <w:r>
        <w:rPr>
          <w:rFonts w:ascii="宋体" w:hAnsi="宋体"/>
          <w:sz w:val="24"/>
          <w:szCs w:val="24"/>
        </w:rPr>
        <w:fldChar w:fldCharType="separate"/>
      </w:r>
      <w:r>
        <w:rPr>
          <w:rFonts w:ascii="宋体" w:hAnsi="宋体"/>
          <w:sz w:val="24"/>
          <w:szCs w:val="24"/>
        </w:rPr>
        <w:t>105</w:t>
      </w:r>
      <w:r>
        <w:rPr>
          <w:rFonts w:ascii="宋体" w:hAnsi="宋体"/>
          <w:sz w:val="24"/>
          <w:szCs w:val="24"/>
        </w:rPr>
        <w:fldChar w:fldCharType="end"/>
      </w:r>
      <w:r>
        <w:rPr>
          <w:rFonts w:ascii="宋体" w:hAnsi="宋体"/>
          <w:sz w:val="24"/>
          <w:szCs w:val="24"/>
        </w:rPr>
        <w:fldChar w:fldCharType="end"/>
      </w:r>
    </w:p>
    <w:p w14:paraId="221CC24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"_Toc230178794" </w:instrText>
      </w:r>
      <w:r>
        <w:fldChar w:fldCharType="separate"/>
      </w:r>
      <w:r>
        <w:rPr>
          <w:rStyle w:val="55"/>
          <w:rFonts w:ascii="宋体" w:hAnsi="宋体" w:eastAsia="宋体" w:cs="黑体"/>
          <w:lang w:bidi="ar"/>
        </w:rPr>
        <w:t xml:space="preserve">4.4 </w:t>
      </w:r>
      <w:r>
        <w:rPr>
          <w:rStyle w:val="55"/>
          <w:rFonts w:hint="eastAsia" w:ascii="宋体" w:hAnsi="宋体" w:eastAsia="宋体" w:cs="黑体"/>
          <w:lang w:bidi="ar"/>
        </w:rPr>
        <w:t>地表水环境现状调查与评价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_Toc230178794 \h </w:instrText>
      </w:r>
      <w:r>
        <w:rPr>
          <w:rFonts w:ascii="宋体" w:hAnsi="宋体"/>
          <w:sz w:val="24"/>
          <w:szCs w:val="24"/>
        </w:rPr>
        <w:fldChar w:fldCharType="separate"/>
      </w:r>
      <w:r>
        <w:rPr>
          <w:rFonts w:ascii="宋体" w:hAnsi="宋体"/>
          <w:sz w:val="24"/>
          <w:szCs w:val="24"/>
        </w:rPr>
        <w:t>114</w:t>
      </w:r>
      <w:r>
        <w:rPr>
          <w:rFonts w:ascii="宋体" w:hAnsi="宋体"/>
          <w:sz w:val="24"/>
          <w:szCs w:val="24"/>
        </w:rPr>
        <w:fldChar w:fldCharType="end"/>
      </w:r>
      <w:r>
        <w:rPr>
          <w:rFonts w:ascii="宋体" w:hAnsi="宋体"/>
          <w:sz w:val="24"/>
          <w:szCs w:val="24"/>
        </w:rPr>
        <w:fldChar w:fldCharType="end"/>
      </w:r>
    </w:p>
    <w:p w14:paraId="228CD0C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"_Toc230178795" </w:instrText>
      </w:r>
      <w:r>
        <w:fldChar w:fldCharType="separate"/>
      </w:r>
      <w:r>
        <w:rPr>
          <w:rStyle w:val="55"/>
          <w:rFonts w:ascii="宋体" w:hAnsi="宋体" w:eastAsia="宋体" w:cs="黑体"/>
          <w:lang w:bidi="ar"/>
        </w:rPr>
        <w:t xml:space="preserve">4.5 </w:t>
      </w:r>
      <w:r>
        <w:rPr>
          <w:rStyle w:val="55"/>
          <w:rFonts w:hint="eastAsia" w:ascii="宋体" w:hAnsi="宋体" w:eastAsia="宋体" w:cs="黑体"/>
          <w:lang w:bidi="ar"/>
        </w:rPr>
        <w:t>土壤环境现状调查与评价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_Toc230178795 \h </w:instrText>
      </w:r>
      <w:r>
        <w:rPr>
          <w:rFonts w:ascii="宋体" w:hAnsi="宋体"/>
          <w:sz w:val="24"/>
          <w:szCs w:val="24"/>
        </w:rPr>
        <w:fldChar w:fldCharType="separate"/>
      </w:r>
      <w:r>
        <w:rPr>
          <w:rFonts w:ascii="宋体" w:hAnsi="宋体"/>
          <w:sz w:val="24"/>
          <w:szCs w:val="24"/>
        </w:rPr>
        <w:t>114</w:t>
      </w:r>
      <w:r>
        <w:rPr>
          <w:rFonts w:ascii="宋体" w:hAnsi="宋体"/>
          <w:sz w:val="24"/>
          <w:szCs w:val="24"/>
        </w:rPr>
        <w:fldChar w:fldCharType="end"/>
      </w:r>
      <w:r>
        <w:rPr>
          <w:rFonts w:ascii="宋体" w:hAnsi="宋体"/>
          <w:sz w:val="24"/>
          <w:szCs w:val="24"/>
        </w:rPr>
        <w:fldChar w:fldCharType="end"/>
      </w:r>
    </w:p>
    <w:p w14:paraId="54342B1A">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"_Toc230178796" </w:instrText>
      </w:r>
      <w:r>
        <w:fldChar w:fldCharType="separate"/>
      </w:r>
      <w:r>
        <w:rPr>
          <w:rStyle w:val="55"/>
          <w:rFonts w:ascii="宋体" w:hAnsi="宋体" w:eastAsia="宋体" w:cs="黑体"/>
          <w:lang w:bidi="ar"/>
        </w:rPr>
        <w:t xml:space="preserve">4.6 </w:t>
      </w:r>
      <w:r>
        <w:rPr>
          <w:rStyle w:val="55"/>
          <w:rFonts w:hint="eastAsia" w:ascii="宋体" w:hAnsi="宋体" w:eastAsia="宋体" w:cs="黑体"/>
          <w:lang w:bidi="ar"/>
        </w:rPr>
        <w:t>大气环境现状调查与评价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_Toc230178796 \h </w:instrText>
      </w:r>
      <w:r>
        <w:rPr>
          <w:rFonts w:ascii="宋体" w:hAnsi="宋体"/>
          <w:sz w:val="24"/>
          <w:szCs w:val="24"/>
        </w:rPr>
        <w:fldChar w:fldCharType="separate"/>
      </w:r>
      <w:r>
        <w:rPr>
          <w:rFonts w:ascii="宋体" w:hAnsi="宋体"/>
          <w:sz w:val="24"/>
          <w:szCs w:val="24"/>
        </w:rPr>
        <w:t>121</w:t>
      </w:r>
      <w:r>
        <w:rPr>
          <w:rFonts w:ascii="宋体" w:hAnsi="宋体"/>
          <w:sz w:val="24"/>
          <w:szCs w:val="24"/>
        </w:rPr>
        <w:fldChar w:fldCharType="end"/>
      </w:r>
      <w:r>
        <w:rPr>
          <w:rFonts w:ascii="宋体" w:hAnsi="宋体"/>
          <w:sz w:val="24"/>
          <w:szCs w:val="24"/>
        </w:rPr>
        <w:fldChar w:fldCharType="end"/>
      </w:r>
    </w:p>
    <w:p w14:paraId="2EAE3186">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"_Toc230178797" </w:instrText>
      </w:r>
      <w:r>
        <w:fldChar w:fldCharType="separate"/>
      </w:r>
      <w:r>
        <w:rPr>
          <w:rStyle w:val="55"/>
          <w:rFonts w:ascii="宋体" w:hAnsi="宋体" w:eastAsia="宋体" w:cs="黑体"/>
          <w:lang w:val="zh-CN"/>
        </w:rPr>
        <w:t xml:space="preserve">4.7 </w:t>
      </w:r>
      <w:r>
        <w:rPr>
          <w:rStyle w:val="55"/>
          <w:rFonts w:hint="eastAsia" w:ascii="宋体" w:hAnsi="宋体" w:eastAsia="宋体" w:cs="黑体"/>
          <w:lang w:val="zh-CN"/>
        </w:rPr>
        <w:t>声环境现状监测与评价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_Toc230178797 \h </w:instrText>
      </w:r>
      <w:r>
        <w:rPr>
          <w:rFonts w:ascii="宋体" w:hAnsi="宋体"/>
          <w:sz w:val="24"/>
          <w:szCs w:val="24"/>
        </w:rPr>
        <w:fldChar w:fldCharType="separate"/>
      </w:r>
      <w:r>
        <w:rPr>
          <w:rFonts w:ascii="宋体" w:hAnsi="宋体"/>
          <w:sz w:val="24"/>
          <w:szCs w:val="24"/>
        </w:rPr>
        <w:t>122</w:t>
      </w:r>
      <w:r>
        <w:rPr>
          <w:rFonts w:ascii="宋体" w:hAnsi="宋体"/>
          <w:sz w:val="24"/>
          <w:szCs w:val="24"/>
        </w:rPr>
        <w:fldChar w:fldCharType="end"/>
      </w:r>
      <w:r>
        <w:rPr>
          <w:rFonts w:ascii="宋体" w:hAnsi="宋体"/>
          <w:sz w:val="24"/>
          <w:szCs w:val="24"/>
        </w:rPr>
        <w:fldChar w:fldCharType="end"/>
      </w:r>
    </w:p>
    <w:p w14:paraId="391407DE">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"_Toc230178798" </w:instrText>
      </w:r>
      <w:r>
        <w:fldChar w:fldCharType="separate"/>
      </w:r>
      <w:r>
        <w:rPr>
          <w:rStyle w:val="55"/>
          <w:rFonts w:ascii="黑体" w:hAnsi="黑体"/>
          <w:b w:val="0"/>
        </w:rPr>
        <w:t xml:space="preserve">5 </w:t>
      </w:r>
      <w:r>
        <w:rPr>
          <w:rStyle w:val="55"/>
          <w:rFonts w:hint="eastAsia" w:ascii="黑体" w:hAnsi="黑体"/>
          <w:b w:val="0"/>
        </w:rPr>
        <w:t>环境影响预测与评价</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_Toc230178798 \h </w:instrText>
      </w:r>
      <w:r>
        <w:rPr>
          <w:rFonts w:ascii="宋体" w:hAnsi="宋体"/>
          <w:b w:val="0"/>
          <w:sz w:val="24"/>
          <w:szCs w:val="24"/>
        </w:rPr>
        <w:fldChar w:fldCharType="separate"/>
      </w:r>
      <w:r>
        <w:rPr>
          <w:rFonts w:ascii="宋体" w:hAnsi="宋体"/>
          <w:b w:val="0"/>
          <w:sz w:val="24"/>
          <w:szCs w:val="24"/>
        </w:rPr>
        <w:t>123</w:t>
      </w:r>
      <w:r>
        <w:rPr>
          <w:rFonts w:ascii="宋体" w:hAnsi="宋体"/>
          <w:b w:val="0"/>
          <w:sz w:val="24"/>
          <w:szCs w:val="24"/>
        </w:rPr>
        <w:fldChar w:fldCharType="end"/>
      </w:r>
      <w:r>
        <w:rPr>
          <w:rFonts w:ascii="宋体" w:hAnsi="宋体"/>
          <w:b w:val="0"/>
          <w:sz w:val="24"/>
          <w:szCs w:val="24"/>
        </w:rPr>
        <w:fldChar w:fldCharType="end"/>
      </w:r>
    </w:p>
    <w:p w14:paraId="4E50446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"_Toc230178799" </w:instrText>
      </w:r>
      <w:r>
        <w:fldChar w:fldCharType="separate"/>
      </w:r>
      <w:r>
        <w:rPr>
          <w:rStyle w:val="55"/>
          <w:rFonts w:ascii="宋体" w:hAnsi="宋体" w:eastAsia="宋体" w:cs="黑体"/>
          <w:lang w:bidi="ar"/>
        </w:rPr>
        <w:t xml:space="preserve">5.1 </w:t>
      </w:r>
      <w:r>
        <w:rPr>
          <w:rStyle w:val="55"/>
          <w:rFonts w:hint="eastAsia" w:ascii="宋体" w:hAnsi="宋体" w:eastAsia="宋体" w:cs="黑体"/>
          <w:lang w:bidi="ar"/>
        </w:rPr>
        <w:t>生态影响评价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_Toc230178799 \h </w:instrText>
      </w:r>
      <w:r>
        <w:rPr>
          <w:rFonts w:ascii="宋体" w:hAnsi="宋体"/>
          <w:sz w:val="24"/>
          <w:szCs w:val="24"/>
        </w:rPr>
        <w:fldChar w:fldCharType="separate"/>
      </w:r>
      <w:r>
        <w:rPr>
          <w:rFonts w:ascii="宋体" w:hAnsi="宋体"/>
          <w:sz w:val="24"/>
          <w:szCs w:val="24"/>
        </w:rPr>
        <w:t>123</w:t>
      </w:r>
      <w:r>
        <w:rPr>
          <w:rFonts w:ascii="宋体" w:hAnsi="宋体"/>
          <w:sz w:val="24"/>
          <w:szCs w:val="24"/>
        </w:rPr>
        <w:fldChar w:fldCharType="end"/>
      </w:r>
      <w:r>
        <w:rPr>
          <w:rFonts w:ascii="宋体" w:hAnsi="宋体"/>
          <w:sz w:val="24"/>
          <w:szCs w:val="24"/>
        </w:rPr>
        <w:fldChar w:fldCharType="end"/>
      </w:r>
    </w:p>
    <w:p w14:paraId="77EA983E">
      <w:pPr>
        <w:pStyle w:val="41"/>
        <w:tabs>
          <w:tab w:val="right" w:leader="dot" w:pos="8949"/>
        </w:tabs>
        <w:spacing w:line="400" w:lineRule="exact"/>
        <w:ind w:left="0" w:firstLine="506" w:firstLineChars="200"/>
        <w:rPr>
          <w:rStyle w:val="55"/>
          <w:rFonts w:hint="eastAsia" w:ascii="宋体" w:hAnsi="宋体" w:eastAsia="宋体"/>
        </w:rPr>
      </w:pPr>
    </w:p>
    <w:p w14:paraId="70F6715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"_Toc230178800" </w:instrText>
      </w:r>
      <w:r>
        <w:fldChar w:fldCharType="separate"/>
      </w:r>
      <w:r>
        <w:rPr>
          <w:rStyle w:val="55"/>
          <w:rFonts w:ascii="宋体" w:hAnsi="宋体" w:eastAsia="宋体" w:cs="黑体"/>
          <w:lang w:bidi="ar"/>
        </w:rPr>
        <w:t xml:space="preserve">5.2 </w:t>
      </w:r>
      <w:r>
        <w:rPr>
          <w:rStyle w:val="55"/>
          <w:rFonts w:hint="eastAsia" w:ascii="宋体" w:hAnsi="宋体" w:eastAsia="宋体" w:cs="黑体"/>
          <w:lang w:bidi="ar"/>
        </w:rPr>
        <w:t>地下水环境影响评价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_Toc230178800 \h </w:instrText>
      </w:r>
      <w:r>
        <w:rPr>
          <w:rFonts w:ascii="宋体" w:hAnsi="宋体"/>
          <w:sz w:val="24"/>
          <w:szCs w:val="24"/>
        </w:rPr>
        <w:fldChar w:fldCharType="separate"/>
      </w:r>
      <w:r>
        <w:rPr>
          <w:rFonts w:ascii="宋体" w:hAnsi="宋体"/>
          <w:sz w:val="24"/>
          <w:szCs w:val="24"/>
        </w:rPr>
        <w:t>128</w:t>
      </w:r>
      <w:r>
        <w:rPr>
          <w:rFonts w:ascii="宋体" w:hAnsi="宋体"/>
          <w:sz w:val="24"/>
          <w:szCs w:val="24"/>
        </w:rPr>
        <w:fldChar w:fldCharType="end"/>
      </w:r>
      <w:r>
        <w:rPr>
          <w:rFonts w:ascii="宋体" w:hAnsi="宋体"/>
          <w:sz w:val="24"/>
          <w:szCs w:val="24"/>
        </w:rPr>
        <w:fldChar w:fldCharType="end"/>
      </w:r>
    </w:p>
    <w:p w14:paraId="584E928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"_Toc230178801" </w:instrText>
      </w:r>
      <w:r>
        <w:fldChar w:fldCharType="separate"/>
      </w:r>
      <w:r>
        <w:rPr>
          <w:rStyle w:val="55"/>
          <w:rFonts w:ascii="宋体" w:hAnsi="宋体" w:eastAsia="宋体" w:cs="黑体"/>
          <w:lang w:bidi="ar"/>
        </w:rPr>
        <w:t>5.3</w:t>
      </w:r>
      <w:r>
        <w:rPr>
          <w:rStyle w:val="55"/>
          <w:rFonts w:hint="eastAsia" w:ascii="宋体" w:hAnsi="宋体" w:eastAsia="宋体" w:cs="黑体"/>
          <w:lang w:bidi="ar"/>
        </w:rPr>
        <w:t>地表水环境影响评价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_Toc230178801 \h </w:instrText>
      </w:r>
      <w:r>
        <w:rPr>
          <w:rFonts w:ascii="宋体" w:hAnsi="宋体"/>
          <w:sz w:val="24"/>
          <w:szCs w:val="24"/>
        </w:rPr>
        <w:fldChar w:fldCharType="separate"/>
      </w:r>
      <w:r>
        <w:rPr>
          <w:rFonts w:ascii="宋体" w:hAnsi="宋体"/>
          <w:sz w:val="24"/>
          <w:szCs w:val="24"/>
        </w:rPr>
        <w:t>142</w:t>
      </w:r>
      <w:r>
        <w:rPr>
          <w:rFonts w:ascii="宋体" w:hAnsi="宋体"/>
          <w:sz w:val="24"/>
          <w:szCs w:val="24"/>
        </w:rPr>
        <w:fldChar w:fldCharType="end"/>
      </w:r>
      <w:r>
        <w:rPr>
          <w:rFonts w:ascii="宋体" w:hAnsi="宋体"/>
          <w:sz w:val="24"/>
          <w:szCs w:val="24"/>
        </w:rPr>
        <w:fldChar w:fldCharType="end"/>
      </w:r>
    </w:p>
    <w:p w14:paraId="5992BEB1">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"_Toc230178802" </w:instrText>
      </w:r>
      <w:r>
        <w:fldChar w:fldCharType="separate"/>
      </w:r>
      <w:r>
        <w:rPr>
          <w:rStyle w:val="55"/>
          <w:rFonts w:ascii="宋体" w:hAnsi="宋体" w:eastAsia="宋体" w:cs="黑体"/>
          <w:lang w:bidi="ar"/>
        </w:rPr>
        <w:t>5.4</w:t>
      </w:r>
      <w:r>
        <w:rPr>
          <w:rStyle w:val="55"/>
          <w:rFonts w:hint="eastAsia" w:ascii="宋体" w:hAnsi="宋体" w:eastAsia="宋体" w:cs="黑体"/>
          <w:lang w:bidi="ar"/>
        </w:rPr>
        <w:t>土壤环境影响评价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_Toc230178802 \h </w:instrText>
      </w:r>
      <w:r>
        <w:rPr>
          <w:rFonts w:ascii="宋体" w:hAnsi="宋体"/>
          <w:sz w:val="24"/>
          <w:szCs w:val="24"/>
        </w:rPr>
        <w:fldChar w:fldCharType="separate"/>
      </w:r>
      <w:r>
        <w:rPr>
          <w:rFonts w:ascii="宋体" w:hAnsi="宋体"/>
          <w:sz w:val="24"/>
          <w:szCs w:val="24"/>
        </w:rPr>
        <w:t>144</w:t>
      </w:r>
      <w:r>
        <w:rPr>
          <w:rFonts w:ascii="宋体" w:hAnsi="宋体"/>
          <w:sz w:val="24"/>
          <w:szCs w:val="24"/>
        </w:rPr>
        <w:fldChar w:fldCharType="end"/>
      </w:r>
      <w:r>
        <w:rPr>
          <w:rFonts w:ascii="宋体" w:hAnsi="宋体"/>
          <w:sz w:val="24"/>
          <w:szCs w:val="24"/>
        </w:rPr>
        <w:fldChar w:fldCharType="end"/>
      </w:r>
    </w:p>
    <w:p w14:paraId="60C45CF0">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"_Toc230178803" </w:instrText>
      </w:r>
      <w:r>
        <w:fldChar w:fldCharType="separate"/>
      </w:r>
      <w:r>
        <w:rPr>
          <w:rStyle w:val="55"/>
          <w:rFonts w:ascii="宋体" w:hAnsi="宋体" w:eastAsia="宋体" w:cs="黑体"/>
          <w:lang w:bidi="ar"/>
        </w:rPr>
        <w:t xml:space="preserve">5.5 </w:t>
      </w:r>
      <w:r>
        <w:rPr>
          <w:rStyle w:val="55"/>
          <w:rFonts w:hint="eastAsia" w:ascii="宋体" w:hAnsi="宋体" w:eastAsia="宋体" w:cs="黑体"/>
          <w:lang w:bidi="ar"/>
        </w:rPr>
        <w:t>大气环境影响评价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_Toc230178803 \h </w:instrText>
      </w:r>
      <w:r>
        <w:rPr>
          <w:rFonts w:ascii="宋体" w:hAnsi="宋体"/>
          <w:sz w:val="24"/>
          <w:szCs w:val="24"/>
        </w:rPr>
        <w:fldChar w:fldCharType="separate"/>
      </w:r>
      <w:r>
        <w:rPr>
          <w:rFonts w:ascii="宋体" w:hAnsi="宋体"/>
          <w:sz w:val="24"/>
          <w:szCs w:val="24"/>
        </w:rPr>
        <w:t>149</w:t>
      </w:r>
      <w:r>
        <w:rPr>
          <w:rFonts w:ascii="宋体" w:hAnsi="宋体"/>
          <w:sz w:val="24"/>
          <w:szCs w:val="24"/>
        </w:rPr>
        <w:fldChar w:fldCharType="end"/>
      </w:r>
      <w:r>
        <w:rPr>
          <w:rFonts w:ascii="宋体" w:hAnsi="宋体"/>
          <w:sz w:val="24"/>
          <w:szCs w:val="24"/>
        </w:rPr>
        <w:fldChar w:fldCharType="end"/>
      </w:r>
    </w:p>
    <w:p w14:paraId="254B8E4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"_Toc230178804" </w:instrText>
      </w:r>
      <w:r>
        <w:fldChar w:fldCharType="separate"/>
      </w:r>
      <w:r>
        <w:rPr>
          <w:rStyle w:val="55"/>
          <w:rFonts w:ascii="宋体" w:hAnsi="宋体" w:eastAsia="宋体" w:cs="黑体"/>
          <w:lang w:bidi="ar"/>
        </w:rPr>
        <w:t xml:space="preserve">5.6 </w:t>
      </w:r>
      <w:r>
        <w:rPr>
          <w:rStyle w:val="55"/>
          <w:rFonts w:hint="eastAsia" w:ascii="宋体" w:hAnsi="宋体" w:eastAsia="宋体" w:cs="黑体"/>
          <w:lang w:bidi="ar"/>
        </w:rPr>
        <w:t>声环境影响评价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_Toc230178804 \h </w:instrText>
      </w:r>
      <w:r>
        <w:rPr>
          <w:rFonts w:ascii="宋体" w:hAnsi="宋体"/>
          <w:sz w:val="24"/>
          <w:szCs w:val="24"/>
        </w:rPr>
        <w:fldChar w:fldCharType="separate"/>
      </w:r>
      <w:r>
        <w:rPr>
          <w:rFonts w:ascii="宋体" w:hAnsi="宋体"/>
          <w:sz w:val="24"/>
          <w:szCs w:val="24"/>
        </w:rPr>
        <w:t>150</w:t>
      </w:r>
      <w:r>
        <w:rPr>
          <w:rFonts w:ascii="宋体" w:hAnsi="宋体"/>
          <w:sz w:val="24"/>
          <w:szCs w:val="24"/>
        </w:rPr>
        <w:fldChar w:fldCharType="end"/>
      </w:r>
      <w:r>
        <w:rPr>
          <w:rFonts w:ascii="宋体" w:hAnsi="宋体"/>
          <w:sz w:val="24"/>
          <w:szCs w:val="24"/>
        </w:rPr>
        <w:fldChar w:fldCharType="end"/>
      </w:r>
    </w:p>
    <w:p w14:paraId="640CB53C">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"_Toc230178805" </w:instrText>
      </w:r>
      <w:r>
        <w:fldChar w:fldCharType="separate"/>
      </w:r>
      <w:r>
        <w:rPr>
          <w:rStyle w:val="55"/>
          <w:rFonts w:ascii="宋体" w:hAnsi="宋体" w:eastAsia="宋体" w:cs="黑体"/>
          <w:lang w:bidi="ar"/>
        </w:rPr>
        <w:t>5.7</w:t>
      </w:r>
      <w:r>
        <w:rPr>
          <w:rStyle w:val="55"/>
          <w:rFonts w:hint="eastAsia" w:ascii="宋体" w:hAnsi="宋体" w:eastAsia="宋体" w:cs="黑体"/>
          <w:lang w:bidi="ar"/>
        </w:rPr>
        <w:t>固体废物影响分析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_Toc230178805 \h </w:instrText>
      </w:r>
      <w:r>
        <w:rPr>
          <w:rFonts w:ascii="宋体" w:hAnsi="宋体"/>
          <w:sz w:val="24"/>
          <w:szCs w:val="24"/>
        </w:rPr>
        <w:fldChar w:fldCharType="separate"/>
      </w:r>
      <w:r>
        <w:rPr>
          <w:rFonts w:ascii="宋体" w:hAnsi="宋体"/>
          <w:sz w:val="24"/>
          <w:szCs w:val="24"/>
        </w:rPr>
        <w:t>152</w:t>
      </w:r>
      <w:r>
        <w:rPr>
          <w:rFonts w:ascii="宋体" w:hAnsi="宋体"/>
          <w:sz w:val="24"/>
          <w:szCs w:val="24"/>
        </w:rPr>
        <w:fldChar w:fldCharType="end"/>
      </w:r>
      <w:r>
        <w:rPr>
          <w:rFonts w:ascii="宋体" w:hAnsi="宋体"/>
          <w:sz w:val="24"/>
          <w:szCs w:val="24"/>
        </w:rPr>
        <w:fldChar w:fldCharType="end"/>
      </w:r>
    </w:p>
    <w:p w14:paraId="160EFF0B">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"_Toc230178806" </w:instrText>
      </w:r>
      <w:r>
        <w:fldChar w:fldCharType="separate"/>
      </w:r>
      <w:r>
        <w:rPr>
          <w:rStyle w:val="55"/>
          <w:rFonts w:ascii="宋体" w:hAnsi="宋体" w:eastAsia="宋体" w:cs="黑体"/>
          <w:lang w:bidi="ar"/>
        </w:rPr>
        <w:t>5.8</w:t>
      </w:r>
      <w:r>
        <w:rPr>
          <w:rStyle w:val="55"/>
          <w:rFonts w:hint="eastAsia" w:ascii="宋体" w:hAnsi="宋体" w:eastAsia="宋体" w:cs="黑体"/>
          <w:lang w:bidi="ar"/>
        </w:rPr>
        <w:t>环境风险评价</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_Toc230178806 \h </w:instrText>
      </w:r>
      <w:r>
        <w:rPr>
          <w:rFonts w:ascii="宋体" w:hAnsi="宋体"/>
          <w:sz w:val="24"/>
          <w:szCs w:val="24"/>
        </w:rPr>
        <w:fldChar w:fldCharType="separate"/>
      </w:r>
      <w:r>
        <w:rPr>
          <w:rFonts w:ascii="宋体" w:hAnsi="宋体"/>
          <w:sz w:val="24"/>
          <w:szCs w:val="24"/>
        </w:rPr>
        <w:t>153</w:t>
      </w:r>
      <w:r>
        <w:rPr>
          <w:rFonts w:ascii="宋体" w:hAnsi="宋体"/>
          <w:sz w:val="24"/>
          <w:szCs w:val="24"/>
        </w:rPr>
        <w:fldChar w:fldCharType="end"/>
      </w:r>
      <w:r>
        <w:rPr>
          <w:rFonts w:ascii="宋体" w:hAnsi="宋体"/>
          <w:sz w:val="24"/>
          <w:szCs w:val="24"/>
        </w:rPr>
        <w:fldChar w:fldCharType="end"/>
      </w:r>
    </w:p>
    <w:p w14:paraId="14D5F5EF">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"_Toc230178807" </w:instrText>
      </w:r>
      <w:r>
        <w:fldChar w:fldCharType="separate"/>
      </w:r>
      <w:r>
        <w:rPr>
          <w:rStyle w:val="55"/>
          <w:rFonts w:ascii="黑体" w:hAnsi="黑体"/>
          <w:b w:val="0"/>
        </w:rPr>
        <w:t xml:space="preserve">6 </w:t>
      </w:r>
      <w:r>
        <w:rPr>
          <w:rStyle w:val="55"/>
          <w:rFonts w:hint="eastAsia" w:ascii="黑体" w:hAnsi="黑体"/>
          <w:b w:val="0"/>
        </w:rPr>
        <w:t>环境保护措施可行性论证</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_Toc230178807 \h </w:instrText>
      </w:r>
      <w:r>
        <w:rPr>
          <w:rFonts w:ascii="宋体" w:hAnsi="宋体"/>
          <w:b w:val="0"/>
          <w:sz w:val="24"/>
          <w:szCs w:val="24"/>
        </w:rPr>
        <w:fldChar w:fldCharType="separate"/>
      </w:r>
      <w:r>
        <w:rPr>
          <w:rFonts w:ascii="宋体" w:hAnsi="宋体"/>
          <w:b w:val="0"/>
          <w:sz w:val="24"/>
          <w:szCs w:val="24"/>
        </w:rPr>
        <w:t>161</w:t>
      </w:r>
      <w:r>
        <w:rPr>
          <w:rFonts w:ascii="宋体" w:hAnsi="宋体"/>
          <w:b w:val="0"/>
          <w:sz w:val="24"/>
          <w:szCs w:val="24"/>
        </w:rPr>
        <w:fldChar w:fldCharType="end"/>
      </w:r>
      <w:r>
        <w:rPr>
          <w:rFonts w:ascii="宋体" w:hAnsi="宋体"/>
          <w:b w:val="0"/>
          <w:sz w:val="24"/>
          <w:szCs w:val="24"/>
        </w:rPr>
        <w:fldChar w:fldCharType="end"/>
      </w:r>
    </w:p>
    <w:p w14:paraId="309ED9C6">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"_Toc230178808" </w:instrText>
      </w:r>
      <w:r>
        <w:fldChar w:fldCharType="separate"/>
      </w:r>
      <w:r>
        <w:rPr>
          <w:rStyle w:val="55"/>
          <w:rFonts w:ascii="宋体" w:hAnsi="宋体" w:eastAsia="宋体" w:cs="黑体"/>
          <w:lang w:bidi="ar"/>
        </w:rPr>
        <w:t xml:space="preserve">6.1 </w:t>
      </w:r>
      <w:r>
        <w:rPr>
          <w:rStyle w:val="55"/>
          <w:rFonts w:hint="eastAsia" w:ascii="宋体" w:hAnsi="宋体" w:eastAsia="宋体" w:cs="黑体"/>
          <w:lang w:bidi="ar"/>
        </w:rPr>
        <w:t>生态保护措施可行性论证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_Toc230178808 \h </w:instrText>
      </w:r>
      <w:r>
        <w:rPr>
          <w:rFonts w:ascii="宋体" w:hAnsi="宋体"/>
          <w:sz w:val="24"/>
          <w:szCs w:val="24"/>
        </w:rPr>
        <w:fldChar w:fldCharType="separate"/>
      </w:r>
      <w:r>
        <w:rPr>
          <w:rFonts w:ascii="宋体" w:hAnsi="宋体"/>
          <w:sz w:val="24"/>
          <w:szCs w:val="24"/>
        </w:rPr>
        <w:t>161</w:t>
      </w:r>
      <w:r>
        <w:rPr>
          <w:rFonts w:ascii="宋体" w:hAnsi="宋体"/>
          <w:sz w:val="24"/>
          <w:szCs w:val="24"/>
        </w:rPr>
        <w:fldChar w:fldCharType="end"/>
      </w:r>
      <w:r>
        <w:rPr>
          <w:rFonts w:ascii="宋体" w:hAnsi="宋体"/>
          <w:sz w:val="24"/>
          <w:szCs w:val="24"/>
        </w:rPr>
        <w:fldChar w:fldCharType="end"/>
      </w:r>
    </w:p>
    <w:p w14:paraId="4F3359A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"_Toc230178809" </w:instrText>
      </w:r>
      <w:r>
        <w:fldChar w:fldCharType="separate"/>
      </w:r>
      <w:r>
        <w:rPr>
          <w:rStyle w:val="55"/>
          <w:rFonts w:ascii="宋体" w:hAnsi="宋体" w:eastAsia="宋体" w:cs="黑体"/>
          <w:lang w:bidi="ar"/>
        </w:rPr>
        <w:t xml:space="preserve">6.2 </w:t>
      </w:r>
      <w:r>
        <w:rPr>
          <w:rStyle w:val="55"/>
          <w:rFonts w:hint="eastAsia" w:ascii="宋体" w:hAnsi="宋体" w:eastAsia="宋体" w:cs="黑体"/>
          <w:lang w:bidi="ar"/>
        </w:rPr>
        <w:t>地下水环境保护措施可行性论证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_Toc230178809 \h </w:instrText>
      </w:r>
      <w:r>
        <w:rPr>
          <w:rFonts w:ascii="宋体" w:hAnsi="宋体"/>
          <w:sz w:val="24"/>
          <w:szCs w:val="24"/>
        </w:rPr>
        <w:fldChar w:fldCharType="separate"/>
      </w:r>
      <w:r>
        <w:rPr>
          <w:rFonts w:ascii="宋体" w:hAnsi="宋体"/>
          <w:sz w:val="24"/>
          <w:szCs w:val="24"/>
        </w:rPr>
        <w:t>165</w:t>
      </w:r>
      <w:r>
        <w:rPr>
          <w:rFonts w:ascii="宋体" w:hAnsi="宋体"/>
          <w:sz w:val="24"/>
          <w:szCs w:val="24"/>
        </w:rPr>
        <w:fldChar w:fldCharType="end"/>
      </w:r>
      <w:r>
        <w:rPr>
          <w:rFonts w:ascii="宋体" w:hAnsi="宋体"/>
          <w:sz w:val="24"/>
          <w:szCs w:val="24"/>
        </w:rPr>
        <w:fldChar w:fldCharType="end"/>
      </w:r>
    </w:p>
    <w:p w14:paraId="446B80F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"_Toc230178810" </w:instrText>
      </w:r>
      <w:r>
        <w:fldChar w:fldCharType="separate"/>
      </w:r>
      <w:r>
        <w:rPr>
          <w:rStyle w:val="55"/>
          <w:rFonts w:ascii="宋体" w:hAnsi="宋体" w:eastAsia="宋体" w:cs="黑体"/>
          <w:lang w:bidi="ar"/>
        </w:rPr>
        <w:t>6.3</w:t>
      </w:r>
      <w:r>
        <w:rPr>
          <w:rStyle w:val="55"/>
          <w:rFonts w:hint="eastAsia" w:ascii="宋体" w:hAnsi="宋体" w:eastAsia="宋体" w:cs="黑体"/>
          <w:lang w:bidi="ar"/>
        </w:rPr>
        <w:t>地表水环境保护措施可行性论证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_Toc230178810 \h </w:instrText>
      </w:r>
      <w:r>
        <w:rPr>
          <w:rFonts w:ascii="宋体" w:hAnsi="宋体"/>
          <w:sz w:val="24"/>
          <w:szCs w:val="24"/>
        </w:rPr>
        <w:fldChar w:fldCharType="separate"/>
      </w:r>
      <w:r>
        <w:rPr>
          <w:rFonts w:ascii="宋体" w:hAnsi="宋体"/>
          <w:sz w:val="24"/>
          <w:szCs w:val="24"/>
        </w:rPr>
        <w:t>169</w:t>
      </w:r>
      <w:r>
        <w:rPr>
          <w:rFonts w:ascii="宋体" w:hAnsi="宋体"/>
          <w:sz w:val="24"/>
          <w:szCs w:val="24"/>
        </w:rPr>
        <w:fldChar w:fldCharType="end"/>
      </w:r>
      <w:r>
        <w:rPr>
          <w:rFonts w:ascii="宋体" w:hAnsi="宋体"/>
          <w:sz w:val="24"/>
          <w:szCs w:val="24"/>
        </w:rPr>
        <w:fldChar w:fldCharType="end"/>
      </w:r>
    </w:p>
    <w:p w14:paraId="2A538C15">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"_Toc230178811" </w:instrText>
      </w:r>
      <w:r>
        <w:fldChar w:fldCharType="separate"/>
      </w:r>
      <w:r>
        <w:rPr>
          <w:rStyle w:val="55"/>
          <w:rFonts w:ascii="宋体" w:hAnsi="宋体" w:eastAsia="宋体" w:cs="黑体"/>
          <w:lang w:bidi="ar"/>
        </w:rPr>
        <w:t>6.4</w:t>
      </w:r>
      <w:r>
        <w:rPr>
          <w:rStyle w:val="55"/>
          <w:rFonts w:hint="eastAsia" w:ascii="宋体" w:hAnsi="宋体" w:eastAsia="宋体" w:cs="黑体"/>
          <w:lang w:bidi="ar"/>
        </w:rPr>
        <w:t>土壤环境保护措施可行性论证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_Toc230178811 \h </w:instrText>
      </w:r>
      <w:r>
        <w:rPr>
          <w:rFonts w:ascii="宋体" w:hAnsi="宋体"/>
          <w:sz w:val="24"/>
          <w:szCs w:val="24"/>
        </w:rPr>
        <w:fldChar w:fldCharType="separate"/>
      </w:r>
      <w:r>
        <w:rPr>
          <w:rFonts w:ascii="宋体" w:hAnsi="宋体"/>
          <w:sz w:val="24"/>
          <w:szCs w:val="24"/>
        </w:rPr>
        <w:t>169</w:t>
      </w:r>
      <w:r>
        <w:rPr>
          <w:rFonts w:ascii="宋体" w:hAnsi="宋体"/>
          <w:sz w:val="24"/>
          <w:szCs w:val="24"/>
        </w:rPr>
        <w:fldChar w:fldCharType="end"/>
      </w:r>
      <w:r>
        <w:rPr>
          <w:rFonts w:ascii="宋体" w:hAnsi="宋体"/>
          <w:sz w:val="24"/>
          <w:szCs w:val="24"/>
        </w:rPr>
        <w:fldChar w:fldCharType="end"/>
      </w:r>
    </w:p>
    <w:p w14:paraId="2A47232B">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"_Toc230178812" </w:instrText>
      </w:r>
      <w:r>
        <w:fldChar w:fldCharType="separate"/>
      </w:r>
      <w:r>
        <w:rPr>
          <w:rStyle w:val="55"/>
          <w:rFonts w:ascii="宋体" w:hAnsi="宋体" w:eastAsia="宋体" w:cs="黑体"/>
          <w:lang w:bidi="ar"/>
        </w:rPr>
        <w:t>6.5</w:t>
      </w:r>
      <w:r>
        <w:rPr>
          <w:rStyle w:val="55"/>
          <w:rFonts w:hint="eastAsia" w:ascii="宋体" w:hAnsi="宋体" w:eastAsia="宋体" w:cs="黑体"/>
          <w:lang w:bidi="ar"/>
        </w:rPr>
        <w:t>大气环境保护措施可行性论证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_Toc230178812 \h </w:instrText>
      </w:r>
      <w:r>
        <w:rPr>
          <w:rFonts w:ascii="宋体" w:hAnsi="宋体"/>
          <w:sz w:val="24"/>
          <w:szCs w:val="24"/>
        </w:rPr>
        <w:fldChar w:fldCharType="separate"/>
      </w:r>
      <w:r>
        <w:rPr>
          <w:rFonts w:ascii="宋体" w:hAnsi="宋体"/>
          <w:sz w:val="24"/>
          <w:szCs w:val="24"/>
        </w:rPr>
        <w:t>170</w:t>
      </w:r>
      <w:r>
        <w:rPr>
          <w:rFonts w:ascii="宋体" w:hAnsi="宋体"/>
          <w:sz w:val="24"/>
          <w:szCs w:val="24"/>
        </w:rPr>
        <w:fldChar w:fldCharType="end"/>
      </w:r>
      <w:r>
        <w:rPr>
          <w:rFonts w:ascii="宋体" w:hAnsi="宋体"/>
          <w:sz w:val="24"/>
          <w:szCs w:val="24"/>
        </w:rPr>
        <w:fldChar w:fldCharType="end"/>
      </w:r>
    </w:p>
    <w:p w14:paraId="3623060D">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"_Toc230178813" </w:instrText>
      </w:r>
      <w:r>
        <w:fldChar w:fldCharType="separate"/>
      </w:r>
      <w:r>
        <w:rPr>
          <w:rStyle w:val="55"/>
          <w:rFonts w:ascii="宋体" w:hAnsi="宋体" w:eastAsia="宋体" w:cs="黑体"/>
          <w:lang w:bidi="ar"/>
        </w:rPr>
        <w:t xml:space="preserve">6.6 </w:t>
      </w:r>
      <w:r>
        <w:rPr>
          <w:rStyle w:val="55"/>
          <w:rFonts w:hint="eastAsia" w:ascii="宋体" w:hAnsi="宋体" w:eastAsia="宋体" w:cs="黑体"/>
          <w:lang w:bidi="ar"/>
        </w:rPr>
        <w:t>声环境保护措施可行性论证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_Toc230178813 \h </w:instrText>
      </w:r>
      <w:r>
        <w:rPr>
          <w:rFonts w:ascii="宋体" w:hAnsi="宋体"/>
          <w:sz w:val="24"/>
          <w:szCs w:val="24"/>
        </w:rPr>
        <w:fldChar w:fldCharType="separate"/>
      </w:r>
      <w:r>
        <w:rPr>
          <w:rFonts w:ascii="宋体" w:hAnsi="宋体"/>
          <w:sz w:val="24"/>
          <w:szCs w:val="24"/>
        </w:rPr>
        <w:t>172</w:t>
      </w:r>
      <w:r>
        <w:rPr>
          <w:rFonts w:ascii="宋体" w:hAnsi="宋体"/>
          <w:sz w:val="24"/>
          <w:szCs w:val="24"/>
        </w:rPr>
        <w:fldChar w:fldCharType="end"/>
      </w:r>
      <w:r>
        <w:rPr>
          <w:rFonts w:ascii="宋体" w:hAnsi="宋体"/>
          <w:sz w:val="24"/>
          <w:szCs w:val="24"/>
        </w:rPr>
        <w:fldChar w:fldCharType="end"/>
      </w:r>
    </w:p>
    <w:p w14:paraId="443D6C0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"_Toc230178814" </w:instrText>
      </w:r>
      <w:r>
        <w:fldChar w:fldCharType="separate"/>
      </w:r>
      <w:r>
        <w:rPr>
          <w:rStyle w:val="55"/>
          <w:rFonts w:ascii="宋体" w:hAnsi="宋体" w:eastAsia="宋体" w:cs="黑体"/>
          <w:lang w:bidi="ar"/>
        </w:rPr>
        <w:t xml:space="preserve">6.7 </w:t>
      </w:r>
      <w:r>
        <w:rPr>
          <w:rStyle w:val="55"/>
          <w:rFonts w:hint="eastAsia" w:ascii="宋体" w:hAnsi="宋体" w:eastAsia="宋体" w:cs="黑体"/>
          <w:lang w:bidi="ar"/>
        </w:rPr>
        <w:t>固体废物处理措施可行性论证</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_Toc230178814 \h </w:instrText>
      </w:r>
      <w:r>
        <w:rPr>
          <w:rFonts w:ascii="宋体" w:hAnsi="宋体"/>
          <w:sz w:val="24"/>
          <w:szCs w:val="24"/>
        </w:rPr>
        <w:fldChar w:fldCharType="separate"/>
      </w:r>
      <w:r>
        <w:rPr>
          <w:rFonts w:ascii="宋体" w:hAnsi="宋体"/>
          <w:sz w:val="24"/>
          <w:szCs w:val="24"/>
        </w:rPr>
        <w:t>172</w:t>
      </w:r>
      <w:r>
        <w:rPr>
          <w:rFonts w:ascii="宋体" w:hAnsi="宋体"/>
          <w:sz w:val="24"/>
          <w:szCs w:val="24"/>
        </w:rPr>
        <w:fldChar w:fldCharType="end"/>
      </w:r>
      <w:r>
        <w:rPr>
          <w:rFonts w:ascii="宋体" w:hAnsi="宋体"/>
          <w:sz w:val="24"/>
          <w:szCs w:val="24"/>
        </w:rPr>
        <w:fldChar w:fldCharType="end"/>
      </w:r>
    </w:p>
    <w:p w14:paraId="79C10C94">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"_Toc230178815" </w:instrText>
      </w:r>
      <w:r>
        <w:fldChar w:fldCharType="separate"/>
      </w:r>
      <w:r>
        <w:rPr>
          <w:rStyle w:val="55"/>
          <w:rFonts w:ascii="黑体" w:hAnsi="黑体"/>
          <w:b w:val="0"/>
        </w:rPr>
        <w:t xml:space="preserve">7 </w:t>
      </w:r>
      <w:r>
        <w:rPr>
          <w:rStyle w:val="55"/>
          <w:rFonts w:hint="eastAsia" w:ascii="黑体" w:hAnsi="黑体"/>
          <w:b w:val="0"/>
        </w:rPr>
        <w:t>环境影响经济损益分析</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_Toc230178815 \h </w:instrText>
      </w:r>
      <w:r>
        <w:rPr>
          <w:rFonts w:ascii="宋体" w:hAnsi="宋体"/>
          <w:b w:val="0"/>
          <w:sz w:val="24"/>
          <w:szCs w:val="24"/>
        </w:rPr>
        <w:fldChar w:fldCharType="separate"/>
      </w:r>
      <w:r>
        <w:rPr>
          <w:rFonts w:ascii="宋体" w:hAnsi="宋体"/>
          <w:b w:val="0"/>
          <w:sz w:val="24"/>
          <w:szCs w:val="24"/>
        </w:rPr>
        <w:t>174</w:t>
      </w:r>
      <w:r>
        <w:rPr>
          <w:rFonts w:ascii="宋体" w:hAnsi="宋体"/>
          <w:b w:val="0"/>
          <w:sz w:val="24"/>
          <w:szCs w:val="24"/>
        </w:rPr>
        <w:fldChar w:fldCharType="end"/>
      </w:r>
      <w:r>
        <w:rPr>
          <w:rFonts w:ascii="宋体" w:hAnsi="宋体"/>
          <w:b w:val="0"/>
          <w:sz w:val="24"/>
          <w:szCs w:val="24"/>
        </w:rPr>
        <w:fldChar w:fldCharType="end"/>
      </w:r>
    </w:p>
    <w:p w14:paraId="7F991DAE">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"_Toc230178816" </w:instrText>
      </w:r>
      <w:r>
        <w:fldChar w:fldCharType="separate"/>
      </w:r>
      <w:r>
        <w:rPr>
          <w:rStyle w:val="55"/>
          <w:rFonts w:ascii="宋体" w:hAnsi="宋体" w:eastAsia="宋体" w:cs="黑体"/>
          <w:lang w:bidi="ar"/>
        </w:rPr>
        <w:t xml:space="preserve">7.1 </w:t>
      </w:r>
      <w:r>
        <w:rPr>
          <w:rStyle w:val="55"/>
          <w:rFonts w:hint="eastAsia" w:ascii="宋体" w:hAnsi="宋体" w:eastAsia="宋体" w:cs="黑体"/>
          <w:lang w:bidi="ar"/>
        </w:rPr>
        <w:t>环境效益分析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_Toc230178816 \h </w:instrText>
      </w:r>
      <w:r>
        <w:rPr>
          <w:rFonts w:ascii="宋体" w:hAnsi="宋体"/>
          <w:sz w:val="24"/>
          <w:szCs w:val="24"/>
        </w:rPr>
        <w:fldChar w:fldCharType="separate"/>
      </w:r>
      <w:r>
        <w:rPr>
          <w:rFonts w:ascii="宋体" w:hAnsi="宋体"/>
          <w:sz w:val="24"/>
          <w:szCs w:val="24"/>
        </w:rPr>
        <w:t>174</w:t>
      </w:r>
      <w:r>
        <w:rPr>
          <w:rFonts w:ascii="宋体" w:hAnsi="宋体"/>
          <w:sz w:val="24"/>
          <w:szCs w:val="24"/>
        </w:rPr>
        <w:fldChar w:fldCharType="end"/>
      </w:r>
      <w:r>
        <w:rPr>
          <w:rFonts w:ascii="宋体" w:hAnsi="宋体"/>
          <w:sz w:val="24"/>
          <w:szCs w:val="24"/>
        </w:rPr>
        <w:fldChar w:fldCharType="end"/>
      </w:r>
    </w:p>
    <w:p w14:paraId="38A19940">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"_Toc230178817" </w:instrText>
      </w:r>
      <w:r>
        <w:fldChar w:fldCharType="separate"/>
      </w:r>
      <w:r>
        <w:rPr>
          <w:rStyle w:val="55"/>
          <w:rFonts w:ascii="宋体" w:hAnsi="宋体" w:eastAsia="宋体" w:cs="黑体"/>
          <w:lang w:bidi="ar"/>
        </w:rPr>
        <w:t xml:space="preserve">7.2 </w:t>
      </w:r>
      <w:r>
        <w:rPr>
          <w:rStyle w:val="55"/>
          <w:rFonts w:hint="eastAsia" w:ascii="宋体" w:hAnsi="宋体" w:eastAsia="宋体" w:cs="黑体"/>
          <w:lang w:bidi="ar"/>
        </w:rPr>
        <w:t>社会效益分析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_Toc230178817 \h </w:instrText>
      </w:r>
      <w:r>
        <w:rPr>
          <w:rFonts w:ascii="宋体" w:hAnsi="宋体"/>
          <w:sz w:val="24"/>
          <w:szCs w:val="24"/>
        </w:rPr>
        <w:fldChar w:fldCharType="separate"/>
      </w:r>
      <w:r>
        <w:rPr>
          <w:rFonts w:ascii="宋体" w:hAnsi="宋体"/>
          <w:sz w:val="24"/>
          <w:szCs w:val="24"/>
        </w:rPr>
        <w:t>175</w:t>
      </w:r>
      <w:r>
        <w:rPr>
          <w:rFonts w:ascii="宋体" w:hAnsi="宋体"/>
          <w:sz w:val="24"/>
          <w:szCs w:val="24"/>
        </w:rPr>
        <w:fldChar w:fldCharType="end"/>
      </w:r>
      <w:r>
        <w:rPr>
          <w:rFonts w:ascii="宋体" w:hAnsi="宋体"/>
          <w:sz w:val="24"/>
          <w:szCs w:val="24"/>
        </w:rPr>
        <w:fldChar w:fldCharType="end"/>
      </w:r>
    </w:p>
    <w:p w14:paraId="04392C9D">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"_Toc230178818" </w:instrText>
      </w:r>
      <w:r>
        <w:fldChar w:fldCharType="separate"/>
      </w:r>
      <w:r>
        <w:rPr>
          <w:rStyle w:val="55"/>
          <w:rFonts w:ascii="宋体" w:hAnsi="宋体" w:eastAsia="宋体" w:cs="黑体"/>
          <w:lang w:bidi="ar"/>
        </w:rPr>
        <w:t xml:space="preserve">7.3 </w:t>
      </w:r>
      <w:r>
        <w:rPr>
          <w:rStyle w:val="55"/>
          <w:rFonts w:hint="eastAsia" w:ascii="宋体" w:hAnsi="宋体" w:eastAsia="宋体" w:cs="黑体"/>
          <w:lang w:bidi="ar"/>
        </w:rPr>
        <w:t>综合效益分析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_Toc230178818 \h </w:instrText>
      </w:r>
      <w:r>
        <w:rPr>
          <w:rFonts w:ascii="宋体" w:hAnsi="宋体"/>
          <w:sz w:val="24"/>
          <w:szCs w:val="24"/>
        </w:rPr>
        <w:fldChar w:fldCharType="separate"/>
      </w:r>
      <w:r>
        <w:rPr>
          <w:rFonts w:ascii="宋体" w:hAnsi="宋体"/>
          <w:sz w:val="24"/>
          <w:szCs w:val="24"/>
        </w:rPr>
        <w:t>175</w:t>
      </w:r>
      <w:r>
        <w:rPr>
          <w:rFonts w:ascii="宋体" w:hAnsi="宋体"/>
          <w:sz w:val="24"/>
          <w:szCs w:val="24"/>
        </w:rPr>
        <w:fldChar w:fldCharType="end"/>
      </w:r>
      <w:r>
        <w:rPr>
          <w:rFonts w:ascii="宋体" w:hAnsi="宋体"/>
          <w:sz w:val="24"/>
          <w:szCs w:val="24"/>
        </w:rPr>
        <w:fldChar w:fldCharType="end"/>
      </w:r>
    </w:p>
    <w:p w14:paraId="6E83CBC7">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"_Toc230178819" </w:instrText>
      </w:r>
      <w:r>
        <w:fldChar w:fldCharType="separate"/>
      </w:r>
      <w:r>
        <w:rPr>
          <w:rStyle w:val="55"/>
          <w:rFonts w:ascii="宋体" w:hAnsi="宋体" w:eastAsia="宋体" w:cs="黑体"/>
          <w:lang w:bidi="ar"/>
        </w:rPr>
        <w:t xml:space="preserve">7.4 </w:t>
      </w:r>
      <w:r>
        <w:rPr>
          <w:rStyle w:val="55"/>
          <w:rFonts w:hint="eastAsia" w:ascii="宋体" w:hAnsi="宋体" w:eastAsia="宋体" w:cs="黑体"/>
          <w:lang w:bidi="ar"/>
        </w:rPr>
        <w:t>环境经济损益分析结论</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_Toc230178819 \h </w:instrText>
      </w:r>
      <w:r>
        <w:rPr>
          <w:rFonts w:ascii="宋体" w:hAnsi="宋体"/>
          <w:sz w:val="24"/>
          <w:szCs w:val="24"/>
        </w:rPr>
        <w:fldChar w:fldCharType="separate"/>
      </w:r>
      <w:r>
        <w:rPr>
          <w:rFonts w:ascii="宋体" w:hAnsi="宋体"/>
          <w:sz w:val="24"/>
          <w:szCs w:val="24"/>
        </w:rPr>
        <w:t>176</w:t>
      </w:r>
      <w:r>
        <w:rPr>
          <w:rFonts w:ascii="宋体" w:hAnsi="宋体"/>
          <w:sz w:val="24"/>
          <w:szCs w:val="24"/>
        </w:rPr>
        <w:fldChar w:fldCharType="end"/>
      </w:r>
      <w:r>
        <w:rPr>
          <w:rFonts w:ascii="宋体" w:hAnsi="宋体"/>
          <w:sz w:val="24"/>
          <w:szCs w:val="24"/>
        </w:rPr>
        <w:fldChar w:fldCharType="end"/>
      </w:r>
    </w:p>
    <w:p w14:paraId="4A84D66B">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"_Toc230178820" </w:instrText>
      </w:r>
      <w:r>
        <w:fldChar w:fldCharType="separate"/>
      </w:r>
      <w:r>
        <w:rPr>
          <w:rStyle w:val="55"/>
          <w:rFonts w:ascii="黑体" w:hAnsi="黑体"/>
          <w:b w:val="0"/>
        </w:rPr>
        <w:t xml:space="preserve">8 </w:t>
      </w:r>
      <w:r>
        <w:rPr>
          <w:rStyle w:val="55"/>
          <w:rFonts w:hint="eastAsia" w:ascii="黑体" w:hAnsi="黑体"/>
          <w:b w:val="0"/>
        </w:rPr>
        <w:t>环境管理与监测计划</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_Toc230178820 \h </w:instrText>
      </w:r>
      <w:r>
        <w:rPr>
          <w:rFonts w:ascii="宋体" w:hAnsi="宋体"/>
          <w:b w:val="0"/>
          <w:sz w:val="24"/>
          <w:szCs w:val="24"/>
        </w:rPr>
        <w:fldChar w:fldCharType="separate"/>
      </w:r>
      <w:r>
        <w:rPr>
          <w:rFonts w:ascii="宋体" w:hAnsi="宋体"/>
          <w:b w:val="0"/>
          <w:sz w:val="24"/>
          <w:szCs w:val="24"/>
        </w:rPr>
        <w:t>177</w:t>
      </w:r>
      <w:r>
        <w:rPr>
          <w:rFonts w:ascii="宋体" w:hAnsi="宋体"/>
          <w:b w:val="0"/>
          <w:sz w:val="24"/>
          <w:szCs w:val="24"/>
        </w:rPr>
        <w:fldChar w:fldCharType="end"/>
      </w:r>
      <w:r>
        <w:rPr>
          <w:rFonts w:ascii="宋体" w:hAnsi="宋体"/>
          <w:b w:val="0"/>
          <w:sz w:val="24"/>
          <w:szCs w:val="24"/>
        </w:rPr>
        <w:fldChar w:fldCharType="end"/>
      </w:r>
    </w:p>
    <w:p w14:paraId="5A4E6B1A">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"_Toc230178821" </w:instrText>
      </w:r>
      <w:r>
        <w:fldChar w:fldCharType="separate"/>
      </w:r>
      <w:r>
        <w:rPr>
          <w:rStyle w:val="55"/>
          <w:rFonts w:ascii="宋体" w:hAnsi="宋体" w:eastAsia="宋体" w:cs="黑体"/>
          <w:lang w:bidi="ar"/>
        </w:rPr>
        <w:t xml:space="preserve">8.1 </w:t>
      </w:r>
      <w:r>
        <w:rPr>
          <w:rStyle w:val="55"/>
          <w:rFonts w:hint="eastAsia" w:ascii="宋体" w:hAnsi="宋体" w:eastAsia="宋体" w:cs="黑体"/>
          <w:lang w:bidi="ar"/>
        </w:rPr>
        <w:t>环境管理</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_Toc230178821 \h </w:instrText>
      </w:r>
      <w:r>
        <w:rPr>
          <w:rFonts w:ascii="宋体" w:hAnsi="宋体"/>
          <w:sz w:val="24"/>
          <w:szCs w:val="24"/>
        </w:rPr>
        <w:fldChar w:fldCharType="separate"/>
      </w:r>
      <w:r>
        <w:rPr>
          <w:rFonts w:ascii="宋体" w:hAnsi="宋体"/>
          <w:sz w:val="24"/>
          <w:szCs w:val="24"/>
        </w:rPr>
        <w:t>177</w:t>
      </w:r>
      <w:r>
        <w:rPr>
          <w:rFonts w:ascii="宋体" w:hAnsi="宋体"/>
          <w:sz w:val="24"/>
          <w:szCs w:val="24"/>
        </w:rPr>
        <w:fldChar w:fldCharType="end"/>
      </w:r>
      <w:r>
        <w:rPr>
          <w:rFonts w:ascii="宋体" w:hAnsi="宋体"/>
          <w:sz w:val="24"/>
          <w:szCs w:val="24"/>
        </w:rPr>
        <w:fldChar w:fldCharType="end"/>
      </w:r>
    </w:p>
    <w:p w14:paraId="60550428">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"_Toc230178822" </w:instrText>
      </w:r>
      <w:r>
        <w:fldChar w:fldCharType="separate"/>
      </w:r>
      <w:r>
        <w:rPr>
          <w:rStyle w:val="55"/>
          <w:rFonts w:ascii="宋体" w:hAnsi="宋体" w:eastAsia="宋体" w:cs="黑体"/>
          <w:lang w:bidi="ar"/>
        </w:rPr>
        <w:t xml:space="preserve">8.2 </w:t>
      </w:r>
      <w:r>
        <w:rPr>
          <w:rStyle w:val="55"/>
          <w:rFonts w:hint="eastAsia" w:ascii="宋体" w:hAnsi="宋体" w:eastAsia="宋体" w:cs="黑体"/>
          <w:lang w:bidi="ar"/>
        </w:rPr>
        <w:t>企业环境信息披露</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_Toc230178822 \h </w:instrText>
      </w:r>
      <w:r>
        <w:rPr>
          <w:rFonts w:ascii="宋体" w:hAnsi="宋体"/>
          <w:sz w:val="24"/>
          <w:szCs w:val="24"/>
        </w:rPr>
        <w:fldChar w:fldCharType="separate"/>
      </w:r>
      <w:r>
        <w:rPr>
          <w:rFonts w:ascii="宋体" w:hAnsi="宋体"/>
          <w:sz w:val="24"/>
          <w:szCs w:val="24"/>
        </w:rPr>
        <w:t>181</w:t>
      </w:r>
      <w:r>
        <w:rPr>
          <w:rFonts w:ascii="宋体" w:hAnsi="宋体"/>
          <w:sz w:val="24"/>
          <w:szCs w:val="24"/>
        </w:rPr>
        <w:fldChar w:fldCharType="end"/>
      </w:r>
      <w:r>
        <w:rPr>
          <w:rFonts w:ascii="宋体" w:hAnsi="宋体"/>
          <w:sz w:val="24"/>
          <w:szCs w:val="24"/>
        </w:rPr>
        <w:fldChar w:fldCharType="end"/>
      </w:r>
    </w:p>
    <w:p w14:paraId="417C45E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"_Toc230178823" </w:instrText>
      </w:r>
      <w:r>
        <w:fldChar w:fldCharType="separate"/>
      </w:r>
      <w:r>
        <w:rPr>
          <w:rStyle w:val="55"/>
          <w:rFonts w:ascii="宋体" w:hAnsi="宋体" w:eastAsia="宋体" w:cs="黑体"/>
          <w:lang w:bidi="ar"/>
        </w:rPr>
        <w:t xml:space="preserve">8.3 </w:t>
      </w:r>
      <w:r>
        <w:rPr>
          <w:rStyle w:val="55"/>
          <w:rFonts w:hint="eastAsia" w:ascii="宋体" w:hAnsi="宋体" w:eastAsia="宋体" w:cs="黑体"/>
          <w:lang w:bidi="ar"/>
        </w:rPr>
        <w:t>污染物排放清单</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_Toc230178823 \h </w:instrText>
      </w:r>
      <w:r>
        <w:rPr>
          <w:rFonts w:ascii="宋体" w:hAnsi="宋体"/>
          <w:sz w:val="24"/>
          <w:szCs w:val="24"/>
        </w:rPr>
        <w:fldChar w:fldCharType="separate"/>
      </w:r>
      <w:r>
        <w:rPr>
          <w:rFonts w:ascii="宋体" w:hAnsi="宋体"/>
          <w:sz w:val="24"/>
          <w:szCs w:val="24"/>
        </w:rPr>
        <w:t>182</w:t>
      </w:r>
      <w:r>
        <w:rPr>
          <w:rFonts w:ascii="宋体" w:hAnsi="宋体"/>
          <w:sz w:val="24"/>
          <w:szCs w:val="24"/>
        </w:rPr>
        <w:fldChar w:fldCharType="end"/>
      </w:r>
      <w:r>
        <w:rPr>
          <w:rFonts w:ascii="宋体" w:hAnsi="宋体"/>
          <w:sz w:val="24"/>
          <w:szCs w:val="24"/>
        </w:rPr>
        <w:fldChar w:fldCharType="end"/>
      </w:r>
    </w:p>
    <w:p w14:paraId="6732947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"_Toc230178824" </w:instrText>
      </w:r>
      <w:r>
        <w:fldChar w:fldCharType="separate"/>
      </w:r>
      <w:r>
        <w:rPr>
          <w:rStyle w:val="55"/>
          <w:rFonts w:ascii="宋体" w:hAnsi="宋体" w:eastAsia="宋体" w:cs="黑体"/>
          <w:lang w:bidi="ar"/>
        </w:rPr>
        <w:t xml:space="preserve">8.4 </w:t>
      </w:r>
      <w:r>
        <w:rPr>
          <w:rStyle w:val="55"/>
          <w:rFonts w:hint="eastAsia" w:ascii="宋体" w:hAnsi="宋体" w:eastAsia="宋体" w:cs="黑体"/>
          <w:lang w:bidi="ar"/>
        </w:rPr>
        <w:t>环境及污染源监测</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_Toc230178824 \h </w:instrText>
      </w:r>
      <w:r>
        <w:rPr>
          <w:rFonts w:ascii="宋体" w:hAnsi="宋体"/>
          <w:sz w:val="24"/>
          <w:szCs w:val="24"/>
        </w:rPr>
        <w:fldChar w:fldCharType="separate"/>
      </w:r>
      <w:r>
        <w:rPr>
          <w:rFonts w:ascii="宋体" w:hAnsi="宋体"/>
          <w:sz w:val="24"/>
          <w:szCs w:val="24"/>
        </w:rPr>
        <w:t>183</w:t>
      </w:r>
      <w:r>
        <w:rPr>
          <w:rFonts w:ascii="宋体" w:hAnsi="宋体"/>
          <w:sz w:val="24"/>
          <w:szCs w:val="24"/>
        </w:rPr>
        <w:fldChar w:fldCharType="end"/>
      </w:r>
      <w:r>
        <w:rPr>
          <w:rFonts w:ascii="宋体" w:hAnsi="宋体"/>
          <w:sz w:val="24"/>
          <w:szCs w:val="24"/>
        </w:rPr>
        <w:fldChar w:fldCharType="end"/>
      </w:r>
    </w:p>
    <w:p w14:paraId="1F2A174C">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"_Toc230178825" </w:instrText>
      </w:r>
      <w:r>
        <w:fldChar w:fldCharType="separate"/>
      </w:r>
      <w:r>
        <w:rPr>
          <w:rStyle w:val="55"/>
          <w:rFonts w:ascii="宋体" w:hAnsi="宋体" w:eastAsia="宋体" w:cs="黑体"/>
          <w:lang w:bidi="ar"/>
        </w:rPr>
        <w:t xml:space="preserve">8.5 </w:t>
      </w:r>
      <w:r>
        <w:rPr>
          <w:rStyle w:val="55"/>
          <w:rFonts w:hint="eastAsia" w:ascii="宋体" w:hAnsi="宋体" w:eastAsia="宋体" w:cs="黑体"/>
          <w:lang w:bidi="ar"/>
        </w:rPr>
        <w:t>环保设施“三同时”验收</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_Toc230178825 \h </w:instrText>
      </w:r>
      <w:r>
        <w:rPr>
          <w:rFonts w:ascii="宋体" w:hAnsi="宋体"/>
          <w:sz w:val="24"/>
          <w:szCs w:val="24"/>
        </w:rPr>
        <w:fldChar w:fldCharType="separate"/>
      </w:r>
      <w:r>
        <w:rPr>
          <w:rFonts w:ascii="宋体" w:hAnsi="宋体"/>
          <w:sz w:val="24"/>
          <w:szCs w:val="24"/>
        </w:rPr>
        <w:t>184</w:t>
      </w:r>
      <w:r>
        <w:rPr>
          <w:rFonts w:ascii="宋体" w:hAnsi="宋体"/>
          <w:sz w:val="24"/>
          <w:szCs w:val="24"/>
        </w:rPr>
        <w:fldChar w:fldCharType="end"/>
      </w:r>
      <w:r>
        <w:rPr>
          <w:rFonts w:ascii="宋体" w:hAnsi="宋体"/>
          <w:sz w:val="24"/>
          <w:szCs w:val="24"/>
        </w:rPr>
        <w:fldChar w:fldCharType="end"/>
      </w:r>
    </w:p>
    <w:p w14:paraId="6FFF3364">
      <w:pPr>
        <w:pStyle w:val="32"/>
        <w:tabs>
          <w:tab w:val="right" w:leader="dot" w:pos="8949"/>
        </w:tabs>
        <w:spacing w:before="0" w:after="0" w:line="400" w:lineRule="exact"/>
        <w:ind w:firstLine="446" w:firstLineChars="200"/>
        <w:rPr>
          <w:rFonts w:ascii="宋体" w:hAnsi="宋体"/>
          <w:b w:val="0"/>
          <w:bCs w:val="0"/>
          <w:caps w:val="0"/>
          <w:spacing w:val="0"/>
          <w:sz w:val="24"/>
          <w:szCs w:val="24"/>
        </w:rPr>
      </w:pPr>
      <w:r>
        <w:fldChar w:fldCharType="begin"/>
      </w:r>
      <w:r>
        <w:instrText xml:space="preserve"> HYPERLINK \l "_Toc230178826" </w:instrText>
      </w:r>
      <w:r>
        <w:fldChar w:fldCharType="separate"/>
      </w:r>
      <w:r>
        <w:rPr>
          <w:rStyle w:val="55"/>
          <w:rFonts w:ascii="黑体" w:hAnsi="黑体"/>
          <w:b w:val="0"/>
        </w:rPr>
        <w:t xml:space="preserve">9 </w:t>
      </w:r>
      <w:r>
        <w:rPr>
          <w:rStyle w:val="55"/>
          <w:rFonts w:hint="eastAsia" w:ascii="黑体" w:hAnsi="黑体"/>
          <w:b w:val="0"/>
        </w:rPr>
        <w:t>结论</w:t>
      </w:r>
      <w:r>
        <w:rPr>
          <w:rFonts w:ascii="宋体" w:hAnsi="宋体"/>
          <w:b w:val="0"/>
          <w:sz w:val="24"/>
          <w:szCs w:val="24"/>
        </w:rPr>
        <w:tab/>
      </w:r>
      <w:r>
        <w:rPr>
          <w:rFonts w:ascii="宋体" w:hAnsi="宋体"/>
          <w:b w:val="0"/>
          <w:sz w:val="24"/>
          <w:szCs w:val="24"/>
        </w:rPr>
        <w:fldChar w:fldCharType="begin"/>
      </w:r>
      <w:r>
        <w:rPr>
          <w:rFonts w:ascii="宋体" w:hAnsi="宋体"/>
          <w:b w:val="0"/>
          <w:sz w:val="24"/>
          <w:szCs w:val="24"/>
        </w:rPr>
        <w:instrText xml:space="preserve"> PAGEREF _Toc230178826 \h </w:instrText>
      </w:r>
      <w:r>
        <w:rPr>
          <w:rFonts w:ascii="宋体" w:hAnsi="宋体"/>
          <w:b w:val="0"/>
          <w:sz w:val="24"/>
          <w:szCs w:val="24"/>
        </w:rPr>
        <w:fldChar w:fldCharType="separate"/>
      </w:r>
      <w:r>
        <w:rPr>
          <w:rFonts w:ascii="宋体" w:hAnsi="宋体"/>
          <w:b w:val="0"/>
          <w:sz w:val="24"/>
          <w:szCs w:val="24"/>
        </w:rPr>
        <w:t>186</w:t>
      </w:r>
      <w:r>
        <w:rPr>
          <w:rFonts w:ascii="宋体" w:hAnsi="宋体"/>
          <w:b w:val="0"/>
          <w:sz w:val="24"/>
          <w:szCs w:val="24"/>
        </w:rPr>
        <w:fldChar w:fldCharType="end"/>
      </w:r>
      <w:r>
        <w:rPr>
          <w:rFonts w:ascii="宋体" w:hAnsi="宋体"/>
          <w:b w:val="0"/>
          <w:sz w:val="24"/>
          <w:szCs w:val="24"/>
        </w:rPr>
        <w:fldChar w:fldCharType="end"/>
      </w:r>
    </w:p>
    <w:p w14:paraId="1135872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"_Toc230178827" </w:instrText>
      </w:r>
      <w:r>
        <w:fldChar w:fldCharType="separate"/>
      </w:r>
      <w:r>
        <w:rPr>
          <w:rStyle w:val="55"/>
          <w:rFonts w:ascii="宋体" w:hAnsi="宋体" w:eastAsia="宋体" w:cs="黑体"/>
          <w:lang w:bidi="ar"/>
        </w:rPr>
        <w:t xml:space="preserve">9.1 </w:t>
      </w:r>
      <w:r>
        <w:rPr>
          <w:rStyle w:val="55"/>
          <w:rFonts w:hint="eastAsia" w:ascii="宋体" w:hAnsi="宋体" w:eastAsia="宋体" w:cs="黑体"/>
          <w:lang w:bidi="ar"/>
        </w:rPr>
        <w:t>建设项目情况</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_Toc230178827 \h </w:instrText>
      </w:r>
      <w:r>
        <w:rPr>
          <w:rFonts w:ascii="宋体" w:hAnsi="宋体"/>
          <w:sz w:val="24"/>
          <w:szCs w:val="24"/>
        </w:rPr>
        <w:fldChar w:fldCharType="separate"/>
      </w:r>
      <w:r>
        <w:rPr>
          <w:rFonts w:ascii="宋体" w:hAnsi="宋体"/>
          <w:sz w:val="24"/>
          <w:szCs w:val="24"/>
        </w:rPr>
        <w:t>186</w:t>
      </w:r>
      <w:r>
        <w:rPr>
          <w:rFonts w:ascii="宋体" w:hAnsi="宋体"/>
          <w:sz w:val="24"/>
          <w:szCs w:val="24"/>
        </w:rPr>
        <w:fldChar w:fldCharType="end"/>
      </w:r>
      <w:r>
        <w:rPr>
          <w:rFonts w:ascii="宋体" w:hAnsi="宋体"/>
          <w:sz w:val="24"/>
          <w:szCs w:val="24"/>
        </w:rPr>
        <w:fldChar w:fldCharType="end"/>
      </w:r>
    </w:p>
    <w:p w14:paraId="722ADB5C">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"_Toc230178828" </w:instrText>
      </w:r>
      <w:r>
        <w:fldChar w:fldCharType="separate"/>
      </w:r>
      <w:r>
        <w:rPr>
          <w:rStyle w:val="55"/>
          <w:rFonts w:ascii="宋体" w:hAnsi="宋体" w:eastAsia="宋体" w:cs="黑体"/>
          <w:lang w:bidi="ar"/>
        </w:rPr>
        <w:t xml:space="preserve">9.2 </w:t>
      </w:r>
      <w:r>
        <w:rPr>
          <w:rStyle w:val="55"/>
          <w:rFonts w:hint="eastAsia" w:ascii="宋体" w:hAnsi="宋体" w:eastAsia="宋体" w:cs="黑体"/>
          <w:lang w:bidi="ar"/>
        </w:rPr>
        <w:t>产业政策、选址符合性</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_Toc230178828 \h </w:instrText>
      </w:r>
      <w:r>
        <w:rPr>
          <w:rFonts w:ascii="宋体" w:hAnsi="宋体"/>
          <w:sz w:val="24"/>
          <w:szCs w:val="24"/>
        </w:rPr>
        <w:fldChar w:fldCharType="separate"/>
      </w:r>
      <w:r>
        <w:rPr>
          <w:rFonts w:ascii="宋体" w:hAnsi="宋体"/>
          <w:sz w:val="24"/>
          <w:szCs w:val="24"/>
        </w:rPr>
        <w:t>186</w:t>
      </w:r>
      <w:r>
        <w:rPr>
          <w:rFonts w:ascii="宋体" w:hAnsi="宋体"/>
          <w:sz w:val="24"/>
          <w:szCs w:val="24"/>
        </w:rPr>
        <w:fldChar w:fldCharType="end"/>
      </w:r>
      <w:r>
        <w:rPr>
          <w:rFonts w:ascii="宋体" w:hAnsi="宋体"/>
          <w:sz w:val="24"/>
          <w:szCs w:val="24"/>
        </w:rPr>
        <w:fldChar w:fldCharType="end"/>
      </w:r>
    </w:p>
    <w:p w14:paraId="78F3488E">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"_Toc230178829" </w:instrText>
      </w:r>
      <w:r>
        <w:fldChar w:fldCharType="separate"/>
      </w:r>
      <w:r>
        <w:rPr>
          <w:rStyle w:val="55"/>
          <w:rFonts w:ascii="宋体" w:hAnsi="宋体" w:eastAsia="宋体" w:cs="黑体"/>
          <w:lang w:bidi="ar"/>
        </w:rPr>
        <w:t xml:space="preserve">9.3 </w:t>
      </w:r>
      <w:r>
        <w:rPr>
          <w:rStyle w:val="55"/>
          <w:rFonts w:hint="eastAsia" w:ascii="宋体" w:hAnsi="宋体" w:eastAsia="宋体" w:cs="黑体"/>
          <w:lang w:bidi="ar"/>
        </w:rPr>
        <w:t>环境质量现状</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_Toc230178829 \h </w:instrText>
      </w:r>
      <w:r>
        <w:rPr>
          <w:rFonts w:ascii="宋体" w:hAnsi="宋体"/>
          <w:sz w:val="24"/>
          <w:szCs w:val="24"/>
        </w:rPr>
        <w:fldChar w:fldCharType="separate"/>
      </w:r>
      <w:r>
        <w:rPr>
          <w:rFonts w:ascii="宋体" w:hAnsi="宋体"/>
          <w:sz w:val="24"/>
          <w:szCs w:val="24"/>
        </w:rPr>
        <w:t>187</w:t>
      </w:r>
      <w:r>
        <w:rPr>
          <w:rFonts w:ascii="宋体" w:hAnsi="宋体"/>
          <w:sz w:val="24"/>
          <w:szCs w:val="24"/>
        </w:rPr>
        <w:fldChar w:fldCharType="end"/>
      </w:r>
      <w:r>
        <w:rPr>
          <w:rFonts w:ascii="宋体" w:hAnsi="宋体"/>
          <w:sz w:val="24"/>
          <w:szCs w:val="24"/>
        </w:rPr>
        <w:fldChar w:fldCharType="end"/>
      </w:r>
    </w:p>
    <w:p w14:paraId="00F206B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"_Toc230178830" </w:instrText>
      </w:r>
      <w:r>
        <w:fldChar w:fldCharType="separate"/>
      </w:r>
      <w:r>
        <w:rPr>
          <w:rStyle w:val="55"/>
          <w:rFonts w:ascii="宋体" w:hAnsi="宋体" w:eastAsia="宋体" w:cs="黑体"/>
          <w:lang w:bidi="ar"/>
        </w:rPr>
        <w:t>9.4</w:t>
      </w:r>
      <w:r>
        <w:rPr>
          <w:rStyle w:val="55"/>
          <w:rFonts w:hint="eastAsia" w:ascii="宋体" w:hAnsi="宋体" w:eastAsia="宋体" w:cs="黑体"/>
          <w:lang w:bidi="ar"/>
        </w:rPr>
        <w:t>污染物排放情况</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_Toc230178830 \h </w:instrText>
      </w:r>
      <w:r>
        <w:rPr>
          <w:rFonts w:ascii="宋体" w:hAnsi="宋体"/>
          <w:sz w:val="24"/>
          <w:szCs w:val="24"/>
        </w:rPr>
        <w:fldChar w:fldCharType="separate"/>
      </w:r>
      <w:r>
        <w:rPr>
          <w:rFonts w:ascii="宋体" w:hAnsi="宋体"/>
          <w:sz w:val="24"/>
          <w:szCs w:val="24"/>
        </w:rPr>
        <w:t>188</w:t>
      </w:r>
      <w:r>
        <w:rPr>
          <w:rFonts w:ascii="宋体" w:hAnsi="宋体"/>
          <w:sz w:val="24"/>
          <w:szCs w:val="24"/>
        </w:rPr>
        <w:fldChar w:fldCharType="end"/>
      </w:r>
      <w:r>
        <w:rPr>
          <w:rFonts w:ascii="宋体" w:hAnsi="宋体"/>
          <w:sz w:val="24"/>
          <w:szCs w:val="24"/>
        </w:rPr>
        <w:fldChar w:fldCharType="end"/>
      </w:r>
    </w:p>
    <w:p w14:paraId="724168AA">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"_Toc230178831" </w:instrText>
      </w:r>
      <w:r>
        <w:fldChar w:fldCharType="separate"/>
      </w:r>
      <w:r>
        <w:rPr>
          <w:rStyle w:val="55"/>
          <w:rFonts w:ascii="宋体" w:hAnsi="宋体" w:eastAsia="宋体" w:cs="黑体"/>
          <w:lang w:bidi="ar"/>
        </w:rPr>
        <w:t xml:space="preserve">9.5 </w:t>
      </w:r>
      <w:r>
        <w:rPr>
          <w:rStyle w:val="55"/>
          <w:rFonts w:hint="eastAsia" w:ascii="宋体" w:hAnsi="宋体" w:eastAsia="宋体" w:cs="黑体"/>
          <w:lang w:bidi="ar"/>
        </w:rPr>
        <w:t>主要环境影响</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_Toc230178831 \h </w:instrText>
      </w:r>
      <w:r>
        <w:rPr>
          <w:rFonts w:ascii="宋体" w:hAnsi="宋体"/>
          <w:sz w:val="24"/>
          <w:szCs w:val="24"/>
        </w:rPr>
        <w:fldChar w:fldCharType="separate"/>
      </w:r>
      <w:r>
        <w:rPr>
          <w:rFonts w:ascii="宋体" w:hAnsi="宋体"/>
          <w:sz w:val="24"/>
          <w:szCs w:val="24"/>
        </w:rPr>
        <w:t>188</w:t>
      </w:r>
      <w:r>
        <w:rPr>
          <w:rFonts w:ascii="宋体" w:hAnsi="宋体"/>
          <w:sz w:val="24"/>
          <w:szCs w:val="24"/>
        </w:rPr>
        <w:fldChar w:fldCharType="end"/>
      </w:r>
      <w:r>
        <w:rPr>
          <w:rFonts w:ascii="宋体" w:hAnsi="宋体"/>
          <w:sz w:val="24"/>
          <w:szCs w:val="24"/>
        </w:rPr>
        <w:fldChar w:fldCharType="end"/>
      </w:r>
    </w:p>
    <w:p w14:paraId="6FC9646F">
      <w:pPr>
        <w:pStyle w:val="41"/>
        <w:tabs>
          <w:tab w:val="right" w:leader="dot" w:pos="8949"/>
        </w:tabs>
        <w:spacing w:line="400" w:lineRule="exact"/>
        <w:ind w:left="0" w:firstLine="506" w:firstLineChars="200"/>
        <w:rPr>
          <w:rStyle w:val="55"/>
          <w:rFonts w:hint="eastAsia" w:ascii="宋体" w:hAnsi="宋体" w:eastAsia="宋体"/>
        </w:rPr>
      </w:pPr>
    </w:p>
    <w:p w14:paraId="05BE0864">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"_Toc230178832" </w:instrText>
      </w:r>
      <w:r>
        <w:fldChar w:fldCharType="separate"/>
      </w:r>
      <w:r>
        <w:rPr>
          <w:rStyle w:val="55"/>
          <w:rFonts w:ascii="宋体" w:hAnsi="宋体" w:eastAsia="宋体" w:cs="黑体"/>
          <w:lang w:bidi="ar"/>
        </w:rPr>
        <w:t xml:space="preserve">9.6 </w:t>
      </w:r>
      <w:r>
        <w:rPr>
          <w:rStyle w:val="55"/>
          <w:rFonts w:hint="eastAsia" w:ascii="宋体" w:hAnsi="宋体" w:eastAsia="宋体" w:cs="黑体"/>
          <w:lang w:bidi="ar"/>
        </w:rPr>
        <w:t>环境保护措施</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_Toc230178832 \h </w:instrText>
      </w:r>
      <w:r>
        <w:rPr>
          <w:rFonts w:ascii="宋体" w:hAnsi="宋体"/>
          <w:sz w:val="24"/>
          <w:szCs w:val="24"/>
        </w:rPr>
        <w:fldChar w:fldCharType="separate"/>
      </w:r>
      <w:r>
        <w:rPr>
          <w:rFonts w:ascii="宋体" w:hAnsi="宋体"/>
          <w:sz w:val="24"/>
          <w:szCs w:val="24"/>
        </w:rPr>
        <w:t>189</w:t>
      </w:r>
      <w:r>
        <w:rPr>
          <w:rFonts w:ascii="宋体" w:hAnsi="宋体"/>
          <w:sz w:val="24"/>
          <w:szCs w:val="24"/>
        </w:rPr>
        <w:fldChar w:fldCharType="end"/>
      </w:r>
      <w:r>
        <w:rPr>
          <w:rFonts w:ascii="宋体" w:hAnsi="宋体"/>
          <w:sz w:val="24"/>
          <w:szCs w:val="24"/>
        </w:rPr>
        <w:fldChar w:fldCharType="end"/>
      </w:r>
    </w:p>
    <w:p w14:paraId="69D9A22F">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"_Toc230178833" </w:instrText>
      </w:r>
      <w:r>
        <w:fldChar w:fldCharType="separate"/>
      </w:r>
      <w:r>
        <w:rPr>
          <w:rStyle w:val="55"/>
          <w:rFonts w:ascii="宋体" w:hAnsi="宋体" w:eastAsia="宋体" w:cs="黑体"/>
          <w:lang w:bidi="ar"/>
        </w:rPr>
        <w:t xml:space="preserve">9.7 </w:t>
      </w:r>
      <w:r>
        <w:rPr>
          <w:rStyle w:val="55"/>
          <w:rFonts w:hint="eastAsia" w:ascii="宋体" w:hAnsi="宋体" w:eastAsia="宋体" w:cs="黑体"/>
          <w:lang w:bidi="ar"/>
        </w:rPr>
        <w:t>公众意见采纳情况</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_Toc230178833 \h </w:instrText>
      </w:r>
      <w:r>
        <w:rPr>
          <w:rFonts w:ascii="宋体" w:hAnsi="宋体"/>
          <w:sz w:val="24"/>
          <w:szCs w:val="24"/>
        </w:rPr>
        <w:fldChar w:fldCharType="separate"/>
      </w:r>
      <w:r>
        <w:rPr>
          <w:rFonts w:ascii="宋体" w:hAnsi="宋体"/>
          <w:sz w:val="24"/>
          <w:szCs w:val="24"/>
        </w:rPr>
        <w:t>189</w:t>
      </w:r>
      <w:r>
        <w:rPr>
          <w:rFonts w:ascii="宋体" w:hAnsi="宋体"/>
          <w:sz w:val="24"/>
          <w:szCs w:val="24"/>
        </w:rPr>
        <w:fldChar w:fldCharType="end"/>
      </w:r>
      <w:r>
        <w:rPr>
          <w:rFonts w:ascii="宋体" w:hAnsi="宋体"/>
          <w:sz w:val="24"/>
          <w:szCs w:val="24"/>
        </w:rPr>
        <w:fldChar w:fldCharType="end"/>
      </w:r>
    </w:p>
    <w:p w14:paraId="1EB81E91">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"_Toc230178834" </w:instrText>
      </w:r>
      <w:r>
        <w:fldChar w:fldCharType="separate"/>
      </w:r>
      <w:r>
        <w:rPr>
          <w:rStyle w:val="55"/>
          <w:rFonts w:ascii="宋体" w:hAnsi="宋体" w:eastAsia="宋体" w:cs="黑体"/>
          <w:lang w:bidi="ar"/>
        </w:rPr>
        <w:t xml:space="preserve">9.8 </w:t>
      </w:r>
      <w:r>
        <w:rPr>
          <w:rStyle w:val="55"/>
          <w:rFonts w:hint="eastAsia" w:ascii="宋体" w:hAnsi="宋体" w:eastAsia="宋体" w:cs="黑体"/>
          <w:lang w:bidi="ar"/>
        </w:rPr>
        <w:t>环境影响经济损益分析</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_Toc230178834 \h </w:instrText>
      </w:r>
      <w:r>
        <w:rPr>
          <w:rFonts w:ascii="宋体" w:hAnsi="宋体"/>
          <w:sz w:val="24"/>
          <w:szCs w:val="24"/>
        </w:rPr>
        <w:fldChar w:fldCharType="separate"/>
      </w:r>
      <w:r>
        <w:rPr>
          <w:rFonts w:ascii="宋体" w:hAnsi="宋体"/>
          <w:sz w:val="24"/>
          <w:szCs w:val="24"/>
        </w:rPr>
        <w:t>189</w:t>
      </w:r>
      <w:r>
        <w:rPr>
          <w:rFonts w:ascii="宋体" w:hAnsi="宋体"/>
          <w:sz w:val="24"/>
          <w:szCs w:val="24"/>
        </w:rPr>
        <w:fldChar w:fldCharType="end"/>
      </w:r>
      <w:r>
        <w:rPr>
          <w:rFonts w:ascii="宋体" w:hAnsi="宋体"/>
          <w:sz w:val="24"/>
          <w:szCs w:val="24"/>
        </w:rPr>
        <w:fldChar w:fldCharType="end"/>
      </w:r>
    </w:p>
    <w:p w14:paraId="7C739C59">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"_Toc230178835" </w:instrText>
      </w:r>
      <w:r>
        <w:fldChar w:fldCharType="separate"/>
      </w:r>
      <w:r>
        <w:rPr>
          <w:rStyle w:val="55"/>
          <w:rFonts w:ascii="宋体" w:hAnsi="宋体" w:eastAsia="宋体" w:cs="黑体"/>
          <w:lang w:bidi="ar"/>
        </w:rPr>
        <w:t xml:space="preserve">9.9 </w:t>
      </w:r>
      <w:r>
        <w:rPr>
          <w:rStyle w:val="55"/>
          <w:rFonts w:hint="eastAsia" w:ascii="宋体" w:hAnsi="宋体" w:eastAsia="宋体" w:cs="黑体"/>
          <w:lang w:bidi="ar"/>
        </w:rPr>
        <w:t>环境管理与监测计划</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_Toc230178835 \h </w:instrText>
      </w:r>
      <w:r>
        <w:rPr>
          <w:rFonts w:ascii="宋体" w:hAnsi="宋体"/>
          <w:sz w:val="24"/>
          <w:szCs w:val="24"/>
        </w:rPr>
        <w:fldChar w:fldCharType="separate"/>
      </w:r>
      <w:r>
        <w:rPr>
          <w:rFonts w:ascii="宋体" w:hAnsi="宋体"/>
          <w:sz w:val="24"/>
          <w:szCs w:val="24"/>
        </w:rPr>
        <w:t>190</w:t>
      </w:r>
      <w:r>
        <w:rPr>
          <w:rFonts w:ascii="宋体" w:hAnsi="宋体"/>
          <w:sz w:val="24"/>
          <w:szCs w:val="24"/>
        </w:rPr>
        <w:fldChar w:fldCharType="end"/>
      </w:r>
      <w:r>
        <w:rPr>
          <w:rFonts w:ascii="宋体" w:hAnsi="宋体"/>
          <w:sz w:val="24"/>
          <w:szCs w:val="24"/>
        </w:rPr>
        <w:fldChar w:fldCharType="end"/>
      </w:r>
    </w:p>
    <w:p w14:paraId="548C48B0">
      <w:pPr>
        <w:pStyle w:val="41"/>
        <w:tabs>
          <w:tab w:val="right" w:leader="dot" w:pos="8949"/>
        </w:tabs>
        <w:spacing w:line="400" w:lineRule="exact"/>
        <w:ind w:left="0" w:firstLine="446" w:firstLineChars="200"/>
        <w:rPr>
          <w:rFonts w:ascii="宋体" w:hAnsi="宋体"/>
          <w:smallCaps w:val="0"/>
          <w:spacing w:val="0"/>
          <w:sz w:val="24"/>
          <w:szCs w:val="24"/>
        </w:rPr>
      </w:pPr>
      <w:r>
        <w:fldChar w:fldCharType="begin"/>
      </w:r>
      <w:r>
        <w:instrText xml:space="preserve"> HYPERLINK \l "_Toc230178836" </w:instrText>
      </w:r>
      <w:r>
        <w:fldChar w:fldCharType="separate"/>
      </w:r>
      <w:r>
        <w:rPr>
          <w:rStyle w:val="55"/>
          <w:rFonts w:ascii="宋体" w:hAnsi="宋体" w:eastAsia="宋体" w:cs="黑体"/>
          <w:lang w:bidi="ar"/>
        </w:rPr>
        <w:t xml:space="preserve">9.10 </w:t>
      </w:r>
      <w:r>
        <w:rPr>
          <w:rStyle w:val="55"/>
          <w:rFonts w:hint="eastAsia" w:ascii="宋体" w:hAnsi="宋体" w:eastAsia="宋体" w:cs="黑体"/>
          <w:lang w:bidi="ar"/>
        </w:rPr>
        <w:t>项目可行性结论</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_Toc230178836 \h </w:instrText>
      </w:r>
      <w:r>
        <w:rPr>
          <w:rFonts w:ascii="宋体" w:hAnsi="宋体"/>
          <w:sz w:val="24"/>
          <w:szCs w:val="24"/>
        </w:rPr>
        <w:fldChar w:fldCharType="separate"/>
      </w:r>
      <w:r>
        <w:rPr>
          <w:rFonts w:ascii="宋体" w:hAnsi="宋体"/>
          <w:sz w:val="24"/>
          <w:szCs w:val="24"/>
        </w:rPr>
        <w:t>190</w:t>
      </w:r>
      <w:r>
        <w:rPr>
          <w:rFonts w:ascii="宋体" w:hAnsi="宋体"/>
          <w:sz w:val="24"/>
          <w:szCs w:val="24"/>
        </w:rPr>
        <w:fldChar w:fldCharType="end"/>
      </w:r>
      <w:r>
        <w:rPr>
          <w:rFonts w:ascii="宋体" w:hAnsi="宋体"/>
          <w:sz w:val="24"/>
          <w:szCs w:val="24"/>
        </w:rPr>
        <w:fldChar w:fldCharType="end"/>
      </w:r>
    </w:p>
    <w:p w14:paraId="2041D41A">
      <w:pPr>
        <w:pStyle w:val="41"/>
        <w:tabs>
          <w:tab w:val="right" w:leader="dot" w:pos="8949"/>
        </w:tabs>
        <w:spacing w:line="400" w:lineRule="exact"/>
        <w:ind w:left="0" w:firstLine="526" w:firstLineChars="200"/>
        <w:rPr>
          <w:rFonts w:hAnsi="宋体" w:cs="宋体"/>
          <w:color w:val="000000"/>
          <w:szCs w:val="24"/>
        </w:rPr>
      </w:pPr>
      <w:r>
        <w:rPr>
          <w:rFonts w:ascii="宋体" w:hAnsi="宋体"/>
          <w:bCs/>
          <w:caps/>
          <w:smallCaps w:val="0"/>
          <w:color w:val="000000"/>
          <w:sz w:val="24"/>
          <w:szCs w:val="24"/>
        </w:rPr>
        <w:fldChar w:fldCharType="end"/>
      </w:r>
    </w:p>
    <w:p w14:paraId="040A5CEC">
      <w:pPr>
        <w:autoSpaceDE w:val="0"/>
        <w:autoSpaceDN w:val="0"/>
        <w:adjustRightInd w:val="0"/>
        <w:spacing w:line="480" w:lineRule="exact"/>
        <w:rPr>
          <w:rFonts w:hint="eastAsia" w:hAnsi="宋体"/>
          <w:color w:val="000000"/>
          <w:szCs w:val="24"/>
        </w:rPr>
        <w:sectPr>
          <w:headerReference r:id="rId3" w:type="default"/>
          <w:footerReference r:id="rId5" w:type="default"/>
          <w:headerReference r:id="rId4" w:type="even"/>
          <w:footerReference r:id="rId6" w:type="even"/>
          <w:pgSz w:w="11907" w:h="16840"/>
          <w:pgMar w:top="1814" w:right="1474" w:bottom="1474" w:left="1474" w:header="1361" w:footer="1134" w:gutter="0"/>
          <w:cols w:space="708" w:num="1"/>
          <w:docGrid w:type="linesAndChars" w:linePitch="479" w:charSpace="2764"/>
        </w:sectPr>
      </w:pPr>
    </w:p>
    <w:p w14:paraId="6482503D">
      <w:pPr>
        <w:pStyle w:val="47"/>
        <w:spacing w:after="0" w:line="480" w:lineRule="exact"/>
        <w:ind w:left="527"/>
        <w:rPr>
          <w:rFonts w:hint="eastAsia"/>
          <w:color w:val="000000"/>
        </w:rPr>
      </w:pPr>
    </w:p>
    <w:p w14:paraId="7C26DBC1">
      <w:pPr>
        <w:tabs>
          <w:tab w:val="left" w:pos="2718"/>
        </w:tabs>
        <w:spacing w:line="480" w:lineRule="exact"/>
        <w:outlineLvl w:val="0"/>
        <w:rPr>
          <w:rFonts w:ascii="黑体" w:hAnsi="黑体" w:eastAsia="黑体"/>
          <w:color w:val="000000"/>
          <w:sz w:val="32"/>
          <w:szCs w:val="32"/>
          <w:lang w:val="zh-CN"/>
        </w:rPr>
      </w:pPr>
      <w:bookmarkStart w:id="3" w:name="_Toc198040302"/>
      <w:bookmarkStart w:id="4" w:name="_Toc230178768"/>
      <w:bookmarkStart w:id="5" w:name="_Toc198040158"/>
      <w:bookmarkStart w:id="6" w:name="_Toc208474651"/>
      <w:bookmarkStart w:id="7" w:name="_Toc3154"/>
      <w:r>
        <w:rPr>
          <w:rFonts w:hint="eastAsia" w:ascii="黑体" w:hAnsi="黑体" w:eastAsia="黑体"/>
          <w:color w:val="000000"/>
          <w:sz w:val="32"/>
          <w:szCs w:val="32"/>
        </w:rPr>
        <w:t xml:space="preserve">1 </w:t>
      </w:r>
      <w:r>
        <w:rPr>
          <w:rFonts w:hint="eastAsia" w:ascii="黑体" w:hAnsi="黑体" w:eastAsia="黑体"/>
          <w:color w:val="000000"/>
          <w:sz w:val="32"/>
          <w:szCs w:val="32"/>
          <w:lang w:val="zh-CN"/>
        </w:rPr>
        <w:t>概述</w:t>
      </w:r>
      <w:bookmarkEnd w:id="3"/>
      <w:bookmarkEnd w:id="4"/>
      <w:bookmarkEnd w:id="5"/>
      <w:bookmarkEnd w:id="6"/>
      <w:bookmarkEnd w:id="7"/>
    </w:p>
    <w:p w14:paraId="23692CF2">
      <w:pPr>
        <w:spacing w:line="480" w:lineRule="exact"/>
        <w:outlineLvl w:val="1"/>
        <w:rPr>
          <w:rFonts w:ascii="黑体" w:hAnsi="黑体" w:eastAsia="黑体" w:cs="黑体"/>
          <w:color w:val="000000"/>
          <w:sz w:val="28"/>
          <w:szCs w:val="28"/>
          <w:lang w:bidi="ar"/>
        </w:rPr>
      </w:pPr>
      <w:bookmarkStart w:id="8" w:name="_Toc26262922"/>
      <w:bookmarkStart w:id="9" w:name="_Toc13895"/>
      <w:bookmarkStart w:id="10" w:name="_Toc198040303"/>
      <w:bookmarkStart w:id="11" w:name="_Toc208474652"/>
      <w:bookmarkStart w:id="12" w:name="_Toc198040159"/>
      <w:bookmarkStart w:id="13" w:name="_Toc230178769"/>
      <w:r>
        <w:rPr>
          <w:rFonts w:ascii="黑体" w:hAnsi="黑体" w:eastAsia="黑体" w:cs="黑体"/>
          <w:color w:val="000000"/>
          <w:sz w:val="28"/>
          <w:szCs w:val="28"/>
          <w:lang w:bidi="ar"/>
        </w:rPr>
        <w:t>1</w:t>
      </w:r>
      <w:r>
        <w:rPr>
          <w:rFonts w:hint="eastAsia" w:ascii="黑体" w:hAnsi="黑体" w:eastAsia="黑体" w:cs="黑体"/>
          <w:color w:val="000000"/>
          <w:sz w:val="28"/>
          <w:szCs w:val="28"/>
          <w:lang w:bidi="ar"/>
        </w:rPr>
        <w:t xml:space="preserve">.1 </w:t>
      </w:r>
      <w:bookmarkEnd w:id="8"/>
      <w:bookmarkEnd w:id="9"/>
      <w:r>
        <w:rPr>
          <w:rFonts w:hint="eastAsia" w:ascii="黑体" w:hAnsi="黑体" w:eastAsia="黑体" w:cs="黑体"/>
          <w:color w:val="000000"/>
          <w:sz w:val="28"/>
          <w:szCs w:val="28"/>
          <w:lang w:bidi="ar"/>
        </w:rPr>
        <w:t>建设项目特点</w:t>
      </w:r>
      <w:bookmarkEnd w:id="10"/>
      <w:bookmarkEnd w:id="11"/>
      <w:bookmarkEnd w:id="12"/>
      <w:bookmarkEnd w:id="13"/>
    </w:p>
    <w:p w14:paraId="53662109">
      <w:pPr>
        <w:spacing w:line="480" w:lineRule="exact"/>
        <w:ind w:firstLine="526" w:firstLineChars="200"/>
        <w:rPr>
          <w:rFonts w:hint="eastAsia" w:hAnsi="宋体" w:cs="宋体"/>
          <w:color w:val="000000"/>
        </w:rPr>
      </w:pPr>
      <w:r>
        <w:rPr>
          <w:rFonts w:hint="eastAsia" w:hAnsi="宋体" w:cs="宋体"/>
          <w:color w:val="000000"/>
        </w:rPr>
        <w:t>塔里木盆地是世界上最大的内陆盆地之一，总面积56×10</w:t>
      </w:r>
      <w:r>
        <w:rPr>
          <w:rFonts w:hint="eastAsia" w:hAnsi="宋体" w:cs="宋体"/>
          <w:color w:val="000000"/>
          <w:vertAlign w:val="superscript"/>
        </w:rPr>
        <w:t>4</w:t>
      </w:r>
      <w:r>
        <w:rPr>
          <w:rFonts w:hint="eastAsia" w:hAnsi="宋体" w:cs="宋体"/>
          <w:color w:val="000000"/>
        </w:rPr>
        <w:t>km</w:t>
      </w:r>
      <w:r>
        <w:rPr>
          <w:rFonts w:hint="eastAsia" w:hAnsi="宋体" w:cs="宋体"/>
          <w:color w:val="000000"/>
          <w:vertAlign w:val="superscript"/>
        </w:rPr>
        <w:t>2</w:t>
      </w:r>
      <w:r>
        <w:rPr>
          <w:rFonts w:hint="eastAsia" w:hAnsi="宋体" w:cs="宋体"/>
          <w:color w:val="000000"/>
        </w:rPr>
        <w:t>，石油资源储量约为107.6×10</w:t>
      </w:r>
      <w:r>
        <w:rPr>
          <w:rFonts w:hint="eastAsia" w:hAnsi="宋体" w:cs="宋体"/>
          <w:color w:val="000000"/>
          <w:vertAlign w:val="superscript"/>
        </w:rPr>
        <w:t>8</w:t>
      </w:r>
      <w:r>
        <w:rPr>
          <w:rFonts w:hint="eastAsia" w:hAnsi="宋体" w:cs="宋体"/>
          <w:color w:val="000000"/>
        </w:rPr>
        <w:t>t，天然气资源储量约为8.39×10</w:t>
      </w:r>
      <w:r>
        <w:rPr>
          <w:rFonts w:hint="eastAsia" w:hAnsi="宋体" w:cs="宋体"/>
          <w:color w:val="000000"/>
          <w:vertAlign w:val="superscript"/>
        </w:rPr>
        <w:t>12</w:t>
      </w:r>
      <w:r>
        <w:rPr>
          <w:rFonts w:hint="eastAsia" w:hAnsi="宋体" w:cs="宋体"/>
          <w:color w:val="000000"/>
        </w:rPr>
        <w:t>m</w:t>
      </w:r>
      <w:r>
        <w:rPr>
          <w:rFonts w:hint="eastAsia" w:hAnsi="宋体" w:cs="宋体"/>
          <w:color w:val="000000"/>
          <w:vertAlign w:val="superscript"/>
        </w:rPr>
        <w:t>3</w:t>
      </w:r>
      <w:r>
        <w:rPr>
          <w:rFonts w:hint="eastAsia" w:hAnsi="宋体" w:cs="宋体"/>
          <w:color w:val="000000"/>
        </w:rPr>
        <w:t>。中国石油天然气股份有限公司塔里木油田分公司（简称“塔里木油田分公司”）油气产量当量已突破3000万吨，是中国特大型油田之一。</w:t>
      </w:r>
    </w:p>
    <w:p w14:paraId="12C39236">
      <w:pPr>
        <w:ind w:firstLine="526" w:firstLineChars="200"/>
        <w:rPr>
          <w:rFonts w:hint="eastAsia" w:hAnsi="宋体" w:cs="宋体"/>
          <w:color w:val="000000"/>
        </w:rPr>
      </w:pPr>
      <w:r>
        <w:rPr>
          <w:rFonts w:hint="eastAsia" w:hAnsi="宋体"/>
          <w:color w:val="000000"/>
        </w:rPr>
        <w:t>塔中油气田</w:t>
      </w:r>
      <w:r>
        <w:rPr>
          <w:rFonts w:hint="eastAsia" w:hAnsi="宋体" w:cs="宋体"/>
          <w:color w:val="000000"/>
        </w:rPr>
        <w:t>地处</w:t>
      </w:r>
      <w:r>
        <w:rPr>
          <w:rFonts w:hint="eastAsia" w:hAnsi="宋体"/>
          <w:color w:val="000000"/>
        </w:rPr>
        <w:t>塔克拉玛干沙漠腹地，主要包括塔中4油田、塔中16油田、塔中10油田、塔中6凝析气田、塔中Ⅰ号气田。</w:t>
      </w:r>
      <w:r>
        <w:rPr>
          <w:rFonts w:hint="eastAsia" w:hAnsi="宋体" w:cs="宋体"/>
          <w:color w:val="000000"/>
        </w:rPr>
        <w:t>塔中Ⅰ号气田东西长220km，南北宽2～30km，矿权面积9314km</w:t>
      </w:r>
      <w:r>
        <w:rPr>
          <w:rFonts w:hint="eastAsia" w:hAnsi="宋体" w:cs="宋体"/>
          <w:color w:val="000000"/>
          <w:vertAlign w:val="superscript"/>
        </w:rPr>
        <w:t>2</w:t>
      </w:r>
      <w:r>
        <w:rPr>
          <w:rFonts w:hint="eastAsia" w:hAnsi="宋体" w:cs="宋体"/>
          <w:color w:val="000000"/>
        </w:rPr>
        <w:t>，根据气藏地质特征及开发状况，自东向西划分为三个区（Ⅰ、Ⅱ、Ⅲ区），其中Ⅰ号气田Ⅲ区面积1048km</w:t>
      </w:r>
      <w:r>
        <w:rPr>
          <w:rFonts w:hint="eastAsia" w:hAnsi="宋体" w:cs="宋体"/>
          <w:color w:val="000000"/>
          <w:vertAlign w:val="superscript"/>
        </w:rPr>
        <w:t>2</w:t>
      </w:r>
      <w:r>
        <w:rPr>
          <w:rFonts w:hint="eastAsia" w:hAnsi="宋体" w:cs="宋体"/>
          <w:color w:val="000000"/>
        </w:rPr>
        <w:t>，储量面积267.89km</w:t>
      </w:r>
      <w:r>
        <w:rPr>
          <w:rFonts w:hint="eastAsia" w:hAnsi="宋体" w:cs="宋体"/>
          <w:color w:val="000000"/>
          <w:vertAlign w:val="superscript"/>
        </w:rPr>
        <w:t>2</w:t>
      </w:r>
      <w:r>
        <w:rPr>
          <w:rFonts w:hint="eastAsia" w:hAnsi="宋体" w:cs="宋体"/>
          <w:color w:val="000000"/>
        </w:rPr>
        <w:t>、天然气231.99×10</w:t>
      </w:r>
      <w:r>
        <w:rPr>
          <w:rFonts w:hint="eastAsia" w:hAnsi="宋体" w:cs="宋体"/>
          <w:color w:val="000000"/>
          <w:vertAlign w:val="superscript"/>
        </w:rPr>
        <w:t>8</w:t>
      </w:r>
      <w:r>
        <w:rPr>
          <w:rFonts w:hint="eastAsia" w:hAnsi="宋体" w:cs="宋体"/>
          <w:color w:val="000000"/>
        </w:rPr>
        <w:t>m</w:t>
      </w:r>
      <w:r>
        <w:rPr>
          <w:rFonts w:hint="eastAsia" w:hAnsi="宋体" w:cs="宋体"/>
          <w:color w:val="000000"/>
          <w:vertAlign w:val="superscript"/>
        </w:rPr>
        <w:t>3</w:t>
      </w:r>
      <w:r>
        <w:rPr>
          <w:rFonts w:hint="eastAsia" w:hAnsi="宋体" w:cs="宋体"/>
          <w:color w:val="000000"/>
        </w:rPr>
        <w:t>，石油4077.46×10</w:t>
      </w:r>
      <w:r>
        <w:rPr>
          <w:rFonts w:hint="eastAsia" w:hAnsi="宋体" w:cs="宋体"/>
          <w:color w:val="000000"/>
          <w:vertAlign w:val="superscript"/>
        </w:rPr>
        <w:t>4</w:t>
      </w:r>
      <w:r>
        <w:rPr>
          <w:rFonts w:hint="eastAsia" w:hAnsi="宋体" w:cs="宋体"/>
          <w:color w:val="000000"/>
        </w:rPr>
        <w:t>t。</w:t>
      </w:r>
    </w:p>
    <w:p w14:paraId="6B377DDC">
      <w:pPr>
        <w:spacing w:line="480" w:lineRule="exact"/>
        <w:ind w:firstLine="526" w:firstLineChars="200"/>
        <w:rPr>
          <w:rFonts w:hAnsi="宋体" w:cs="宋体"/>
          <w:color w:val="000000"/>
          <w:szCs w:val="24"/>
        </w:rPr>
      </w:pPr>
      <w:r>
        <w:rPr>
          <w:rFonts w:hint="eastAsia" w:hAnsi="宋体"/>
          <w:color w:val="000000"/>
        </w:rPr>
        <w:t>为了满足塔里木油田塔中Ⅰ号气田产能开发的需要，增大整体开发效益。</w:t>
      </w:r>
      <w:r>
        <w:rPr>
          <w:rFonts w:hint="eastAsia" w:hAnsi="宋体" w:cs="宋体"/>
          <w:color w:val="000000"/>
          <w:spacing w:val="9"/>
        </w:rPr>
        <w:t>为此，塔里木油田分公司决定投资354.88万元，实施“2号集至塔三联集输管线改造项目”，建设性质为改扩建，主要建设内容包括：①新建ZG11-H1井至ZG8-9井集输管线2.5km，涉及二号集气站和塔三联合站站内管线改造；②更换ZG431-H3至5#集DN150外输管线碰头点后1km管线；采用内穿插HBPE(高阻隔聚烯烃管)对ZG431-H4至5#集DN150外输管线进行修复；③配套建设自控仪表、给排水、暖通、通信、电气等辅助设施。</w:t>
      </w:r>
    </w:p>
    <w:p w14:paraId="3667F187">
      <w:pPr>
        <w:spacing w:line="480" w:lineRule="exact"/>
        <w:outlineLvl w:val="1"/>
        <w:rPr>
          <w:rFonts w:ascii="黑体" w:hAnsi="黑体" w:eastAsia="黑体" w:cs="黑体"/>
          <w:color w:val="000000"/>
          <w:sz w:val="28"/>
          <w:szCs w:val="28"/>
          <w:lang w:bidi="ar"/>
        </w:rPr>
      </w:pPr>
      <w:bookmarkStart w:id="14" w:name="_Toc208474653"/>
      <w:bookmarkStart w:id="15" w:name="_Toc230178770"/>
      <w:bookmarkStart w:id="16" w:name="_Toc10393"/>
      <w:bookmarkStart w:id="17" w:name="_Toc198040160"/>
      <w:bookmarkStart w:id="18" w:name="_Toc198040304"/>
      <w:r>
        <w:rPr>
          <w:rFonts w:hint="eastAsia" w:ascii="黑体" w:hAnsi="黑体" w:eastAsia="黑体" w:cs="黑体"/>
          <w:color w:val="000000"/>
          <w:sz w:val="28"/>
          <w:szCs w:val="28"/>
          <w:lang w:bidi="ar"/>
        </w:rPr>
        <w:t>1.2 环境影响评价工作过程</w:t>
      </w:r>
      <w:bookmarkEnd w:id="14"/>
      <w:bookmarkEnd w:id="15"/>
      <w:bookmarkEnd w:id="16"/>
      <w:bookmarkEnd w:id="17"/>
      <w:bookmarkEnd w:id="18"/>
    </w:p>
    <w:p w14:paraId="304FF825">
      <w:pPr>
        <w:spacing w:line="480" w:lineRule="exact"/>
        <w:ind w:firstLine="526" w:firstLineChars="200"/>
        <w:rPr>
          <w:rFonts w:hAnsi="宋体" w:cs="宋体"/>
          <w:color w:val="000000"/>
          <w:szCs w:val="24"/>
        </w:rPr>
      </w:pPr>
      <w:r>
        <w:rPr>
          <w:rFonts w:hint="eastAsia" w:hAnsi="宋体" w:cs="宋体"/>
          <w:color w:val="000000"/>
        </w:rPr>
        <w:t>拟建工程</w:t>
      </w:r>
      <w:r>
        <w:rPr>
          <w:rFonts w:hAnsi="宋体" w:cs="宋体"/>
          <w:color w:val="000000"/>
        </w:rPr>
        <w:t>属于油气开采项目</w:t>
      </w:r>
      <w:r>
        <w:rPr>
          <w:rFonts w:hint="eastAsia" w:hAnsi="宋体" w:cs="宋体"/>
          <w:color w:val="000000"/>
        </w:rPr>
        <w:t>，位于</w:t>
      </w:r>
      <w:r>
        <w:rPr>
          <w:rFonts w:hint="eastAsia" w:hAnsi="宋体"/>
          <w:color w:val="000000"/>
        </w:rPr>
        <w:t>新疆阿克苏地区沙雅县、和田地区民丰县境内</w:t>
      </w:r>
      <w:r>
        <w:rPr>
          <w:rFonts w:hint="eastAsia" w:hAnsi="宋体" w:cs="宋体"/>
          <w:color w:val="000000"/>
          <w:szCs w:val="24"/>
        </w:rPr>
        <w:t>。根据《新疆维吾尔自治区水土保持规划（2018-2030年）》和“自治区级水土流失两区复核划分成果的通知”，项目所在区域属于塔里木河流域水土流失重点治理区。根据《中华人民共和国环境影响评价法》（2018年12月29日修正）、《建设项目环境影响评价分类管理名录（2021年版）》（部令第16号），拟建工程属于分类管理名录“五 石油和天然气开采业07 8陆地天然气开采0721”中的“涉及环境敏感区的（含内部集输管道建设）”，应编制环境影响报告书</w:t>
      </w:r>
      <w:r>
        <w:rPr>
          <w:rFonts w:hAnsi="宋体" w:cs="宋体"/>
          <w:color w:val="000000"/>
          <w:szCs w:val="24"/>
        </w:rPr>
        <w:t>。</w:t>
      </w:r>
    </w:p>
    <w:p w14:paraId="334B9A3D">
      <w:pPr>
        <w:spacing w:line="480" w:lineRule="exact"/>
        <w:ind w:firstLine="526" w:firstLineChars="200"/>
        <w:rPr>
          <w:rFonts w:hAnsi="宋体"/>
          <w:color w:val="000000"/>
          <w:szCs w:val="24"/>
        </w:rPr>
      </w:pPr>
      <w:r>
        <w:rPr>
          <w:rFonts w:hint="eastAsia" w:hAnsi="宋体"/>
          <w:color w:val="000000"/>
          <w:szCs w:val="24"/>
        </w:rPr>
        <w:t>为此，塔里木油田分公司于2026年4月9日委托河北省众联能源环保科技有限公司开展拟建工程的环境影响评价工作。接受委托后，评价单位组织有关专业人员踏勘了项目现场，收集了区域自然环境概况、环境质量、污染源等资料，与建设单位和设计单位沟通了环保治理方案，随即开展环境影响报告书编制工作。</w:t>
      </w:r>
      <w:r>
        <w:rPr>
          <w:rFonts w:hint="eastAsia"/>
          <w:color w:val="000000"/>
          <w:szCs w:val="24"/>
        </w:rPr>
        <w:t>在环评报告编制期间，建设单位于</w:t>
      </w:r>
      <w:r>
        <w:rPr>
          <w:rFonts w:hint="eastAsia" w:hAnsi="宋体"/>
          <w:color w:val="000000"/>
          <w:szCs w:val="24"/>
        </w:rPr>
        <w:t>202</w:t>
      </w:r>
      <w:r>
        <w:rPr>
          <w:rFonts w:hint="eastAsia" w:hAnsi="宋体"/>
          <w:color w:val="000000"/>
          <w:szCs w:val="24"/>
          <w:lang w:val="en-US" w:eastAsia="zh-CN"/>
        </w:rPr>
        <w:t>6</w:t>
      </w:r>
      <w:r>
        <w:rPr>
          <w:rFonts w:hint="eastAsia" w:hAnsi="宋体"/>
          <w:color w:val="000000"/>
          <w:szCs w:val="24"/>
        </w:rPr>
        <w:t>年</w:t>
      </w:r>
      <w:r>
        <w:rPr>
          <w:rFonts w:hint="eastAsia"/>
          <w:color w:val="000000"/>
        </w:rPr>
        <w:t>4</w:t>
      </w:r>
      <w:r>
        <w:rPr>
          <w:rFonts w:hint="eastAsia" w:hAnsi="宋体"/>
          <w:color w:val="000000"/>
          <w:szCs w:val="24"/>
        </w:rPr>
        <w:t>月14日</w:t>
      </w:r>
      <w:r>
        <w:rPr>
          <w:rFonts w:hint="eastAsia"/>
          <w:color w:val="000000"/>
        </w:rPr>
        <w:t>在《新疆维吾尔自治区生态环境保护产业协会网站》进行第一次网络信息公示，并开展工程区域环境质量现状监测工作。在上述工作基础上，评价单位完成了环境影响报告书征求意见稿，随后</w:t>
      </w:r>
      <w:r>
        <w:rPr>
          <w:rFonts w:hint="eastAsia" w:hAnsi="宋体"/>
          <w:color w:val="000000"/>
        </w:rPr>
        <w:t>塔里木油田分公司</w:t>
      </w:r>
      <w:r>
        <w:rPr>
          <w:rFonts w:hint="eastAsia"/>
          <w:color w:val="000000"/>
        </w:rPr>
        <w:t>按照《环境影响评价公众参与办法》(部令第4号)要求，于2026年5月7日至2026年5月19日</w:t>
      </w:r>
      <w:r>
        <w:rPr>
          <w:rFonts w:hint="eastAsia" w:hAnsi="宋体" w:cs="宋体"/>
          <w:color w:val="000000"/>
        </w:rPr>
        <w:t>在《新疆维吾尔自治区生态环境保护产业协会网站》对拟建工程环评信息进行了第二次公示，</w:t>
      </w:r>
      <w:r>
        <w:rPr>
          <w:rFonts w:hint="eastAsia"/>
          <w:color w:val="000000"/>
        </w:rPr>
        <w:t>在此期间分别于2026年5月12日、2026年5月13日在《新疆法治报》（刊号：CN65-0086）对拟建工程环评信息进行了公示；</w:t>
      </w:r>
      <w:r>
        <w:rPr>
          <w:rFonts w:hint="eastAsia" w:hAnsi="宋体"/>
          <w:color w:val="000000"/>
        </w:rPr>
        <w:t>塔里木油田分公司</w:t>
      </w:r>
      <w:r>
        <w:rPr>
          <w:rFonts w:hint="eastAsia"/>
          <w:color w:val="000000"/>
        </w:rPr>
        <w:t>向新疆维吾尔自治区生态环境厅报批环境影响报告书前，</w:t>
      </w:r>
      <w:r>
        <w:rPr>
          <w:rFonts w:hint="eastAsia"/>
          <w:color w:val="000000"/>
          <w:highlight w:val="none"/>
        </w:rPr>
        <w:t>于2026年</w:t>
      </w:r>
      <w:r>
        <w:rPr>
          <w:rFonts w:hint="eastAsia"/>
          <w:color w:val="000000"/>
          <w:highlight w:val="none"/>
          <w:lang w:val="en-US" w:eastAsia="zh-CN"/>
        </w:rPr>
        <w:t>6</w:t>
      </w:r>
      <w:r>
        <w:rPr>
          <w:rFonts w:hint="eastAsia"/>
          <w:color w:val="000000"/>
          <w:highlight w:val="none"/>
        </w:rPr>
        <w:t>月</w:t>
      </w:r>
      <w:r>
        <w:rPr>
          <w:rFonts w:hint="eastAsia"/>
          <w:color w:val="000000"/>
          <w:highlight w:val="none"/>
          <w:lang w:val="en-US" w:eastAsia="zh-CN"/>
        </w:rPr>
        <w:t>8</w:t>
      </w:r>
      <w:r>
        <w:rPr>
          <w:rFonts w:hint="eastAsia"/>
          <w:color w:val="000000"/>
          <w:highlight w:val="none"/>
        </w:rPr>
        <w:t>日</w:t>
      </w:r>
      <w:r>
        <w:rPr>
          <w:rFonts w:hint="eastAsia"/>
          <w:color w:val="000000"/>
        </w:rPr>
        <w:t>在</w:t>
      </w:r>
      <w:r>
        <w:rPr>
          <w:rFonts w:hint="eastAsia" w:hAnsi="宋体" w:cs="宋体"/>
          <w:color w:val="000000"/>
        </w:rPr>
        <w:t>《新疆维吾尔自治区生态环境保护产业协会网站》</w:t>
      </w:r>
      <w:r>
        <w:rPr>
          <w:rFonts w:hint="eastAsia"/>
          <w:color w:val="000000"/>
        </w:rPr>
        <w:t>网站公开拟报批的环境影响报告书全文和公众参与说明书。根据</w:t>
      </w:r>
      <w:r>
        <w:rPr>
          <w:rFonts w:hint="eastAsia" w:hAnsi="宋体"/>
          <w:color w:val="000000"/>
        </w:rPr>
        <w:t>塔里木油田分公司</w:t>
      </w:r>
      <w:r>
        <w:rPr>
          <w:rFonts w:hint="eastAsia"/>
          <w:color w:val="000000"/>
        </w:rPr>
        <w:t>提供的《</w:t>
      </w:r>
      <w:r>
        <w:rPr>
          <w:rFonts w:hint="eastAsia" w:hAnsi="宋体" w:cs="宋体"/>
          <w:color w:val="000000"/>
        </w:rPr>
        <w:t>2号集至塔三联集输管线改造项目</w:t>
      </w:r>
      <w:r>
        <w:rPr>
          <w:rFonts w:hint="eastAsia"/>
          <w:color w:val="000000"/>
        </w:rPr>
        <w:t>公众参与说明书》，公示期间未收到反馈意见。在以上工作的基础上，评价单位按照《建设项目环境影响评价技术导则》的要求和各级生态环境主管部门的意见，编制完成了拟建工程环境影响报告书</w:t>
      </w:r>
      <w:r>
        <w:rPr>
          <w:rFonts w:hint="eastAsia"/>
          <w:color w:val="000000"/>
          <w:szCs w:val="24"/>
        </w:rPr>
        <w:t>。</w:t>
      </w:r>
    </w:p>
    <w:p w14:paraId="44E921B8">
      <w:pPr>
        <w:spacing w:line="480" w:lineRule="exact"/>
        <w:outlineLvl w:val="1"/>
        <w:rPr>
          <w:rFonts w:ascii="黑体" w:hAnsi="黑体" w:eastAsia="黑体" w:cs="黑体"/>
          <w:color w:val="000000"/>
          <w:sz w:val="28"/>
          <w:szCs w:val="28"/>
          <w:lang w:bidi="ar"/>
        </w:rPr>
      </w:pPr>
      <w:bookmarkStart w:id="19" w:name="_Toc198040305"/>
      <w:bookmarkStart w:id="20" w:name="_Toc198040161"/>
      <w:bookmarkStart w:id="21" w:name="_Toc208474654"/>
      <w:bookmarkStart w:id="22" w:name="_Toc230178771"/>
      <w:bookmarkStart w:id="23" w:name="_Toc29379"/>
      <w:r>
        <w:rPr>
          <w:rFonts w:hint="eastAsia" w:ascii="黑体" w:hAnsi="黑体" w:eastAsia="黑体" w:cs="黑体"/>
          <w:color w:val="000000"/>
          <w:sz w:val="28"/>
          <w:szCs w:val="28"/>
          <w:lang w:bidi="ar"/>
        </w:rPr>
        <w:t>1.3 分析判定相关情况</w:t>
      </w:r>
      <w:bookmarkEnd w:id="19"/>
      <w:bookmarkEnd w:id="20"/>
      <w:bookmarkEnd w:id="21"/>
      <w:bookmarkEnd w:id="22"/>
      <w:bookmarkEnd w:id="23"/>
    </w:p>
    <w:p w14:paraId="0E013136">
      <w:pPr>
        <w:spacing w:line="480" w:lineRule="exact"/>
        <w:ind w:firstLine="526" w:firstLineChars="200"/>
        <w:rPr>
          <w:rFonts w:hAnsi="宋体"/>
          <w:color w:val="000000"/>
          <w:szCs w:val="24"/>
        </w:rPr>
      </w:pPr>
      <w:r>
        <w:rPr>
          <w:rFonts w:hint="eastAsia" w:hAnsi="宋体"/>
          <w:color w:val="000000"/>
          <w:szCs w:val="24"/>
        </w:rPr>
        <w:t>（1）产业政策符合性判定</w:t>
      </w:r>
    </w:p>
    <w:p w14:paraId="6233FDD6">
      <w:pPr>
        <w:spacing w:line="480" w:lineRule="exact"/>
        <w:ind w:firstLine="526" w:firstLineChars="200"/>
        <w:rPr>
          <w:rFonts w:hAnsi="宋体" w:cs="宋体"/>
          <w:color w:val="000000"/>
          <w:szCs w:val="24"/>
        </w:rPr>
      </w:pPr>
      <w:r>
        <w:rPr>
          <w:rFonts w:hint="eastAsia" w:hAnsi="宋体" w:cs="宋体"/>
          <w:color w:val="000000"/>
          <w:szCs w:val="24"/>
        </w:rPr>
        <w:t>拟建工程为油气开采项目，属于“常规石油、天然气勘探与开采”项目，结合《产业结构调整指导目录（2024年本）》，拟建工程属于第一类“鼓励类”第七条“石油天然气”第一款“石油天然气开采”，为鼓励类产业，符合国家当前产业政策要求。</w:t>
      </w:r>
    </w:p>
    <w:p w14:paraId="7653589B">
      <w:pPr>
        <w:spacing w:line="480" w:lineRule="exact"/>
        <w:ind w:firstLine="526" w:firstLineChars="200"/>
        <w:rPr>
          <w:rFonts w:hAnsi="宋体"/>
          <w:color w:val="000000"/>
          <w:szCs w:val="24"/>
        </w:rPr>
      </w:pPr>
      <w:r>
        <w:rPr>
          <w:rFonts w:hint="eastAsia" w:hAnsi="宋体"/>
          <w:color w:val="000000"/>
          <w:szCs w:val="24"/>
        </w:rPr>
        <w:t>（2）规划符合性判定</w:t>
      </w:r>
    </w:p>
    <w:p w14:paraId="18A36B16">
      <w:pPr>
        <w:spacing w:line="480" w:lineRule="exact"/>
        <w:ind w:firstLine="526" w:firstLineChars="200"/>
        <w:rPr>
          <w:rFonts w:hAnsi="宋体" w:cs="宋体"/>
          <w:color w:val="000000"/>
          <w:szCs w:val="24"/>
        </w:rPr>
      </w:pPr>
      <w:r>
        <w:rPr>
          <w:rFonts w:hint="eastAsia" w:hAnsi="宋体" w:cs="宋体"/>
          <w:color w:val="000000"/>
        </w:rPr>
        <w:t>拟建工程属于塔里木油田分公司油气开采项目，符合《新疆维吾尔自治区国民经济和社会发展第十四个五年规划和2035年远景目标纲要》《阿克苏地区国民经济和社会发展第十四个五年规划和2035年远景目标纲要》《</w:t>
      </w:r>
      <w:r>
        <w:rPr>
          <w:rFonts w:hint="eastAsia" w:hAnsi="宋体" w:cs="宋体"/>
          <w:color w:val="000000"/>
          <w:lang w:bidi="ar"/>
        </w:rPr>
        <w:t>塔里木油田“十四五”发展规划</w:t>
      </w:r>
      <w:r>
        <w:rPr>
          <w:rFonts w:hint="eastAsia" w:hAnsi="宋体" w:cs="宋体"/>
          <w:color w:val="000000"/>
          <w:lang w:val="zh-CN"/>
        </w:rPr>
        <w:t>》</w:t>
      </w:r>
      <w:r>
        <w:rPr>
          <w:rFonts w:hint="eastAsia" w:hAnsi="宋体" w:cs="宋体"/>
          <w:color w:val="000000"/>
        </w:rPr>
        <w:t>。拟建工程位于</w:t>
      </w:r>
      <w:r>
        <w:rPr>
          <w:rFonts w:hint="eastAsia" w:hAnsi="宋体"/>
          <w:color w:val="000000"/>
        </w:rPr>
        <w:t>塔中Ⅰ号气田Ⅲ区</w:t>
      </w:r>
      <w:r>
        <w:rPr>
          <w:rFonts w:hint="eastAsia" w:hAnsi="宋体" w:cs="宋体"/>
          <w:color w:val="000000"/>
        </w:rPr>
        <w:t>，不占用生态保护红线及水源地、风景名胜区等环境敏感区，不在划定的禁止开发区域范围内，符合《新疆维吾尔自治区主体功能区规划》相关要求</w:t>
      </w:r>
      <w:r>
        <w:rPr>
          <w:rFonts w:hint="eastAsia" w:hAnsi="宋体" w:cs="宋体"/>
          <w:color w:val="000000"/>
          <w:szCs w:val="24"/>
        </w:rPr>
        <w:t>。</w:t>
      </w:r>
    </w:p>
    <w:p w14:paraId="489DDB58">
      <w:pPr>
        <w:spacing w:line="500" w:lineRule="exact"/>
        <w:ind w:firstLine="515" w:firstLineChars="196"/>
        <w:rPr>
          <w:rFonts w:hAnsi="宋体"/>
          <w:color w:val="000000"/>
          <w:szCs w:val="24"/>
        </w:rPr>
      </w:pPr>
      <w:r>
        <w:rPr>
          <w:rFonts w:hint="eastAsia" w:hAnsi="宋体"/>
          <w:color w:val="000000"/>
          <w:szCs w:val="24"/>
        </w:rPr>
        <w:t>（3）生态环境分区管控符合性判定</w:t>
      </w:r>
    </w:p>
    <w:p w14:paraId="2EB50195">
      <w:pPr>
        <w:spacing w:line="500" w:lineRule="exact"/>
        <w:ind w:firstLine="515" w:firstLineChars="196"/>
        <w:rPr>
          <w:rFonts w:hAnsi="宋体"/>
          <w:color w:val="000000"/>
          <w:szCs w:val="24"/>
        </w:rPr>
      </w:pPr>
      <w:r>
        <w:rPr>
          <w:rFonts w:hint="eastAsia"/>
          <w:bCs/>
          <w:color w:val="000000"/>
        </w:rPr>
        <w:t>拟建工程距生态保护红线</w:t>
      </w:r>
      <w:r>
        <w:rPr>
          <w:rFonts w:hint="eastAsia" w:hAnsi="宋体"/>
          <w:color w:val="000000"/>
        </w:rPr>
        <w:t>（塔里木盆地南缘土地沙化防控生态保护红线区）</w:t>
      </w:r>
      <w:r>
        <w:rPr>
          <w:rFonts w:hint="eastAsia"/>
          <w:bCs/>
          <w:color w:val="000000"/>
        </w:rPr>
        <w:t>最近为93.2km，不在生态保护红线内</w:t>
      </w:r>
      <w:r>
        <w:rPr>
          <w:rFonts w:hint="eastAsia"/>
          <w:color w:val="000000"/>
        </w:rPr>
        <w:t>；</w:t>
      </w:r>
      <w:r>
        <w:rPr>
          <w:rFonts w:hint="eastAsia" w:hAnsi="宋体"/>
          <w:color w:val="000000"/>
        </w:rPr>
        <w:t>拟建工程已提出持续改善、防风固沙、生态修复的要求，项目实施后建设单位应不断强化大气污染源防治措施，改善区域环境空气质量；工程在正常状况下不会造成土壤污染，不会增加土壤环境风险；水资源消耗、土地资源、能源消耗等均能够达到自治区下达的总量和强度控制目标；满足生态环境准入清单中空间布局约束、污染物排放管控、环境风险管控及资源利用效率的相关要求，符合新疆维吾尔自治区、</w:t>
      </w:r>
      <w:r>
        <w:rPr>
          <w:rFonts w:hint="eastAsia"/>
          <w:color w:val="000000"/>
        </w:rPr>
        <w:t>阿克苏地区、和田地区</w:t>
      </w:r>
      <w:r>
        <w:rPr>
          <w:rFonts w:hint="eastAsia" w:hAnsi="宋体"/>
          <w:color w:val="000000"/>
        </w:rPr>
        <w:t>生态环境分区管控要求</w:t>
      </w:r>
      <w:r>
        <w:rPr>
          <w:rFonts w:hint="eastAsia" w:hAnsi="宋体"/>
          <w:color w:val="000000"/>
          <w:szCs w:val="24"/>
        </w:rPr>
        <w:t>。</w:t>
      </w:r>
    </w:p>
    <w:p w14:paraId="69AB53D6">
      <w:pPr>
        <w:spacing w:line="500" w:lineRule="exact"/>
        <w:ind w:firstLine="515" w:firstLineChars="196"/>
        <w:rPr>
          <w:rFonts w:hAnsi="宋体"/>
          <w:color w:val="000000"/>
          <w:szCs w:val="24"/>
        </w:rPr>
      </w:pPr>
      <w:r>
        <w:rPr>
          <w:rFonts w:hint="eastAsia" w:hAnsi="宋体"/>
          <w:color w:val="000000"/>
          <w:szCs w:val="24"/>
        </w:rPr>
        <w:t>（4）评价工作等级</w:t>
      </w:r>
    </w:p>
    <w:p w14:paraId="77306D25">
      <w:pPr>
        <w:spacing w:line="500" w:lineRule="exact"/>
        <w:ind w:firstLine="515" w:firstLineChars="196"/>
        <w:rPr>
          <w:rFonts w:hAnsi="宋体"/>
          <w:color w:val="000000"/>
          <w:szCs w:val="24"/>
          <w:highlight w:val="yellow"/>
        </w:rPr>
      </w:pPr>
      <w:r>
        <w:rPr>
          <w:rFonts w:hint="eastAsia" w:hAnsi="宋体"/>
          <w:color w:val="000000"/>
        </w:rPr>
        <w:t>根据环境影响评价技术导则规定并结合项目特点，经判定，本次环境影响评价工作</w:t>
      </w:r>
      <w:r>
        <w:rPr>
          <w:rFonts w:hint="eastAsia"/>
          <w:color w:val="000000"/>
        </w:rPr>
        <w:t>大气、地表水环境、声环境影响评价工作等级为不开展评价，管线</w:t>
      </w:r>
      <w:r>
        <w:rPr>
          <w:rFonts w:hint="eastAsia" w:hAnsi="宋体"/>
          <w:color w:val="000000"/>
        </w:rPr>
        <w:t>地下水环境影响评价工作等级为三级、管线土壤环境(污染型)影响评价等级为三级，管线生态影响评价等级为三级</w:t>
      </w:r>
      <w:r>
        <w:rPr>
          <w:rFonts w:hint="eastAsia"/>
          <w:color w:val="000000"/>
        </w:rPr>
        <w:t>，环境风险影响评价工作等级为简单分析</w:t>
      </w:r>
      <w:r>
        <w:rPr>
          <w:rFonts w:hint="eastAsia" w:hAnsi="宋体"/>
          <w:color w:val="000000"/>
        </w:rPr>
        <w:t>。</w:t>
      </w:r>
    </w:p>
    <w:p w14:paraId="464D1E7C">
      <w:pPr>
        <w:spacing w:line="500" w:lineRule="exact"/>
        <w:outlineLvl w:val="1"/>
        <w:rPr>
          <w:rFonts w:ascii="黑体" w:hAnsi="黑体" w:eastAsia="黑体" w:cs="黑体"/>
          <w:color w:val="000000"/>
          <w:sz w:val="28"/>
          <w:szCs w:val="28"/>
          <w:lang w:bidi="ar"/>
        </w:rPr>
      </w:pPr>
      <w:bookmarkStart w:id="24" w:name="_Toc230178772"/>
      <w:bookmarkStart w:id="25" w:name="_Toc7131"/>
      <w:bookmarkStart w:id="26" w:name="_Toc198040162"/>
      <w:bookmarkStart w:id="27" w:name="_Toc208474655"/>
      <w:bookmarkStart w:id="28" w:name="_Toc198040306"/>
      <w:r>
        <w:rPr>
          <w:rFonts w:hint="eastAsia" w:ascii="黑体" w:hAnsi="黑体" w:eastAsia="黑体" w:cs="黑体"/>
          <w:color w:val="000000"/>
          <w:sz w:val="28"/>
          <w:szCs w:val="28"/>
          <w:lang w:bidi="ar"/>
        </w:rPr>
        <w:t>1.4 关注的主要环境问题及环境影响</w:t>
      </w:r>
      <w:bookmarkEnd w:id="24"/>
      <w:bookmarkEnd w:id="25"/>
      <w:bookmarkEnd w:id="26"/>
      <w:bookmarkEnd w:id="27"/>
      <w:bookmarkEnd w:id="28"/>
    </w:p>
    <w:p w14:paraId="076B64FD">
      <w:pPr>
        <w:spacing w:line="500" w:lineRule="exact"/>
        <w:ind w:firstLine="526" w:firstLineChars="200"/>
        <w:rPr>
          <w:rFonts w:hAnsi="宋体"/>
          <w:color w:val="000000"/>
          <w:szCs w:val="24"/>
        </w:rPr>
      </w:pPr>
      <w:r>
        <w:rPr>
          <w:rFonts w:hint="eastAsia" w:hAnsi="宋体"/>
          <w:color w:val="000000"/>
          <w:szCs w:val="24"/>
        </w:rPr>
        <w:t>本评价</w:t>
      </w:r>
      <w:r>
        <w:rPr>
          <w:rFonts w:hint="eastAsia" w:hAnsi="宋体"/>
          <w:color w:val="000000"/>
        </w:rPr>
        <w:t>重点关注项目的实施对土壤、生态的影响是否可行，对</w:t>
      </w:r>
      <w:r>
        <w:rPr>
          <w:rFonts w:hint="eastAsia" w:hAnsi="宋体"/>
          <w:color w:val="000000"/>
          <w:szCs w:val="24"/>
        </w:rPr>
        <w:t>区域环境空气、</w:t>
      </w:r>
      <w:r>
        <w:rPr>
          <w:rFonts w:hint="eastAsia" w:hAnsi="宋体"/>
          <w:color w:val="000000"/>
        </w:rPr>
        <w:t>地下水、声环境的环境影响是否可接受，环境风险是否可防控，环保措施是否可行</w:t>
      </w:r>
      <w:r>
        <w:rPr>
          <w:rFonts w:hint="eastAsia" w:hAnsi="宋体"/>
          <w:color w:val="000000"/>
          <w:szCs w:val="24"/>
        </w:rPr>
        <w:t>。</w:t>
      </w:r>
    </w:p>
    <w:p w14:paraId="55549185">
      <w:pPr>
        <w:spacing w:line="500" w:lineRule="exact"/>
        <w:ind w:firstLine="526" w:firstLineChars="200"/>
        <w:rPr>
          <w:rFonts w:hint="eastAsia" w:hAnsi="宋体"/>
          <w:color w:val="000000"/>
        </w:rPr>
      </w:pPr>
      <w:r>
        <w:rPr>
          <w:rFonts w:hint="eastAsia" w:hAnsi="宋体"/>
          <w:color w:val="000000"/>
        </w:rPr>
        <w:t>（1）</w:t>
      </w:r>
      <w:r>
        <w:rPr>
          <w:rFonts w:hint="eastAsia"/>
          <w:color w:val="000000"/>
        </w:rPr>
        <w:t>拟建工程运营期无废气产生，不会对周围大气环境产生影响</w:t>
      </w:r>
      <w:r>
        <w:rPr>
          <w:rFonts w:hint="eastAsia" w:hAnsi="宋体"/>
          <w:color w:val="000000"/>
        </w:rPr>
        <w:t>。</w:t>
      </w:r>
    </w:p>
    <w:p w14:paraId="69FAD744">
      <w:pPr>
        <w:tabs>
          <w:tab w:val="left" w:pos="4215"/>
          <w:tab w:val="left" w:pos="5796"/>
        </w:tabs>
        <w:adjustRightInd w:val="0"/>
        <w:spacing w:line="500" w:lineRule="exact"/>
        <w:ind w:firstLine="526" w:firstLineChars="200"/>
        <w:rPr>
          <w:rFonts w:hint="eastAsia" w:hAnsi="宋体"/>
          <w:color w:val="000000"/>
        </w:rPr>
      </w:pPr>
      <w:r>
        <w:rPr>
          <w:rFonts w:hint="eastAsia" w:hAnsi="宋体"/>
          <w:color w:val="000000"/>
        </w:rPr>
        <w:t>（2）</w:t>
      </w:r>
      <w:r>
        <w:rPr>
          <w:rFonts w:hint="eastAsia"/>
          <w:color w:val="000000"/>
        </w:rPr>
        <w:t>拟建工程运营期无废水产生，不会对周围地表水环境产生影响</w:t>
      </w:r>
      <w:r>
        <w:rPr>
          <w:rFonts w:hint="eastAsia" w:hAnsi="宋体"/>
          <w:color w:val="000000"/>
        </w:rPr>
        <w:t>。</w:t>
      </w:r>
    </w:p>
    <w:p w14:paraId="3385A15C">
      <w:pPr>
        <w:spacing w:line="500" w:lineRule="exact"/>
        <w:ind w:firstLine="526" w:firstLineChars="200"/>
        <w:rPr>
          <w:rFonts w:hint="eastAsia" w:hAnsi="宋体"/>
          <w:color w:val="000000"/>
        </w:rPr>
      </w:pPr>
      <w:r>
        <w:rPr>
          <w:rFonts w:hint="eastAsia" w:hAnsi="宋体"/>
          <w:color w:val="000000"/>
        </w:rPr>
        <w:t>（3）拟建工程在做好源头控制措施、完善分区防渗措施、地下水污染监控措施和地下水污染应急处置的前提下，同时制定跟踪监测计划、建立跟踪监测制度，对地下水环境影响可以接受，从土壤环境影响角度项目可行。</w:t>
      </w:r>
    </w:p>
    <w:p w14:paraId="64D8EE5C">
      <w:pPr>
        <w:spacing w:line="500" w:lineRule="exact"/>
        <w:ind w:firstLine="526" w:firstLineChars="200"/>
        <w:rPr>
          <w:rFonts w:hint="eastAsia" w:hAnsi="宋体"/>
          <w:color w:val="000000"/>
        </w:rPr>
      </w:pPr>
      <w:r>
        <w:rPr>
          <w:rFonts w:hint="eastAsia" w:hAnsi="宋体"/>
          <w:color w:val="000000"/>
        </w:rPr>
        <w:t>（4）</w:t>
      </w:r>
      <w:r>
        <w:rPr>
          <w:rFonts w:hint="eastAsia"/>
          <w:color w:val="000000"/>
        </w:rPr>
        <w:t>拟建工程运营期无噪声产生，不会对周围声环境产生影响。</w:t>
      </w:r>
    </w:p>
    <w:p w14:paraId="1A2780B9">
      <w:pPr>
        <w:spacing w:line="500" w:lineRule="exact"/>
        <w:ind w:firstLine="526" w:firstLineChars="200"/>
        <w:rPr>
          <w:rFonts w:hint="eastAsia" w:hAnsi="宋体"/>
          <w:color w:val="000000"/>
        </w:rPr>
      </w:pPr>
      <w:r>
        <w:rPr>
          <w:rFonts w:hint="eastAsia" w:hAnsi="宋体" w:cs="宋体"/>
          <w:color w:val="000000"/>
        </w:rPr>
        <w:t>（5）</w:t>
      </w:r>
      <w:r>
        <w:rPr>
          <w:rFonts w:hint="eastAsia"/>
          <w:color w:val="000000"/>
        </w:rPr>
        <w:t>拟建工程营运期无固废产生，不会对周边环境产生影响</w:t>
      </w:r>
      <w:r>
        <w:rPr>
          <w:rFonts w:hint="eastAsia" w:hAnsi="宋体" w:cs="宋体"/>
          <w:color w:val="000000"/>
        </w:rPr>
        <w:t>。</w:t>
      </w:r>
    </w:p>
    <w:p w14:paraId="29982A30">
      <w:pPr>
        <w:spacing w:line="500" w:lineRule="exact"/>
        <w:ind w:firstLine="526" w:firstLineChars="200"/>
        <w:rPr>
          <w:color w:val="000000"/>
        </w:rPr>
      </w:pPr>
      <w:r>
        <w:rPr>
          <w:rFonts w:hint="eastAsia" w:hAnsi="宋体"/>
          <w:color w:val="000000"/>
        </w:rPr>
        <w:t>（6）</w:t>
      </w:r>
      <w:r>
        <w:rPr>
          <w:rFonts w:hint="eastAsia"/>
          <w:color w:val="000000"/>
        </w:rPr>
        <w:t>拟建工程管线施工过程中临时占地会对区域植被覆盖度造成一定的影响，施工完成后，对区域进行平整、恢复，植被可逐步自然恢复，从生态影响角度，项目建设可行</w:t>
      </w:r>
      <w:r>
        <w:rPr>
          <w:rFonts w:hAnsi="Times New Roman"/>
          <w:color w:val="000000"/>
        </w:rPr>
        <w:t>。</w:t>
      </w:r>
    </w:p>
    <w:p w14:paraId="46512ADC">
      <w:pPr>
        <w:spacing w:line="500" w:lineRule="exact"/>
        <w:ind w:firstLine="526" w:firstLineChars="200"/>
        <w:rPr>
          <w:rFonts w:hAnsi="宋体"/>
          <w:color w:val="000000"/>
          <w:szCs w:val="24"/>
        </w:rPr>
      </w:pPr>
      <w:r>
        <w:rPr>
          <w:rFonts w:hint="eastAsia" w:hAnsi="宋体"/>
          <w:color w:val="000000"/>
        </w:rPr>
        <w:t>（7）拟建工程涉及的风险物质主要包括</w:t>
      </w:r>
      <w:r>
        <w:rPr>
          <w:rFonts w:hint="eastAsia" w:hAnsi="宋体" w:cs="宋体"/>
          <w:color w:val="000000"/>
        </w:rPr>
        <w:t>凝析油、</w:t>
      </w:r>
      <w:r>
        <w:rPr>
          <w:rFonts w:hint="eastAsia"/>
          <w:color w:val="000000"/>
        </w:rPr>
        <w:t>天然气</w:t>
      </w:r>
      <w:r>
        <w:rPr>
          <w:rFonts w:hint="eastAsia" w:hAnsi="宋体" w:cs="宋体"/>
          <w:color w:val="000000"/>
        </w:rPr>
        <w:t>、H</w:t>
      </w:r>
      <w:r>
        <w:rPr>
          <w:rFonts w:hint="eastAsia" w:hAnsi="宋体" w:cs="宋体"/>
          <w:color w:val="000000"/>
          <w:vertAlign w:val="subscript"/>
        </w:rPr>
        <w:t>2</w:t>
      </w:r>
      <w:r>
        <w:rPr>
          <w:rFonts w:hint="eastAsia" w:hAnsi="宋体" w:cs="宋体"/>
          <w:color w:val="000000"/>
        </w:rPr>
        <w:t>S</w:t>
      </w:r>
      <w:r>
        <w:rPr>
          <w:rFonts w:hint="eastAsia" w:hAnsi="宋体"/>
          <w:color w:val="000000"/>
        </w:rPr>
        <w:t>，在采取相应的风险防控措施后，环境风险可防控</w:t>
      </w:r>
      <w:r>
        <w:rPr>
          <w:rFonts w:hint="eastAsia" w:hAnsi="宋体"/>
          <w:color w:val="000000"/>
          <w:szCs w:val="24"/>
        </w:rPr>
        <w:t>。</w:t>
      </w:r>
    </w:p>
    <w:p w14:paraId="68F1D8D9">
      <w:pPr>
        <w:spacing w:line="500" w:lineRule="exact"/>
        <w:outlineLvl w:val="1"/>
        <w:rPr>
          <w:rFonts w:ascii="黑体" w:hAnsi="黑体" w:eastAsia="黑体" w:cs="黑体"/>
          <w:color w:val="000000"/>
          <w:sz w:val="28"/>
          <w:szCs w:val="28"/>
          <w:lang w:bidi="ar"/>
        </w:rPr>
      </w:pPr>
      <w:bookmarkStart w:id="29" w:name="_Toc2304"/>
      <w:bookmarkStart w:id="30" w:name="_Toc198040163"/>
      <w:bookmarkStart w:id="31" w:name="_Toc208474656"/>
      <w:bookmarkStart w:id="32" w:name="_Toc230178773"/>
      <w:bookmarkStart w:id="33" w:name="_Toc198040307"/>
      <w:r>
        <w:rPr>
          <w:rFonts w:hint="eastAsia" w:ascii="黑体" w:hAnsi="黑体" w:eastAsia="黑体" w:cs="黑体"/>
          <w:color w:val="000000"/>
          <w:sz w:val="28"/>
          <w:szCs w:val="28"/>
          <w:lang w:bidi="ar"/>
        </w:rPr>
        <w:t xml:space="preserve">1.5 </w:t>
      </w:r>
      <w:bookmarkEnd w:id="29"/>
      <w:r>
        <w:rPr>
          <w:rFonts w:hint="eastAsia" w:ascii="黑体" w:hAnsi="黑体" w:eastAsia="黑体" w:cs="黑体"/>
          <w:color w:val="000000"/>
          <w:sz w:val="28"/>
          <w:szCs w:val="28"/>
          <w:lang w:bidi="ar"/>
        </w:rPr>
        <w:t>环境影响评价的主要结论</w:t>
      </w:r>
      <w:bookmarkEnd w:id="30"/>
      <w:bookmarkEnd w:id="31"/>
      <w:bookmarkEnd w:id="32"/>
      <w:bookmarkEnd w:id="33"/>
    </w:p>
    <w:p w14:paraId="45A8CFE8">
      <w:pPr>
        <w:spacing w:line="500" w:lineRule="exact"/>
        <w:ind w:firstLine="526" w:firstLineChars="200"/>
        <w:rPr>
          <w:rFonts w:hAnsi="宋体"/>
          <w:color w:val="000000"/>
          <w:szCs w:val="24"/>
        </w:rPr>
      </w:pPr>
      <w:r>
        <w:rPr>
          <w:rFonts w:hint="eastAsia" w:hAnsi="宋体"/>
          <w:color w:val="000000"/>
          <w:szCs w:val="24"/>
        </w:rPr>
        <w:t>综合分析，拟建工程</w:t>
      </w:r>
      <w:r>
        <w:rPr>
          <w:rFonts w:hint="eastAsia" w:hAnsi="宋体" w:cs="宋体"/>
          <w:color w:val="000000"/>
          <w:szCs w:val="24"/>
        </w:rPr>
        <w:t>属于油气开采项目，</w:t>
      </w:r>
      <w:r>
        <w:rPr>
          <w:rFonts w:hint="eastAsia" w:hAnsi="宋体"/>
          <w:color w:val="000000"/>
          <w:szCs w:val="24"/>
        </w:rPr>
        <w:t>符合国家及地方当前产业政策要求，选址和建设内容可满足国家和地方有关环境保护法律法规要求，满足新疆维吾尔自治区、阿克苏地区、和田地区生态环境分区管控要求；项目通过采取完善的污染防治措施及生态恢复措施，污染物可达标排放，项目实施后环境影响可接受、环境风险可防控。根据塔里木油田分公司提供的《</w:t>
      </w:r>
      <w:r>
        <w:rPr>
          <w:rFonts w:hint="eastAsia" w:hAnsi="宋体" w:cs="宋体"/>
          <w:color w:val="000000"/>
          <w:szCs w:val="24"/>
        </w:rPr>
        <w:t>2号集至塔三联集输管线改造项目</w:t>
      </w:r>
      <w:r>
        <w:rPr>
          <w:rFonts w:hint="eastAsia" w:hAnsi="宋体"/>
          <w:color w:val="000000"/>
          <w:szCs w:val="24"/>
        </w:rPr>
        <w:t>公众参与说明书》，公示期间未收到反馈意见。为此，本评价从环保角度认为拟建工程建设可行。</w:t>
      </w:r>
    </w:p>
    <w:p w14:paraId="7D0269D1">
      <w:pPr>
        <w:spacing w:line="480" w:lineRule="exact"/>
        <w:ind w:firstLine="526" w:firstLineChars="200"/>
        <w:rPr>
          <w:rFonts w:hAnsi="宋体"/>
          <w:color w:val="000000"/>
          <w:szCs w:val="24"/>
        </w:rPr>
      </w:pPr>
      <w:r>
        <w:rPr>
          <w:rFonts w:hint="eastAsia" w:hAnsi="宋体"/>
          <w:color w:val="000000"/>
          <w:szCs w:val="24"/>
        </w:rPr>
        <w:t>本次评价工作得到了各级生态环境主管部门、塔里木油田分公司等诸多单位的大力支持和帮助，在此一并致谢！</w:t>
      </w:r>
    </w:p>
    <w:p w14:paraId="25A4AFCF">
      <w:pPr>
        <w:spacing w:line="480" w:lineRule="exact"/>
        <w:rPr>
          <w:rFonts w:hAnsi="宋体" w:cs="宋体"/>
          <w:color w:val="000000"/>
          <w:szCs w:val="24"/>
        </w:rPr>
      </w:pPr>
      <w:r>
        <w:rPr>
          <w:rFonts w:hAnsi="宋体" w:cs="宋体"/>
          <w:color w:val="000000"/>
          <w:szCs w:val="24"/>
        </w:rPr>
        <w:br w:type="page"/>
      </w:r>
    </w:p>
    <w:p w14:paraId="6A185A90">
      <w:pPr>
        <w:tabs>
          <w:tab w:val="left" w:pos="2718"/>
        </w:tabs>
        <w:spacing w:line="480" w:lineRule="exact"/>
        <w:outlineLvl w:val="0"/>
        <w:rPr>
          <w:rFonts w:ascii="黑体" w:hAnsi="黑体" w:eastAsia="黑体"/>
          <w:color w:val="000000"/>
          <w:sz w:val="32"/>
          <w:szCs w:val="32"/>
        </w:rPr>
      </w:pPr>
      <w:bookmarkStart w:id="34" w:name="_Toc88726493"/>
      <w:bookmarkStart w:id="35" w:name="_Toc198040308"/>
      <w:bookmarkStart w:id="36" w:name="_Toc100758921"/>
      <w:bookmarkStart w:id="37" w:name="_Toc208474657"/>
      <w:bookmarkStart w:id="38" w:name="_Toc192509768"/>
      <w:bookmarkStart w:id="39" w:name="_Toc230178774"/>
      <w:bookmarkStart w:id="40" w:name="_Toc198040164"/>
      <w:r>
        <w:rPr>
          <w:rFonts w:ascii="黑体" w:hAnsi="黑体" w:eastAsia="黑体"/>
          <w:color w:val="000000"/>
          <w:sz w:val="32"/>
          <w:szCs w:val="32"/>
        </w:rPr>
        <w:t>2 总则</w:t>
      </w:r>
      <w:bookmarkEnd w:id="34"/>
      <w:bookmarkEnd w:id="35"/>
      <w:bookmarkEnd w:id="36"/>
      <w:bookmarkEnd w:id="37"/>
      <w:bookmarkEnd w:id="38"/>
      <w:bookmarkEnd w:id="39"/>
      <w:bookmarkEnd w:id="40"/>
    </w:p>
    <w:p w14:paraId="06B6B14B">
      <w:pPr>
        <w:spacing w:line="480" w:lineRule="exact"/>
        <w:outlineLvl w:val="1"/>
        <w:rPr>
          <w:rFonts w:hint="eastAsia" w:ascii="黑体" w:hAnsi="黑体" w:eastAsia="黑体" w:cs="黑体"/>
          <w:color w:val="000000"/>
          <w:sz w:val="28"/>
          <w:szCs w:val="28"/>
          <w:lang w:bidi="ar"/>
        </w:rPr>
      </w:pPr>
      <w:bookmarkStart w:id="41" w:name="_Toc208474658"/>
      <w:bookmarkStart w:id="42" w:name="_Toc100758922"/>
      <w:bookmarkStart w:id="43" w:name="_Toc198040309"/>
      <w:bookmarkStart w:id="44" w:name="_Toc88726494"/>
      <w:bookmarkStart w:id="45" w:name="_Toc230178775"/>
      <w:bookmarkStart w:id="46" w:name="_Toc38101958"/>
      <w:bookmarkStart w:id="47" w:name="_Toc198040165"/>
      <w:bookmarkStart w:id="48" w:name="_Toc192509769"/>
      <w:r>
        <w:rPr>
          <w:rFonts w:hint="eastAsia" w:ascii="黑体" w:hAnsi="黑体" w:eastAsia="黑体" w:cs="黑体"/>
          <w:color w:val="000000"/>
          <w:sz w:val="28"/>
          <w:szCs w:val="28"/>
          <w:lang w:bidi="ar"/>
        </w:rPr>
        <w:t>2.1 编制依据</w:t>
      </w:r>
      <w:bookmarkEnd w:id="41"/>
      <w:bookmarkEnd w:id="42"/>
      <w:bookmarkEnd w:id="43"/>
      <w:bookmarkEnd w:id="44"/>
      <w:bookmarkEnd w:id="45"/>
      <w:bookmarkEnd w:id="46"/>
      <w:bookmarkEnd w:id="47"/>
      <w:bookmarkEnd w:id="48"/>
    </w:p>
    <w:p w14:paraId="7C767640">
      <w:pPr>
        <w:spacing w:line="480" w:lineRule="exact"/>
        <w:outlineLvl w:val="2"/>
        <w:rPr>
          <w:rFonts w:hint="eastAsia" w:hAnsi="宋体"/>
          <w:color w:val="000000"/>
          <w:szCs w:val="24"/>
        </w:rPr>
      </w:pPr>
      <w:r>
        <w:rPr>
          <w:rFonts w:hint="eastAsia" w:hAnsi="宋体"/>
          <w:color w:val="000000"/>
          <w:szCs w:val="24"/>
        </w:rPr>
        <w:t>2.1.1 环境保护法律</w:t>
      </w:r>
    </w:p>
    <w:p w14:paraId="2CAD7A8F">
      <w:pPr>
        <w:spacing w:line="480" w:lineRule="exact"/>
        <w:ind w:firstLine="526" w:firstLineChars="200"/>
        <w:rPr>
          <w:rFonts w:hint="eastAsia" w:hAnsi="宋体"/>
          <w:color w:val="000000"/>
          <w:szCs w:val="24"/>
        </w:rPr>
      </w:pPr>
      <w:r>
        <w:rPr>
          <w:rFonts w:hint="eastAsia" w:hAnsi="宋体" w:cs="宋体"/>
          <w:color w:val="000000"/>
          <w:szCs w:val="24"/>
        </w:rPr>
        <w:t>（</w:t>
      </w:r>
      <w:r>
        <w:rPr>
          <w:rFonts w:hAnsi="宋体" w:cs="宋体"/>
          <w:color w:val="000000"/>
          <w:szCs w:val="24"/>
        </w:rPr>
        <w:t>1</w:t>
      </w:r>
      <w:r>
        <w:rPr>
          <w:rFonts w:hint="eastAsia" w:hAnsi="宋体" w:cs="宋体"/>
          <w:color w:val="000000"/>
          <w:szCs w:val="24"/>
        </w:rPr>
        <w:t>）《中华人民共和国生态环境法典》（</w:t>
      </w:r>
      <w:r>
        <w:rPr>
          <w:rFonts w:hAnsi="宋体" w:cs="宋体"/>
          <w:color w:val="000000"/>
          <w:szCs w:val="24"/>
        </w:rPr>
        <w:t>20</w:t>
      </w:r>
      <w:r>
        <w:rPr>
          <w:rFonts w:hint="eastAsia" w:hAnsi="宋体" w:cs="宋体"/>
          <w:color w:val="000000"/>
          <w:szCs w:val="24"/>
        </w:rPr>
        <w:t>26年3月12日发布，</w:t>
      </w:r>
      <w:r>
        <w:rPr>
          <w:rFonts w:hAnsi="宋体" w:cs="宋体"/>
          <w:color w:val="000000"/>
          <w:szCs w:val="24"/>
        </w:rPr>
        <w:t>20</w:t>
      </w:r>
      <w:r>
        <w:rPr>
          <w:rFonts w:hint="eastAsia" w:hAnsi="宋体" w:cs="宋体"/>
          <w:color w:val="000000"/>
          <w:szCs w:val="24"/>
        </w:rPr>
        <w:t>26年8月15日施行）；</w:t>
      </w:r>
    </w:p>
    <w:p w14:paraId="7AF86209">
      <w:pPr>
        <w:spacing w:line="480" w:lineRule="exact"/>
        <w:ind w:firstLine="526" w:firstLineChars="200"/>
        <w:rPr>
          <w:rFonts w:hAnsi="宋体" w:cs="宋体"/>
          <w:color w:val="000000"/>
          <w:szCs w:val="24"/>
        </w:rPr>
      </w:pPr>
      <w:r>
        <w:rPr>
          <w:rFonts w:hint="eastAsia" w:hAnsi="宋体"/>
          <w:color w:val="000000"/>
          <w:szCs w:val="24"/>
        </w:rPr>
        <w:t>（2）</w:t>
      </w:r>
      <w:r>
        <w:rPr>
          <w:rFonts w:hint="eastAsia" w:hAnsi="宋体" w:cs="宋体"/>
          <w:color w:val="000000"/>
          <w:szCs w:val="24"/>
        </w:rPr>
        <w:t>《中华人民共和国环境保护法》（</w:t>
      </w:r>
      <w:r>
        <w:rPr>
          <w:rFonts w:hAnsi="宋体" w:cs="宋体"/>
          <w:color w:val="000000"/>
          <w:szCs w:val="24"/>
        </w:rPr>
        <w:t>2014</w:t>
      </w:r>
      <w:r>
        <w:rPr>
          <w:rFonts w:hint="eastAsia" w:hAnsi="宋体" w:cs="宋体"/>
          <w:color w:val="000000"/>
          <w:szCs w:val="24"/>
        </w:rPr>
        <w:t>年</w:t>
      </w:r>
      <w:r>
        <w:rPr>
          <w:rFonts w:hAnsi="宋体" w:cs="宋体"/>
          <w:color w:val="000000"/>
          <w:szCs w:val="24"/>
        </w:rPr>
        <w:t>4</w:t>
      </w:r>
      <w:r>
        <w:rPr>
          <w:rFonts w:hint="eastAsia" w:hAnsi="宋体" w:cs="宋体"/>
          <w:color w:val="000000"/>
          <w:szCs w:val="24"/>
        </w:rPr>
        <w:t>月</w:t>
      </w:r>
      <w:r>
        <w:rPr>
          <w:rFonts w:hAnsi="宋体" w:cs="宋体"/>
          <w:color w:val="000000"/>
          <w:szCs w:val="24"/>
        </w:rPr>
        <w:t>24</w:t>
      </w:r>
      <w:r>
        <w:rPr>
          <w:rFonts w:hint="eastAsia" w:hAnsi="宋体" w:cs="宋体"/>
          <w:color w:val="000000"/>
          <w:szCs w:val="24"/>
        </w:rPr>
        <w:t>日修订，</w:t>
      </w:r>
      <w:r>
        <w:rPr>
          <w:rFonts w:hAnsi="宋体" w:cs="宋体"/>
          <w:color w:val="000000"/>
          <w:szCs w:val="24"/>
        </w:rPr>
        <w:t>2015</w:t>
      </w:r>
      <w:r>
        <w:rPr>
          <w:rFonts w:hint="eastAsia" w:hAnsi="宋体" w:cs="宋体"/>
          <w:color w:val="000000"/>
          <w:szCs w:val="24"/>
        </w:rPr>
        <w:t>年</w:t>
      </w:r>
      <w:r>
        <w:rPr>
          <w:rFonts w:hAnsi="宋体" w:cs="宋体"/>
          <w:color w:val="000000"/>
          <w:szCs w:val="24"/>
        </w:rPr>
        <w:t>1</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p>
    <w:p w14:paraId="206B35E0">
      <w:pPr>
        <w:spacing w:line="480" w:lineRule="exact"/>
        <w:ind w:firstLine="526" w:firstLineChars="200"/>
        <w:rPr>
          <w:rFonts w:hAnsi="宋体" w:cs="宋体"/>
          <w:color w:val="000000"/>
          <w:szCs w:val="24"/>
        </w:rPr>
      </w:pPr>
      <w:r>
        <w:rPr>
          <w:rFonts w:hint="eastAsia" w:hAnsi="宋体"/>
          <w:color w:val="000000"/>
          <w:szCs w:val="24"/>
        </w:rPr>
        <w:t>（3）</w:t>
      </w:r>
      <w:r>
        <w:rPr>
          <w:rFonts w:hint="eastAsia" w:hAnsi="宋体" w:cs="宋体"/>
          <w:color w:val="000000"/>
          <w:szCs w:val="24"/>
        </w:rPr>
        <w:t>《中华人民共和国环境影响评价法》（</w:t>
      </w:r>
      <w:r>
        <w:rPr>
          <w:rFonts w:hAnsi="宋体" w:cs="宋体"/>
          <w:color w:val="000000"/>
          <w:szCs w:val="24"/>
        </w:rPr>
        <w:t>2003</w:t>
      </w:r>
      <w:r>
        <w:rPr>
          <w:rFonts w:hint="eastAsia" w:hAnsi="宋体" w:cs="宋体"/>
          <w:color w:val="000000"/>
          <w:szCs w:val="24"/>
        </w:rPr>
        <w:t>年</w:t>
      </w:r>
      <w:r>
        <w:rPr>
          <w:rFonts w:hAnsi="宋体" w:cs="宋体"/>
          <w:color w:val="000000"/>
          <w:szCs w:val="24"/>
        </w:rPr>
        <w:t>9</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r>
        <w:rPr>
          <w:rFonts w:hAnsi="宋体" w:cs="宋体"/>
          <w:color w:val="000000"/>
          <w:szCs w:val="24"/>
        </w:rPr>
        <w:t>2018</w:t>
      </w:r>
      <w:r>
        <w:rPr>
          <w:rFonts w:hint="eastAsia" w:hAnsi="宋体" w:cs="宋体"/>
          <w:color w:val="000000"/>
          <w:szCs w:val="24"/>
        </w:rPr>
        <w:t>年</w:t>
      </w:r>
      <w:r>
        <w:rPr>
          <w:rFonts w:hAnsi="宋体" w:cs="宋体"/>
          <w:color w:val="000000"/>
          <w:szCs w:val="24"/>
        </w:rPr>
        <w:t>12</w:t>
      </w:r>
      <w:r>
        <w:rPr>
          <w:rFonts w:hint="eastAsia" w:hAnsi="宋体" w:cs="宋体"/>
          <w:color w:val="000000"/>
          <w:szCs w:val="24"/>
        </w:rPr>
        <w:t>月</w:t>
      </w:r>
      <w:r>
        <w:rPr>
          <w:rFonts w:hAnsi="宋体" w:cs="宋体"/>
          <w:color w:val="000000"/>
          <w:szCs w:val="24"/>
        </w:rPr>
        <w:t>29</w:t>
      </w:r>
      <w:r>
        <w:rPr>
          <w:rFonts w:hint="eastAsia" w:hAnsi="宋体" w:cs="宋体"/>
          <w:color w:val="000000"/>
          <w:szCs w:val="24"/>
        </w:rPr>
        <w:t>日修正）；</w:t>
      </w:r>
    </w:p>
    <w:p w14:paraId="199CF24D">
      <w:pPr>
        <w:spacing w:line="480" w:lineRule="exact"/>
        <w:ind w:firstLine="526" w:firstLineChars="200"/>
        <w:rPr>
          <w:rFonts w:hAnsi="宋体" w:cs="宋体"/>
          <w:color w:val="000000"/>
          <w:szCs w:val="24"/>
        </w:rPr>
      </w:pPr>
      <w:r>
        <w:rPr>
          <w:rFonts w:hint="eastAsia" w:hAnsi="宋体"/>
          <w:color w:val="000000"/>
          <w:szCs w:val="24"/>
        </w:rPr>
        <w:t>（4）</w:t>
      </w:r>
      <w:r>
        <w:rPr>
          <w:rFonts w:hint="eastAsia" w:hAnsi="宋体" w:cs="宋体"/>
          <w:color w:val="000000"/>
          <w:szCs w:val="24"/>
        </w:rPr>
        <w:t>《中华人民共和国大气污染防治法》（</w:t>
      </w:r>
      <w:r>
        <w:rPr>
          <w:rFonts w:hAnsi="宋体" w:cs="宋体"/>
          <w:color w:val="000000"/>
          <w:szCs w:val="24"/>
        </w:rPr>
        <w:t>2016</w:t>
      </w:r>
      <w:r>
        <w:rPr>
          <w:rFonts w:hint="eastAsia" w:hAnsi="宋体" w:cs="宋体"/>
          <w:color w:val="000000"/>
          <w:szCs w:val="24"/>
        </w:rPr>
        <w:t>年</w:t>
      </w:r>
      <w:r>
        <w:rPr>
          <w:rFonts w:hAnsi="宋体" w:cs="宋体"/>
          <w:color w:val="000000"/>
          <w:szCs w:val="24"/>
        </w:rPr>
        <w:t>1</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r>
        <w:rPr>
          <w:rFonts w:hAnsi="宋体" w:cs="宋体"/>
          <w:color w:val="000000"/>
          <w:szCs w:val="24"/>
        </w:rPr>
        <w:t>2018</w:t>
      </w:r>
      <w:r>
        <w:rPr>
          <w:rFonts w:hint="eastAsia" w:hAnsi="宋体" w:cs="宋体"/>
          <w:color w:val="000000"/>
          <w:szCs w:val="24"/>
        </w:rPr>
        <w:t>年</w:t>
      </w:r>
      <w:r>
        <w:rPr>
          <w:rFonts w:hAnsi="宋体" w:cs="宋体"/>
          <w:color w:val="000000"/>
          <w:szCs w:val="24"/>
        </w:rPr>
        <w:t>10</w:t>
      </w:r>
      <w:r>
        <w:rPr>
          <w:rFonts w:hint="eastAsia" w:hAnsi="宋体" w:cs="宋体"/>
          <w:color w:val="000000"/>
          <w:szCs w:val="24"/>
        </w:rPr>
        <w:t>月</w:t>
      </w:r>
      <w:r>
        <w:rPr>
          <w:rFonts w:hAnsi="宋体" w:cs="宋体"/>
          <w:color w:val="000000"/>
          <w:szCs w:val="24"/>
        </w:rPr>
        <w:t>26</w:t>
      </w:r>
      <w:r>
        <w:rPr>
          <w:rFonts w:hint="eastAsia" w:hAnsi="宋体" w:cs="宋体"/>
          <w:color w:val="000000"/>
          <w:szCs w:val="24"/>
        </w:rPr>
        <w:t>日修正）；</w:t>
      </w:r>
    </w:p>
    <w:p w14:paraId="39672504">
      <w:pPr>
        <w:spacing w:line="480" w:lineRule="exact"/>
        <w:ind w:firstLine="526" w:firstLineChars="200"/>
        <w:rPr>
          <w:rFonts w:hAnsi="宋体" w:cs="宋体"/>
          <w:color w:val="000000"/>
          <w:szCs w:val="24"/>
        </w:rPr>
      </w:pPr>
      <w:r>
        <w:rPr>
          <w:rFonts w:hint="eastAsia" w:hAnsi="宋体"/>
          <w:color w:val="000000"/>
          <w:szCs w:val="24"/>
        </w:rPr>
        <w:t>（5）</w:t>
      </w:r>
      <w:r>
        <w:rPr>
          <w:rFonts w:hint="eastAsia" w:hAnsi="宋体" w:cs="宋体"/>
          <w:color w:val="000000"/>
          <w:szCs w:val="24"/>
        </w:rPr>
        <w:t>《中华人民共和国水污染防治法》（</w:t>
      </w:r>
      <w:r>
        <w:rPr>
          <w:rFonts w:hAnsi="宋体" w:cs="宋体"/>
          <w:color w:val="000000"/>
          <w:szCs w:val="24"/>
        </w:rPr>
        <w:t>2008</w:t>
      </w:r>
      <w:r>
        <w:rPr>
          <w:rFonts w:hint="eastAsia" w:hAnsi="宋体" w:cs="宋体"/>
          <w:color w:val="000000"/>
          <w:szCs w:val="24"/>
        </w:rPr>
        <w:t>年</w:t>
      </w:r>
      <w:r>
        <w:rPr>
          <w:rFonts w:hAnsi="宋体" w:cs="宋体"/>
          <w:color w:val="000000"/>
          <w:szCs w:val="24"/>
        </w:rPr>
        <w:t>6</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r>
        <w:rPr>
          <w:rFonts w:hAnsi="宋体" w:cs="宋体"/>
          <w:color w:val="000000"/>
          <w:szCs w:val="24"/>
        </w:rPr>
        <w:t>2017</w:t>
      </w:r>
      <w:r>
        <w:rPr>
          <w:rFonts w:hint="eastAsia" w:hAnsi="宋体" w:cs="宋体"/>
          <w:color w:val="000000"/>
          <w:szCs w:val="24"/>
        </w:rPr>
        <w:t>年</w:t>
      </w:r>
      <w:r>
        <w:rPr>
          <w:rFonts w:hAnsi="宋体" w:cs="宋体"/>
          <w:color w:val="000000"/>
          <w:szCs w:val="24"/>
        </w:rPr>
        <w:t>6</w:t>
      </w:r>
      <w:r>
        <w:rPr>
          <w:rFonts w:hint="eastAsia" w:hAnsi="宋体" w:cs="宋体"/>
          <w:color w:val="000000"/>
          <w:szCs w:val="24"/>
        </w:rPr>
        <w:t>月</w:t>
      </w:r>
      <w:r>
        <w:rPr>
          <w:rFonts w:hAnsi="宋体" w:cs="宋体"/>
          <w:color w:val="000000"/>
          <w:szCs w:val="24"/>
        </w:rPr>
        <w:t>27</w:t>
      </w:r>
      <w:r>
        <w:rPr>
          <w:rFonts w:hint="eastAsia" w:hAnsi="宋体" w:cs="宋体"/>
          <w:color w:val="000000"/>
          <w:szCs w:val="24"/>
        </w:rPr>
        <w:t>日修正）；</w:t>
      </w:r>
    </w:p>
    <w:p w14:paraId="72B9D72E">
      <w:pPr>
        <w:spacing w:line="480" w:lineRule="exact"/>
        <w:ind w:firstLine="526" w:firstLineChars="200"/>
        <w:rPr>
          <w:rFonts w:hAnsi="宋体" w:cs="宋体"/>
          <w:color w:val="000000"/>
          <w:szCs w:val="24"/>
        </w:rPr>
      </w:pPr>
      <w:r>
        <w:rPr>
          <w:rFonts w:hint="eastAsia" w:hAnsi="宋体"/>
          <w:color w:val="000000"/>
          <w:szCs w:val="24"/>
        </w:rPr>
        <w:t>（6）</w:t>
      </w:r>
      <w:r>
        <w:rPr>
          <w:rFonts w:hint="eastAsia" w:hAnsi="宋体" w:cs="宋体"/>
          <w:color w:val="000000"/>
          <w:szCs w:val="24"/>
        </w:rPr>
        <w:t>《中华人民共和国噪声污染防治法》（</w:t>
      </w:r>
      <w:r>
        <w:rPr>
          <w:rFonts w:hAnsi="宋体" w:cs="宋体"/>
          <w:color w:val="000000"/>
          <w:szCs w:val="24"/>
        </w:rPr>
        <w:t>2021</w:t>
      </w:r>
      <w:r>
        <w:rPr>
          <w:rFonts w:hint="eastAsia" w:hAnsi="宋体" w:cs="宋体"/>
          <w:color w:val="000000"/>
          <w:szCs w:val="24"/>
        </w:rPr>
        <w:t>年</w:t>
      </w:r>
      <w:r>
        <w:rPr>
          <w:rFonts w:hAnsi="宋体" w:cs="宋体"/>
          <w:color w:val="000000"/>
          <w:szCs w:val="24"/>
        </w:rPr>
        <w:t>12</w:t>
      </w:r>
      <w:r>
        <w:rPr>
          <w:rFonts w:hint="eastAsia" w:hAnsi="宋体" w:cs="宋体"/>
          <w:color w:val="000000"/>
          <w:szCs w:val="24"/>
        </w:rPr>
        <w:t>月</w:t>
      </w:r>
      <w:r>
        <w:rPr>
          <w:rFonts w:hAnsi="宋体" w:cs="宋体"/>
          <w:color w:val="000000"/>
          <w:szCs w:val="24"/>
        </w:rPr>
        <w:t>24</w:t>
      </w:r>
      <w:r>
        <w:rPr>
          <w:rFonts w:hint="eastAsia" w:hAnsi="宋体" w:cs="宋体"/>
          <w:color w:val="000000"/>
          <w:szCs w:val="24"/>
        </w:rPr>
        <w:t>日发布，</w:t>
      </w:r>
      <w:r>
        <w:rPr>
          <w:rFonts w:hAnsi="宋体" w:cs="宋体"/>
          <w:color w:val="000000"/>
          <w:szCs w:val="24"/>
        </w:rPr>
        <w:t>2022</w:t>
      </w:r>
      <w:r>
        <w:rPr>
          <w:rFonts w:hint="eastAsia" w:hAnsi="宋体" w:cs="宋体"/>
          <w:color w:val="000000"/>
          <w:szCs w:val="24"/>
        </w:rPr>
        <w:t>年</w:t>
      </w:r>
      <w:r>
        <w:rPr>
          <w:rFonts w:hAnsi="宋体" w:cs="宋体"/>
          <w:color w:val="000000"/>
          <w:szCs w:val="24"/>
        </w:rPr>
        <w:t>6</w:t>
      </w:r>
      <w:r>
        <w:rPr>
          <w:rFonts w:hint="eastAsia" w:hAnsi="宋体" w:cs="宋体"/>
          <w:color w:val="000000"/>
          <w:szCs w:val="24"/>
        </w:rPr>
        <w:t>月</w:t>
      </w:r>
      <w:r>
        <w:rPr>
          <w:rFonts w:hAnsi="宋体" w:cs="宋体"/>
          <w:color w:val="000000"/>
          <w:szCs w:val="24"/>
        </w:rPr>
        <w:t>5</w:t>
      </w:r>
      <w:r>
        <w:rPr>
          <w:rFonts w:hint="eastAsia" w:hAnsi="宋体" w:cs="宋体"/>
          <w:color w:val="000000"/>
          <w:szCs w:val="24"/>
        </w:rPr>
        <w:t>日施行）；</w:t>
      </w:r>
    </w:p>
    <w:p w14:paraId="54C1E145">
      <w:pPr>
        <w:spacing w:line="480" w:lineRule="exact"/>
        <w:ind w:firstLine="526" w:firstLineChars="200"/>
        <w:rPr>
          <w:rFonts w:hAnsi="宋体" w:cs="宋体"/>
          <w:color w:val="000000"/>
          <w:szCs w:val="24"/>
        </w:rPr>
      </w:pPr>
      <w:r>
        <w:rPr>
          <w:rFonts w:hint="eastAsia" w:hAnsi="宋体"/>
          <w:color w:val="000000"/>
          <w:szCs w:val="24"/>
        </w:rPr>
        <w:t>（7）</w:t>
      </w:r>
      <w:r>
        <w:rPr>
          <w:rFonts w:hint="eastAsia" w:hAnsi="宋体" w:cs="宋体"/>
          <w:color w:val="000000"/>
          <w:szCs w:val="24"/>
        </w:rPr>
        <w:t>《中华人民共和国固体废物污染环境防治法》（</w:t>
      </w:r>
      <w:r>
        <w:rPr>
          <w:rFonts w:hAnsi="宋体" w:cs="宋体"/>
          <w:color w:val="000000"/>
          <w:szCs w:val="24"/>
        </w:rPr>
        <w:t>2020</w:t>
      </w:r>
      <w:r>
        <w:rPr>
          <w:rFonts w:hint="eastAsia" w:hAnsi="宋体" w:cs="宋体"/>
          <w:color w:val="000000"/>
          <w:szCs w:val="24"/>
        </w:rPr>
        <w:t>年</w:t>
      </w:r>
      <w:r>
        <w:rPr>
          <w:rFonts w:hAnsi="宋体" w:cs="宋体"/>
          <w:color w:val="000000"/>
          <w:szCs w:val="24"/>
        </w:rPr>
        <w:t>4</w:t>
      </w:r>
      <w:r>
        <w:rPr>
          <w:rFonts w:hint="eastAsia" w:hAnsi="宋体" w:cs="宋体"/>
          <w:color w:val="000000"/>
          <w:szCs w:val="24"/>
        </w:rPr>
        <w:t>月</w:t>
      </w:r>
      <w:r>
        <w:rPr>
          <w:rFonts w:hAnsi="宋体" w:cs="宋体"/>
          <w:color w:val="000000"/>
          <w:szCs w:val="24"/>
        </w:rPr>
        <w:t>29</w:t>
      </w:r>
      <w:r>
        <w:rPr>
          <w:rFonts w:hint="eastAsia" w:hAnsi="宋体" w:cs="宋体"/>
          <w:color w:val="000000"/>
          <w:szCs w:val="24"/>
        </w:rPr>
        <w:t>日修订，</w:t>
      </w:r>
      <w:r>
        <w:rPr>
          <w:rFonts w:hAnsi="宋体" w:cs="宋体"/>
          <w:color w:val="000000"/>
          <w:szCs w:val="24"/>
        </w:rPr>
        <w:t>2020</w:t>
      </w:r>
      <w:r>
        <w:rPr>
          <w:rFonts w:hint="eastAsia" w:hAnsi="宋体" w:cs="宋体"/>
          <w:color w:val="000000"/>
          <w:szCs w:val="24"/>
        </w:rPr>
        <w:t>年</w:t>
      </w:r>
      <w:r>
        <w:rPr>
          <w:rFonts w:hAnsi="宋体" w:cs="宋体"/>
          <w:color w:val="000000"/>
          <w:szCs w:val="24"/>
        </w:rPr>
        <w:t>9</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p>
    <w:p w14:paraId="547B42D3">
      <w:pPr>
        <w:spacing w:line="480" w:lineRule="exact"/>
        <w:ind w:firstLine="526" w:firstLineChars="200"/>
        <w:rPr>
          <w:rFonts w:hAnsi="宋体" w:cs="宋体"/>
          <w:color w:val="000000"/>
          <w:szCs w:val="24"/>
        </w:rPr>
      </w:pPr>
      <w:r>
        <w:rPr>
          <w:rFonts w:hint="eastAsia" w:hAnsi="宋体"/>
          <w:color w:val="000000"/>
          <w:szCs w:val="24"/>
        </w:rPr>
        <w:t>（8）</w:t>
      </w:r>
      <w:r>
        <w:rPr>
          <w:rFonts w:hint="eastAsia" w:hAnsi="宋体" w:cs="宋体"/>
          <w:color w:val="000000"/>
          <w:szCs w:val="24"/>
        </w:rPr>
        <w:t>《中华人民共和国水法》（</w:t>
      </w:r>
      <w:r>
        <w:rPr>
          <w:rFonts w:hAnsi="宋体" w:cs="宋体"/>
          <w:color w:val="000000"/>
          <w:szCs w:val="24"/>
        </w:rPr>
        <w:t>2002</w:t>
      </w:r>
      <w:r>
        <w:rPr>
          <w:rFonts w:hint="eastAsia" w:hAnsi="宋体" w:cs="宋体"/>
          <w:color w:val="000000"/>
          <w:szCs w:val="24"/>
        </w:rPr>
        <w:t>年</w:t>
      </w:r>
      <w:r>
        <w:rPr>
          <w:rFonts w:hAnsi="宋体" w:cs="宋体"/>
          <w:color w:val="000000"/>
          <w:szCs w:val="24"/>
        </w:rPr>
        <w:t>10</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r>
        <w:rPr>
          <w:rFonts w:hAnsi="宋体" w:cs="宋体"/>
          <w:color w:val="000000"/>
          <w:szCs w:val="24"/>
        </w:rPr>
        <w:t>2016</w:t>
      </w:r>
      <w:r>
        <w:rPr>
          <w:rFonts w:hint="eastAsia" w:hAnsi="宋体" w:cs="宋体"/>
          <w:color w:val="000000"/>
          <w:szCs w:val="24"/>
        </w:rPr>
        <w:t>年</w:t>
      </w:r>
      <w:r>
        <w:rPr>
          <w:rFonts w:hAnsi="宋体" w:cs="宋体"/>
          <w:color w:val="000000"/>
          <w:szCs w:val="24"/>
        </w:rPr>
        <w:t>7</w:t>
      </w:r>
      <w:r>
        <w:rPr>
          <w:rFonts w:hint="eastAsia" w:hAnsi="宋体" w:cs="宋体"/>
          <w:color w:val="000000"/>
          <w:szCs w:val="24"/>
        </w:rPr>
        <w:t>月</w:t>
      </w:r>
      <w:r>
        <w:rPr>
          <w:rFonts w:hAnsi="宋体" w:cs="宋体"/>
          <w:color w:val="000000"/>
          <w:szCs w:val="24"/>
        </w:rPr>
        <w:t>2</w:t>
      </w:r>
      <w:r>
        <w:rPr>
          <w:rFonts w:hint="eastAsia" w:hAnsi="宋体" w:cs="宋体"/>
          <w:color w:val="000000"/>
          <w:szCs w:val="24"/>
        </w:rPr>
        <w:t>日修正）；</w:t>
      </w:r>
    </w:p>
    <w:p w14:paraId="3BF799D9">
      <w:pPr>
        <w:spacing w:line="480" w:lineRule="exact"/>
        <w:ind w:firstLine="526" w:firstLineChars="200"/>
        <w:rPr>
          <w:rFonts w:hAnsi="宋体" w:cs="宋体"/>
          <w:color w:val="000000"/>
          <w:szCs w:val="24"/>
        </w:rPr>
      </w:pPr>
      <w:r>
        <w:rPr>
          <w:rFonts w:hint="eastAsia" w:hAnsi="宋体"/>
          <w:color w:val="000000"/>
          <w:szCs w:val="24"/>
        </w:rPr>
        <w:t>（9）</w:t>
      </w:r>
      <w:r>
        <w:rPr>
          <w:rFonts w:hint="eastAsia" w:hAnsi="宋体" w:cs="宋体"/>
          <w:color w:val="000000"/>
          <w:szCs w:val="24"/>
        </w:rPr>
        <w:t>《中华人民共和国土壤污染防治法》（</w:t>
      </w:r>
      <w:r>
        <w:rPr>
          <w:rFonts w:hAnsi="宋体" w:cs="宋体"/>
          <w:color w:val="000000"/>
          <w:szCs w:val="24"/>
        </w:rPr>
        <w:t>2018</w:t>
      </w:r>
      <w:r>
        <w:rPr>
          <w:rFonts w:hint="eastAsia" w:hAnsi="宋体" w:cs="宋体"/>
          <w:color w:val="000000"/>
          <w:szCs w:val="24"/>
        </w:rPr>
        <w:t>年</w:t>
      </w:r>
      <w:r>
        <w:rPr>
          <w:rFonts w:hAnsi="宋体" w:cs="宋体"/>
          <w:color w:val="000000"/>
          <w:szCs w:val="24"/>
        </w:rPr>
        <w:t>8</w:t>
      </w:r>
      <w:r>
        <w:rPr>
          <w:rFonts w:hint="eastAsia" w:hAnsi="宋体" w:cs="宋体"/>
          <w:color w:val="000000"/>
          <w:szCs w:val="24"/>
        </w:rPr>
        <w:t>月</w:t>
      </w:r>
      <w:r>
        <w:rPr>
          <w:rFonts w:hAnsi="宋体" w:cs="宋体"/>
          <w:color w:val="000000"/>
          <w:szCs w:val="24"/>
        </w:rPr>
        <w:t>31</w:t>
      </w:r>
      <w:r>
        <w:rPr>
          <w:rFonts w:hint="eastAsia" w:hAnsi="宋体" w:cs="宋体"/>
          <w:color w:val="000000"/>
          <w:szCs w:val="24"/>
        </w:rPr>
        <w:t>日审议通过，</w:t>
      </w:r>
      <w:r>
        <w:rPr>
          <w:rFonts w:hAnsi="宋体" w:cs="宋体"/>
          <w:color w:val="000000"/>
          <w:szCs w:val="24"/>
        </w:rPr>
        <w:t>2019</w:t>
      </w:r>
      <w:r>
        <w:rPr>
          <w:rFonts w:hint="eastAsia" w:hAnsi="宋体" w:cs="宋体"/>
          <w:color w:val="000000"/>
          <w:szCs w:val="24"/>
        </w:rPr>
        <w:t>年</w:t>
      </w:r>
      <w:r>
        <w:rPr>
          <w:rFonts w:hAnsi="宋体" w:cs="宋体"/>
          <w:color w:val="000000"/>
          <w:szCs w:val="24"/>
        </w:rPr>
        <w:t>1</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p>
    <w:p w14:paraId="21DFCF76">
      <w:pPr>
        <w:spacing w:line="480" w:lineRule="exact"/>
        <w:ind w:firstLine="526" w:firstLineChars="200"/>
        <w:rPr>
          <w:rFonts w:hAnsi="宋体" w:cs="宋体"/>
          <w:color w:val="000000"/>
          <w:szCs w:val="24"/>
        </w:rPr>
      </w:pPr>
      <w:r>
        <w:rPr>
          <w:rFonts w:hint="eastAsia" w:hAnsi="宋体"/>
          <w:color w:val="000000"/>
          <w:szCs w:val="24"/>
        </w:rPr>
        <w:t>（10）</w:t>
      </w:r>
      <w:r>
        <w:rPr>
          <w:rFonts w:hint="eastAsia" w:hAnsi="宋体" w:cs="宋体"/>
          <w:color w:val="000000"/>
          <w:szCs w:val="24"/>
        </w:rPr>
        <w:t>《中华人民共和国防沙治沙法》（</w:t>
      </w:r>
      <w:r>
        <w:rPr>
          <w:rFonts w:hAnsi="宋体" w:cs="宋体"/>
          <w:color w:val="000000"/>
          <w:szCs w:val="24"/>
        </w:rPr>
        <w:t>2002</w:t>
      </w:r>
      <w:r>
        <w:rPr>
          <w:rFonts w:hint="eastAsia" w:hAnsi="宋体" w:cs="宋体"/>
          <w:color w:val="000000"/>
          <w:szCs w:val="24"/>
        </w:rPr>
        <w:t>年</w:t>
      </w:r>
      <w:r>
        <w:rPr>
          <w:rFonts w:hAnsi="宋体" w:cs="宋体"/>
          <w:color w:val="000000"/>
          <w:szCs w:val="24"/>
        </w:rPr>
        <w:t>1</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r>
        <w:rPr>
          <w:rFonts w:hAnsi="宋体" w:cs="宋体"/>
          <w:color w:val="000000"/>
          <w:szCs w:val="24"/>
        </w:rPr>
        <w:t>2018</w:t>
      </w:r>
      <w:r>
        <w:rPr>
          <w:rFonts w:hint="eastAsia" w:hAnsi="宋体" w:cs="宋体"/>
          <w:color w:val="000000"/>
          <w:szCs w:val="24"/>
        </w:rPr>
        <w:t>年</w:t>
      </w:r>
      <w:r>
        <w:rPr>
          <w:rFonts w:hAnsi="宋体" w:cs="宋体"/>
          <w:color w:val="000000"/>
          <w:szCs w:val="24"/>
        </w:rPr>
        <w:t>10</w:t>
      </w:r>
      <w:r>
        <w:rPr>
          <w:rFonts w:hint="eastAsia" w:hAnsi="宋体" w:cs="宋体"/>
          <w:color w:val="000000"/>
          <w:szCs w:val="24"/>
        </w:rPr>
        <w:t>月</w:t>
      </w:r>
      <w:r>
        <w:rPr>
          <w:rFonts w:hAnsi="宋体" w:cs="宋体"/>
          <w:color w:val="000000"/>
          <w:szCs w:val="24"/>
        </w:rPr>
        <w:t>26</w:t>
      </w:r>
      <w:r>
        <w:rPr>
          <w:rFonts w:hint="eastAsia" w:hAnsi="宋体" w:cs="宋体"/>
          <w:color w:val="000000"/>
          <w:szCs w:val="24"/>
        </w:rPr>
        <w:t>日修正）；</w:t>
      </w:r>
    </w:p>
    <w:p w14:paraId="7BEF6BD4">
      <w:pPr>
        <w:spacing w:line="480" w:lineRule="exact"/>
        <w:ind w:firstLine="526" w:firstLineChars="200"/>
        <w:rPr>
          <w:rFonts w:hAnsi="宋体" w:cs="宋体"/>
          <w:color w:val="000000"/>
          <w:szCs w:val="24"/>
        </w:rPr>
      </w:pPr>
      <w:r>
        <w:rPr>
          <w:rFonts w:hint="eastAsia" w:hAnsi="宋体"/>
          <w:color w:val="000000"/>
          <w:szCs w:val="24"/>
        </w:rPr>
        <w:t>（11）</w:t>
      </w:r>
      <w:r>
        <w:rPr>
          <w:rFonts w:hint="eastAsia" w:hAnsi="宋体" w:cs="宋体"/>
          <w:color w:val="000000"/>
          <w:szCs w:val="24"/>
        </w:rPr>
        <w:t>《中华人民共和国水土保持法》（</w:t>
      </w:r>
      <w:r>
        <w:rPr>
          <w:rFonts w:hAnsi="宋体" w:cs="宋体"/>
          <w:color w:val="000000"/>
          <w:szCs w:val="24"/>
        </w:rPr>
        <w:t>2010</w:t>
      </w:r>
      <w:r>
        <w:rPr>
          <w:rFonts w:hint="eastAsia" w:hAnsi="宋体" w:cs="宋体"/>
          <w:color w:val="000000"/>
          <w:szCs w:val="24"/>
        </w:rPr>
        <w:t>年</w:t>
      </w:r>
      <w:r>
        <w:rPr>
          <w:rFonts w:hAnsi="宋体" w:cs="宋体"/>
          <w:color w:val="000000"/>
          <w:szCs w:val="24"/>
        </w:rPr>
        <w:t>12</w:t>
      </w:r>
      <w:r>
        <w:rPr>
          <w:rFonts w:hint="eastAsia" w:hAnsi="宋体" w:cs="宋体"/>
          <w:color w:val="000000"/>
          <w:szCs w:val="24"/>
        </w:rPr>
        <w:t>月</w:t>
      </w:r>
      <w:r>
        <w:rPr>
          <w:rFonts w:hAnsi="宋体" w:cs="宋体"/>
          <w:color w:val="000000"/>
          <w:szCs w:val="24"/>
        </w:rPr>
        <w:t>25</w:t>
      </w:r>
      <w:r>
        <w:rPr>
          <w:rFonts w:hint="eastAsia" w:hAnsi="宋体" w:cs="宋体"/>
          <w:color w:val="000000"/>
          <w:szCs w:val="24"/>
        </w:rPr>
        <w:t>日修订，</w:t>
      </w:r>
      <w:r>
        <w:rPr>
          <w:rFonts w:hAnsi="宋体" w:cs="宋体"/>
          <w:color w:val="000000"/>
          <w:szCs w:val="24"/>
        </w:rPr>
        <w:t>2011</w:t>
      </w:r>
      <w:r>
        <w:rPr>
          <w:rFonts w:hint="eastAsia" w:hAnsi="宋体" w:cs="宋体"/>
          <w:color w:val="000000"/>
          <w:szCs w:val="24"/>
        </w:rPr>
        <w:t>年</w:t>
      </w:r>
      <w:r>
        <w:rPr>
          <w:rFonts w:hAnsi="宋体" w:cs="宋体"/>
          <w:color w:val="000000"/>
          <w:szCs w:val="24"/>
        </w:rPr>
        <w:t>3</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p>
    <w:p w14:paraId="53AC6964">
      <w:pPr>
        <w:spacing w:line="480" w:lineRule="exact"/>
        <w:ind w:firstLine="526" w:firstLineChars="200"/>
        <w:rPr>
          <w:rFonts w:hAnsi="宋体" w:cs="宋体"/>
          <w:color w:val="000000"/>
          <w:szCs w:val="24"/>
        </w:rPr>
      </w:pPr>
      <w:r>
        <w:rPr>
          <w:rFonts w:hint="eastAsia" w:hAnsi="宋体"/>
          <w:color w:val="000000"/>
          <w:szCs w:val="24"/>
        </w:rPr>
        <w:t>（12）</w:t>
      </w:r>
      <w:r>
        <w:rPr>
          <w:rFonts w:hint="eastAsia" w:hAnsi="宋体" w:cs="宋体"/>
          <w:color w:val="000000"/>
          <w:szCs w:val="24"/>
        </w:rPr>
        <w:t>《中华人民共和国石油天然气管道保护法》（</w:t>
      </w:r>
      <w:r>
        <w:rPr>
          <w:rFonts w:hAnsi="宋体" w:cs="宋体"/>
          <w:color w:val="000000"/>
          <w:szCs w:val="24"/>
        </w:rPr>
        <w:t>2010</w:t>
      </w:r>
      <w:r>
        <w:rPr>
          <w:rFonts w:hint="eastAsia" w:hAnsi="宋体" w:cs="宋体"/>
          <w:color w:val="000000"/>
          <w:szCs w:val="24"/>
        </w:rPr>
        <w:t>年</w:t>
      </w:r>
      <w:r>
        <w:rPr>
          <w:rFonts w:hAnsi="宋体" w:cs="宋体"/>
          <w:color w:val="000000"/>
          <w:szCs w:val="24"/>
        </w:rPr>
        <w:t>6</w:t>
      </w:r>
      <w:r>
        <w:rPr>
          <w:rFonts w:hint="eastAsia" w:hAnsi="宋体" w:cs="宋体"/>
          <w:color w:val="000000"/>
          <w:szCs w:val="24"/>
        </w:rPr>
        <w:t>月</w:t>
      </w:r>
      <w:r>
        <w:rPr>
          <w:rFonts w:hAnsi="宋体" w:cs="宋体"/>
          <w:color w:val="000000"/>
          <w:szCs w:val="24"/>
        </w:rPr>
        <w:t>25</w:t>
      </w:r>
      <w:r>
        <w:rPr>
          <w:rFonts w:hint="eastAsia" w:hAnsi="宋体" w:cs="宋体"/>
          <w:color w:val="000000"/>
          <w:szCs w:val="24"/>
        </w:rPr>
        <w:t>日发布，</w:t>
      </w:r>
      <w:r>
        <w:rPr>
          <w:rFonts w:hAnsi="宋体" w:cs="宋体"/>
          <w:color w:val="000000"/>
          <w:szCs w:val="24"/>
        </w:rPr>
        <w:t>2010</w:t>
      </w:r>
      <w:r>
        <w:rPr>
          <w:rFonts w:hint="eastAsia" w:hAnsi="宋体" w:cs="宋体"/>
          <w:color w:val="000000"/>
          <w:szCs w:val="24"/>
        </w:rPr>
        <w:t>年</w:t>
      </w:r>
      <w:r>
        <w:rPr>
          <w:rFonts w:hAnsi="宋体" w:cs="宋体"/>
          <w:color w:val="000000"/>
          <w:szCs w:val="24"/>
        </w:rPr>
        <w:t>10</w:t>
      </w:r>
      <w:r>
        <w:rPr>
          <w:rFonts w:hint="eastAsia" w:hAnsi="宋体" w:cs="宋体"/>
          <w:color w:val="000000"/>
          <w:szCs w:val="24"/>
        </w:rPr>
        <w:t>月</w:t>
      </w:r>
      <w:r>
        <w:rPr>
          <w:rFonts w:hAnsi="宋体" w:cs="宋体"/>
          <w:color w:val="000000"/>
          <w:szCs w:val="24"/>
        </w:rPr>
        <w:t>1</w:t>
      </w:r>
      <w:r>
        <w:rPr>
          <w:rFonts w:hint="eastAsia" w:hAnsi="宋体" w:cs="宋体"/>
          <w:color w:val="000000"/>
          <w:szCs w:val="24"/>
        </w:rPr>
        <w:t>日施行）；</w:t>
      </w:r>
    </w:p>
    <w:p w14:paraId="7485E6AE">
      <w:pPr>
        <w:spacing w:line="480" w:lineRule="exact"/>
        <w:ind w:firstLine="526" w:firstLineChars="200"/>
        <w:rPr>
          <w:rFonts w:hAnsi="宋体" w:cs="宋体"/>
          <w:color w:val="000000"/>
          <w:szCs w:val="24"/>
        </w:rPr>
      </w:pPr>
      <w:r>
        <w:rPr>
          <w:rFonts w:hint="eastAsia" w:hAnsi="宋体"/>
          <w:color w:val="000000"/>
          <w:szCs w:val="24"/>
        </w:rPr>
        <w:t>（13）《中华人民共和国清洁生产促进法》（</w:t>
      </w:r>
      <w:r>
        <w:rPr>
          <w:rFonts w:hAnsi="宋体"/>
          <w:color w:val="000000"/>
          <w:szCs w:val="24"/>
        </w:rPr>
        <w:t>2012</w:t>
      </w:r>
      <w:r>
        <w:rPr>
          <w:rFonts w:hint="eastAsia" w:hAnsi="宋体"/>
          <w:color w:val="000000"/>
          <w:szCs w:val="24"/>
        </w:rPr>
        <w:t>年</w:t>
      </w:r>
      <w:r>
        <w:rPr>
          <w:rFonts w:hAnsi="宋体"/>
          <w:color w:val="000000"/>
          <w:szCs w:val="24"/>
        </w:rPr>
        <w:t>2</w:t>
      </w:r>
      <w:r>
        <w:rPr>
          <w:rFonts w:hint="eastAsia" w:hAnsi="宋体"/>
          <w:color w:val="000000"/>
          <w:szCs w:val="24"/>
        </w:rPr>
        <w:t>月</w:t>
      </w:r>
      <w:r>
        <w:rPr>
          <w:rFonts w:hAnsi="宋体"/>
          <w:color w:val="000000"/>
          <w:szCs w:val="24"/>
        </w:rPr>
        <w:t>29</w:t>
      </w:r>
      <w:r>
        <w:rPr>
          <w:rFonts w:hint="eastAsia" w:hAnsi="宋体"/>
          <w:color w:val="000000"/>
          <w:szCs w:val="24"/>
        </w:rPr>
        <w:t>日发布）</w:t>
      </w:r>
      <w:r>
        <w:rPr>
          <w:rFonts w:hint="eastAsia" w:hAnsi="宋体" w:cs="宋体"/>
          <w:color w:val="000000"/>
          <w:szCs w:val="24"/>
        </w:rPr>
        <w:t>；</w:t>
      </w:r>
    </w:p>
    <w:p w14:paraId="0C10B971">
      <w:pPr>
        <w:spacing w:line="480" w:lineRule="exact"/>
        <w:ind w:firstLine="526" w:firstLineChars="200"/>
        <w:rPr>
          <w:rFonts w:hint="eastAsia" w:hAnsi="宋体" w:cs="宋体"/>
          <w:color w:val="000000"/>
          <w:szCs w:val="24"/>
        </w:rPr>
      </w:pPr>
      <w:r>
        <w:rPr>
          <w:rFonts w:hint="eastAsia" w:hAnsi="宋体"/>
          <w:color w:val="000000"/>
          <w:szCs w:val="24"/>
        </w:rPr>
        <w:t>（14）《中华人民共和国矿产资源法（2024年修订）》（</w:t>
      </w:r>
      <w:r>
        <w:rPr>
          <w:rFonts w:hAnsi="宋体"/>
          <w:color w:val="000000"/>
          <w:szCs w:val="24"/>
        </w:rPr>
        <w:t>20</w:t>
      </w:r>
      <w:r>
        <w:rPr>
          <w:rFonts w:hint="eastAsia" w:hAnsi="宋体"/>
          <w:color w:val="000000"/>
          <w:szCs w:val="24"/>
        </w:rPr>
        <w:t>24</w:t>
      </w:r>
      <w:r>
        <w:rPr>
          <w:rFonts w:hAnsi="宋体"/>
          <w:color w:val="000000"/>
          <w:szCs w:val="24"/>
        </w:rPr>
        <w:t>年</w:t>
      </w:r>
      <w:r>
        <w:rPr>
          <w:rFonts w:hint="eastAsia" w:hAnsi="宋体"/>
          <w:color w:val="000000"/>
          <w:szCs w:val="24"/>
        </w:rPr>
        <w:t>11</w:t>
      </w:r>
      <w:r>
        <w:rPr>
          <w:rFonts w:hAnsi="宋体"/>
          <w:color w:val="000000"/>
          <w:szCs w:val="24"/>
        </w:rPr>
        <w:t>月</w:t>
      </w:r>
      <w:r>
        <w:rPr>
          <w:rFonts w:hint="eastAsia" w:hAnsi="宋体"/>
          <w:color w:val="000000"/>
          <w:szCs w:val="24"/>
        </w:rPr>
        <w:t>8</w:t>
      </w:r>
      <w:r>
        <w:rPr>
          <w:rFonts w:hAnsi="宋体"/>
          <w:color w:val="000000"/>
          <w:szCs w:val="24"/>
        </w:rPr>
        <w:t>日</w:t>
      </w:r>
      <w:r>
        <w:rPr>
          <w:rFonts w:hint="eastAsia" w:hAnsi="宋体"/>
          <w:color w:val="000000"/>
          <w:szCs w:val="24"/>
        </w:rPr>
        <w:t>修订，2025</w:t>
      </w:r>
      <w:r>
        <w:rPr>
          <w:rFonts w:hAnsi="宋体"/>
          <w:color w:val="000000"/>
          <w:szCs w:val="24"/>
        </w:rPr>
        <w:t>年</w:t>
      </w:r>
      <w:r>
        <w:rPr>
          <w:rFonts w:hint="eastAsia" w:hAnsi="宋体"/>
          <w:color w:val="000000"/>
          <w:szCs w:val="24"/>
        </w:rPr>
        <w:t>7</w:t>
      </w:r>
      <w:r>
        <w:rPr>
          <w:rFonts w:hAnsi="宋体"/>
          <w:color w:val="000000"/>
          <w:szCs w:val="24"/>
        </w:rPr>
        <w:t>月1日施行</w:t>
      </w:r>
      <w:r>
        <w:rPr>
          <w:rFonts w:hint="eastAsia" w:hAnsi="宋体"/>
          <w:color w:val="000000"/>
          <w:szCs w:val="24"/>
        </w:rPr>
        <w:t>）；</w:t>
      </w:r>
    </w:p>
    <w:p w14:paraId="67DCDFDA">
      <w:pPr>
        <w:spacing w:line="480" w:lineRule="exact"/>
        <w:ind w:firstLine="526" w:firstLineChars="200"/>
        <w:rPr>
          <w:rFonts w:hint="eastAsia" w:hAnsi="宋体"/>
          <w:color w:val="000000"/>
          <w:szCs w:val="24"/>
        </w:rPr>
      </w:pPr>
      <w:r>
        <w:rPr>
          <w:rFonts w:hint="eastAsia" w:hAnsi="宋体"/>
          <w:color w:val="000000"/>
          <w:szCs w:val="24"/>
        </w:rPr>
        <w:t>（15）《中华人民共和国野生动物保护法》（</w:t>
      </w:r>
      <w:r>
        <w:rPr>
          <w:rFonts w:hAnsi="宋体"/>
          <w:color w:val="000000"/>
          <w:szCs w:val="24"/>
        </w:rPr>
        <w:t>20</w:t>
      </w:r>
      <w:r>
        <w:rPr>
          <w:rFonts w:hint="eastAsia" w:hAnsi="宋体"/>
          <w:color w:val="000000"/>
          <w:szCs w:val="24"/>
        </w:rPr>
        <w:t>22</w:t>
      </w:r>
      <w:r>
        <w:rPr>
          <w:rFonts w:hAnsi="宋体"/>
          <w:color w:val="000000"/>
          <w:szCs w:val="24"/>
        </w:rPr>
        <w:t>年</w:t>
      </w:r>
      <w:r>
        <w:rPr>
          <w:rFonts w:hint="eastAsia" w:hAnsi="宋体"/>
          <w:color w:val="000000"/>
          <w:szCs w:val="24"/>
        </w:rPr>
        <w:t>12</w:t>
      </w:r>
      <w:r>
        <w:rPr>
          <w:rFonts w:hAnsi="宋体"/>
          <w:color w:val="000000"/>
          <w:szCs w:val="24"/>
        </w:rPr>
        <w:t>月</w:t>
      </w:r>
      <w:r>
        <w:rPr>
          <w:rFonts w:hint="eastAsia" w:hAnsi="宋体"/>
          <w:color w:val="000000"/>
          <w:szCs w:val="24"/>
        </w:rPr>
        <w:t>30</w:t>
      </w:r>
      <w:r>
        <w:rPr>
          <w:rFonts w:hAnsi="宋体"/>
          <w:color w:val="000000"/>
          <w:szCs w:val="24"/>
        </w:rPr>
        <w:t>日</w:t>
      </w:r>
      <w:r>
        <w:rPr>
          <w:rFonts w:hint="eastAsia" w:hAnsi="宋体"/>
          <w:color w:val="000000"/>
          <w:szCs w:val="24"/>
        </w:rPr>
        <w:t>修正，2023</w:t>
      </w:r>
      <w:r>
        <w:rPr>
          <w:rFonts w:hAnsi="宋体"/>
          <w:color w:val="000000"/>
          <w:szCs w:val="24"/>
        </w:rPr>
        <w:t>年</w:t>
      </w:r>
      <w:r>
        <w:rPr>
          <w:rFonts w:hint="eastAsia" w:hAnsi="宋体"/>
          <w:color w:val="000000"/>
          <w:szCs w:val="24"/>
        </w:rPr>
        <w:t>5</w:t>
      </w:r>
      <w:r>
        <w:rPr>
          <w:rFonts w:hAnsi="宋体"/>
          <w:color w:val="000000"/>
          <w:szCs w:val="24"/>
        </w:rPr>
        <w:t>月1日施行</w:t>
      </w:r>
      <w:r>
        <w:rPr>
          <w:rFonts w:hint="eastAsia" w:hAnsi="宋体"/>
          <w:color w:val="000000"/>
          <w:szCs w:val="24"/>
        </w:rPr>
        <w:t>）；</w:t>
      </w:r>
    </w:p>
    <w:p w14:paraId="324C16F0">
      <w:pPr>
        <w:pStyle w:val="10"/>
        <w:widowControl w:val="0"/>
        <w:spacing w:line="480" w:lineRule="exact"/>
        <w:ind w:firstLine="526"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（16）《中华人民共和国突发事件应对法》（2024年6月28日修订，2024年11月1日施行）。</w:t>
      </w:r>
    </w:p>
    <w:p w14:paraId="63CC8936">
      <w:pPr>
        <w:spacing w:line="480" w:lineRule="exact"/>
        <w:outlineLvl w:val="2"/>
        <w:rPr>
          <w:rFonts w:hint="eastAsia" w:hAnsi="宋体"/>
          <w:color w:val="000000"/>
          <w:szCs w:val="24"/>
        </w:rPr>
      </w:pPr>
      <w:r>
        <w:rPr>
          <w:rFonts w:hint="eastAsia" w:hAnsi="宋体"/>
          <w:color w:val="000000"/>
          <w:szCs w:val="24"/>
        </w:rPr>
        <w:t>2.1.2 环境保护法规、规章</w:t>
      </w:r>
    </w:p>
    <w:p w14:paraId="2A6E593E">
      <w:pPr>
        <w:spacing w:line="480" w:lineRule="exact"/>
        <w:outlineLvl w:val="3"/>
        <w:rPr>
          <w:rFonts w:hint="eastAsia" w:hAnsi="宋体"/>
          <w:color w:val="000000"/>
          <w:szCs w:val="24"/>
        </w:rPr>
      </w:pPr>
      <w:r>
        <w:rPr>
          <w:rFonts w:hint="eastAsia" w:hAnsi="宋体"/>
          <w:color w:val="000000"/>
          <w:szCs w:val="24"/>
        </w:rPr>
        <w:t>2.1.2.1 国家环境保护法规和规章</w:t>
      </w:r>
    </w:p>
    <w:p w14:paraId="23F8601F">
      <w:pPr>
        <w:spacing w:line="480" w:lineRule="exact"/>
        <w:ind w:firstLine="526" w:firstLineChars="200"/>
        <w:rPr>
          <w:rFonts w:hint="eastAsia" w:hAnsi="宋体" w:cs="宋体"/>
          <w:color w:val="000000"/>
          <w:szCs w:val="24"/>
        </w:rPr>
      </w:pPr>
      <w:r>
        <w:rPr>
          <w:rFonts w:hint="eastAsia" w:hAnsi="宋体" w:cs="宋体"/>
          <w:color w:val="000000"/>
          <w:szCs w:val="24"/>
        </w:rPr>
        <w:t>（1）《中共中央办公厅 国务院办公厅关于加强生态环境分区管控的意见》（2024年3月6日）</w:t>
      </w:r>
    </w:p>
    <w:p w14:paraId="2549070A">
      <w:pPr>
        <w:spacing w:line="480" w:lineRule="exact"/>
        <w:ind w:firstLine="526" w:firstLineChars="200"/>
        <w:rPr>
          <w:rFonts w:hAnsi="宋体" w:cs="宋体"/>
          <w:color w:val="000000"/>
          <w:szCs w:val="24"/>
        </w:rPr>
      </w:pPr>
      <w:r>
        <w:rPr>
          <w:rFonts w:hint="eastAsia" w:hAnsi="宋体" w:cs="宋体"/>
          <w:color w:val="000000"/>
          <w:szCs w:val="24"/>
        </w:rPr>
        <w:t>（2）《中共中央 国务院关于深入打好污染防治攻坚战的意见》（2021年11月2日）；</w:t>
      </w:r>
    </w:p>
    <w:p w14:paraId="7C8B7ABE">
      <w:pPr>
        <w:spacing w:line="480" w:lineRule="exact"/>
        <w:ind w:firstLine="526" w:firstLineChars="200"/>
        <w:rPr>
          <w:rFonts w:hAnsi="宋体" w:cs="宋体"/>
          <w:color w:val="000000"/>
          <w:szCs w:val="24"/>
        </w:rPr>
      </w:pPr>
      <w:r>
        <w:rPr>
          <w:rFonts w:hint="eastAsia" w:hAnsi="宋体" w:cs="宋体"/>
          <w:color w:val="000000"/>
          <w:szCs w:val="24"/>
        </w:rPr>
        <w:t>（3）《中共中央办公厅 国务院办公厅关于印发在国土空间规划中统筹划定落实三条控制线的指导意见》（2019年7月24日）；</w:t>
      </w:r>
    </w:p>
    <w:p w14:paraId="08F2AE99">
      <w:pPr>
        <w:spacing w:line="480" w:lineRule="exact"/>
        <w:ind w:firstLine="526" w:firstLineChars="200"/>
        <w:rPr>
          <w:rFonts w:hAnsi="宋体" w:cs="宋体"/>
          <w:color w:val="000000"/>
          <w:szCs w:val="24"/>
        </w:rPr>
      </w:pPr>
      <w:r>
        <w:rPr>
          <w:rFonts w:hint="eastAsia" w:hAnsi="宋体" w:cs="宋体"/>
          <w:color w:val="000000"/>
          <w:szCs w:val="24"/>
        </w:rPr>
        <w:t>（4）《国务院关于修改&lt;建设项目环境保护管理条例&gt;的决定》（国务院令第682号，2017年7月16日公布，2017年10月1日实施）；</w:t>
      </w:r>
    </w:p>
    <w:p w14:paraId="0FFEF9CB">
      <w:pPr>
        <w:spacing w:line="480" w:lineRule="exact"/>
        <w:ind w:firstLine="526" w:firstLineChars="200"/>
        <w:rPr>
          <w:rFonts w:hint="eastAsia" w:hAnsi="宋体" w:cs="宋体"/>
          <w:color w:val="000000"/>
          <w:szCs w:val="24"/>
        </w:rPr>
      </w:pPr>
      <w:r>
        <w:rPr>
          <w:rFonts w:hint="eastAsia" w:hAnsi="宋体" w:cs="宋体"/>
          <w:color w:val="000000"/>
          <w:szCs w:val="24"/>
        </w:rPr>
        <w:t>（5）《国务院关于印发空气质量持续改善行动计划的通知》（国发〔2023〕24号，2023年11月30日发布并实施）；</w:t>
      </w:r>
    </w:p>
    <w:p w14:paraId="2A2C5385">
      <w:pPr>
        <w:spacing w:line="480" w:lineRule="exact"/>
        <w:ind w:firstLine="526" w:firstLineChars="200"/>
        <w:rPr>
          <w:rFonts w:hAnsi="宋体" w:cs="宋体"/>
          <w:color w:val="000000"/>
          <w:szCs w:val="24"/>
        </w:rPr>
      </w:pPr>
      <w:r>
        <w:rPr>
          <w:rFonts w:hint="eastAsia" w:hAnsi="宋体" w:cs="宋体"/>
          <w:color w:val="000000"/>
          <w:szCs w:val="24"/>
        </w:rPr>
        <w:t>（6）《国务院关于印发土壤污染防治行动计划的通知》（国发〔2016〕31号，2016年5月28日发布并实施）；</w:t>
      </w:r>
    </w:p>
    <w:p w14:paraId="3EFEE7EA">
      <w:pPr>
        <w:spacing w:line="480" w:lineRule="exact"/>
        <w:ind w:firstLine="526" w:firstLineChars="200"/>
        <w:rPr>
          <w:rFonts w:hAnsi="宋体" w:cs="宋体"/>
          <w:color w:val="000000"/>
          <w:szCs w:val="24"/>
        </w:rPr>
      </w:pPr>
      <w:r>
        <w:rPr>
          <w:rFonts w:hint="eastAsia" w:hAnsi="宋体" w:cs="宋体"/>
          <w:color w:val="000000"/>
          <w:szCs w:val="24"/>
        </w:rPr>
        <w:t>（7）《国务院关于印发水污染防治行动计划的通知》（国发〔2015〕17号，2015年4月2日发布并实施）；</w:t>
      </w:r>
    </w:p>
    <w:p w14:paraId="0066A52C">
      <w:pPr>
        <w:spacing w:line="480" w:lineRule="exact"/>
        <w:ind w:firstLine="526" w:firstLineChars="200"/>
        <w:rPr>
          <w:rFonts w:hAnsi="宋体" w:cs="宋体"/>
          <w:color w:val="000000"/>
          <w:szCs w:val="24"/>
        </w:rPr>
      </w:pPr>
      <w:r>
        <w:rPr>
          <w:rFonts w:hint="eastAsia" w:hAnsi="宋体" w:cs="宋体"/>
          <w:color w:val="000000"/>
          <w:szCs w:val="24"/>
        </w:rPr>
        <w:t>（8）《地下水管理条例》（国务院令第748号，2021年10月21日发布，2021年12月1日施行）；</w:t>
      </w:r>
    </w:p>
    <w:p w14:paraId="71FFC78A">
      <w:pPr>
        <w:spacing w:line="480" w:lineRule="exact"/>
        <w:ind w:firstLine="526" w:firstLineChars="200"/>
        <w:rPr>
          <w:rFonts w:hAnsi="宋体" w:cs="宋体"/>
          <w:color w:val="000000"/>
          <w:szCs w:val="24"/>
        </w:rPr>
      </w:pPr>
      <w:r>
        <w:rPr>
          <w:rFonts w:hint="eastAsia" w:hAnsi="宋体" w:cs="宋体"/>
          <w:color w:val="000000"/>
          <w:szCs w:val="24"/>
        </w:rPr>
        <w:t>（9）《关于印发强化危险废物监管和利用处置能力改革实施方案的通知》 （国务院办公厅〔2021〕47号）；</w:t>
      </w:r>
    </w:p>
    <w:p w14:paraId="5D4B3233">
      <w:pPr>
        <w:spacing w:line="480" w:lineRule="exact"/>
        <w:ind w:firstLine="526" w:firstLineChars="200"/>
        <w:rPr>
          <w:rFonts w:hAnsi="宋体" w:cs="宋体"/>
          <w:color w:val="000000"/>
          <w:szCs w:val="24"/>
        </w:rPr>
      </w:pPr>
      <w:r>
        <w:rPr>
          <w:rFonts w:hint="eastAsia" w:hAnsi="宋体" w:cs="宋体"/>
          <w:color w:val="000000"/>
          <w:szCs w:val="24"/>
        </w:rPr>
        <w:t>（10）</w:t>
      </w:r>
      <w:r>
        <w:rPr>
          <w:rFonts w:hint="eastAsia" w:hAnsi="宋体" w:cs="宋体"/>
          <w:color w:val="000000"/>
          <w:kern w:val="0"/>
          <w:szCs w:val="24"/>
        </w:rPr>
        <w:t>《国务院关于印发全国主体功能区规划的通知》（国发〔2010〕46号，2010年12月21日）；</w:t>
      </w:r>
    </w:p>
    <w:p w14:paraId="0A0D1D6B">
      <w:pPr>
        <w:spacing w:line="480" w:lineRule="exact"/>
        <w:ind w:firstLine="526" w:firstLineChars="200"/>
        <w:rPr>
          <w:rFonts w:hAnsi="宋体" w:cs="宋体"/>
          <w:color w:val="000000"/>
          <w:szCs w:val="24"/>
        </w:rPr>
      </w:pPr>
      <w:r>
        <w:rPr>
          <w:rFonts w:hint="eastAsia" w:hAnsi="宋体" w:cs="宋体"/>
          <w:color w:val="000000"/>
          <w:szCs w:val="24"/>
        </w:rPr>
        <w:t>（11）</w:t>
      </w:r>
      <w:r>
        <w:rPr>
          <w:rFonts w:hint="eastAsia" w:hAnsi="宋体"/>
          <w:color w:val="000000"/>
          <w:szCs w:val="24"/>
        </w:rPr>
        <w:t>《产业结构调整指导目录（2024年本）》</w:t>
      </w:r>
      <w:r>
        <w:rPr>
          <w:rFonts w:hint="eastAsia" w:hAnsi="宋体" w:cs="宋体"/>
          <w:color w:val="000000"/>
          <w:szCs w:val="24"/>
        </w:rPr>
        <w:t>（国家发展改革委令 2023年第7号，2023年12月27日发布，2024年1月1日施行）；</w:t>
      </w:r>
    </w:p>
    <w:p w14:paraId="263A3D01">
      <w:pPr>
        <w:spacing w:line="480" w:lineRule="exact"/>
        <w:ind w:firstLine="526" w:firstLineChars="200"/>
        <w:rPr>
          <w:rFonts w:hAnsi="宋体" w:cs="宋体"/>
          <w:color w:val="000000"/>
          <w:szCs w:val="24"/>
        </w:rPr>
      </w:pPr>
      <w:r>
        <w:rPr>
          <w:rFonts w:hint="eastAsia" w:hAnsi="宋体" w:cs="宋体"/>
          <w:color w:val="000000"/>
          <w:szCs w:val="24"/>
        </w:rPr>
        <w:t>（12）《建设项目危险废物环境影响评价指南》（原环境保护部公告2017第43号，2017年8月29日发布，2017年10月1日施行）；</w:t>
      </w:r>
    </w:p>
    <w:p w14:paraId="7E6EFA17">
      <w:pPr>
        <w:spacing w:line="480" w:lineRule="exact"/>
        <w:ind w:firstLine="526" w:firstLineChars="200"/>
        <w:rPr>
          <w:rFonts w:hAnsi="宋体" w:cs="宋体"/>
          <w:color w:val="000000"/>
          <w:szCs w:val="24"/>
        </w:rPr>
      </w:pPr>
      <w:r>
        <w:rPr>
          <w:rFonts w:hint="eastAsia" w:hAnsi="宋体" w:cs="宋体"/>
          <w:color w:val="000000"/>
          <w:szCs w:val="24"/>
        </w:rPr>
        <w:t>（13）《危险废物环境管理指南 陆上石油天然气开采》（生态环境部公告 2021年第74号）；</w:t>
      </w:r>
    </w:p>
    <w:p w14:paraId="31DA74B0">
      <w:pPr>
        <w:pStyle w:val="10"/>
        <w:widowControl w:val="0"/>
        <w:spacing w:line="480" w:lineRule="exact"/>
        <w:ind w:firstLine="526" w:firstLineChars="200"/>
        <w:jc w:val="both"/>
        <w:rPr>
          <w:rFonts w:ascii="宋体" w:hAnsi="宋体" w:eastAsia="宋体" w:cs="宋体"/>
          <w:color w:val="000000"/>
          <w:sz w:val="24"/>
          <w:szCs w:val="24"/>
        </w:rPr>
      </w:pPr>
      <w:r>
        <w:rPr>
          <w:rFonts w:hint="eastAsia" w:ascii="宋体" w:hAnsi="宋体" w:eastAsia="宋体" w:cs="宋体"/>
          <w:color w:val="000000"/>
          <w:sz w:val="24"/>
          <w:szCs w:val="24"/>
        </w:rPr>
        <w:t>（14）《环境影响评价公众参与办法》（部令第4号，2018年7月16日发布，2019年1月1日施行）；</w:t>
      </w:r>
    </w:p>
    <w:p w14:paraId="3E51CEC9">
      <w:pPr>
        <w:pStyle w:val="11"/>
        <w:spacing w:line="480" w:lineRule="exact"/>
        <w:ind w:firstLine="527"/>
        <w:rPr>
          <w:color w:val="000000"/>
          <w:spacing w:val="5"/>
        </w:rPr>
      </w:pPr>
      <w:r>
        <w:rPr>
          <w:rFonts w:hint="eastAsia"/>
          <w:color w:val="000000"/>
          <w:spacing w:val="5"/>
        </w:rPr>
        <w:t>（15）</w:t>
      </w:r>
      <w:r>
        <w:rPr>
          <w:rFonts w:hint="eastAsia"/>
          <w:color w:val="000000"/>
          <w:spacing w:val="5"/>
          <w:kern w:val="25"/>
        </w:rPr>
        <w:t>《国家危险废物名录（2025年版）》（部令第36号，2024年11月26日发布，2025年1月1日施行）</w:t>
      </w:r>
      <w:r>
        <w:rPr>
          <w:rFonts w:hint="eastAsia"/>
          <w:color w:val="000000"/>
          <w:spacing w:val="5"/>
        </w:rPr>
        <w:t>；</w:t>
      </w:r>
    </w:p>
    <w:p w14:paraId="5307908F">
      <w:pPr>
        <w:pStyle w:val="12"/>
        <w:spacing w:after="0" w:line="480" w:lineRule="exact"/>
        <w:ind w:firstLine="526" w:firstLineChars="200"/>
        <w:rPr>
          <w:rFonts w:hint="eastAsia" w:hAnsi="宋体" w:eastAsia="宋体" w:cs="宋体"/>
          <w:color w:val="000000"/>
          <w:sz w:val="24"/>
          <w:szCs w:val="24"/>
        </w:rPr>
      </w:pPr>
      <w:r>
        <w:rPr>
          <w:rFonts w:hint="eastAsia" w:hAnsi="宋体" w:eastAsia="宋体" w:cs="宋体"/>
          <w:color w:val="000000"/>
          <w:sz w:val="24"/>
          <w:szCs w:val="24"/>
        </w:rPr>
        <w:t>（16）《建设项目环境影响评价分类管理名录》（2021年版）（部令第16号，2020年11月30日公布，2021年1月1日施行）；</w:t>
      </w:r>
    </w:p>
    <w:p w14:paraId="7901E76D">
      <w:pPr>
        <w:spacing w:line="480" w:lineRule="exact"/>
        <w:ind w:firstLine="526" w:firstLineChars="200"/>
        <w:rPr>
          <w:rFonts w:hAnsi="宋体" w:cs="宋体"/>
          <w:color w:val="000000"/>
          <w:szCs w:val="24"/>
        </w:rPr>
      </w:pPr>
      <w:r>
        <w:rPr>
          <w:rFonts w:hint="eastAsia" w:hAnsi="宋体" w:cs="宋体"/>
          <w:color w:val="000000"/>
          <w:szCs w:val="24"/>
        </w:rPr>
        <w:t>（17）《企业环境信息依法披露管理办法》（生态环境部令第24号，2021年12月11日发布，2022年2月8日施行）；</w:t>
      </w:r>
    </w:p>
    <w:p w14:paraId="1DABB648">
      <w:pPr>
        <w:spacing w:line="480" w:lineRule="exact"/>
        <w:ind w:firstLine="526" w:firstLineChars="200"/>
        <w:rPr>
          <w:rFonts w:hAnsi="宋体" w:cs="宋体"/>
          <w:color w:val="000000"/>
          <w:szCs w:val="24"/>
        </w:rPr>
      </w:pPr>
      <w:r>
        <w:rPr>
          <w:rFonts w:hint="eastAsia" w:hAnsi="宋体" w:cs="宋体"/>
          <w:color w:val="000000"/>
          <w:szCs w:val="24"/>
        </w:rPr>
        <w:t>（18）《</w:t>
      </w:r>
      <w:r>
        <w:rPr>
          <w:rFonts w:hint="eastAsia" w:hAnsi="宋体" w:cs="宋体"/>
          <w:color w:val="000000"/>
          <w:kern w:val="0"/>
          <w:szCs w:val="24"/>
        </w:rPr>
        <w:t>危险废物转移管理办法</w:t>
      </w:r>
      <w:r>
        <w:rPr>
          <w:rFonts w:hint="eastAsia" w:hAnsi="宋体" w:cs="宋体"/>
          <w:color w:val="000000"/>
          <w:szCs w:val="24"/>
        </w:rPr>
        <w:t>》（生态环境部令第23号，2021年11月30日发布，2022年1月1日施行）；</w:t>
      </w:r>
    </w:p>
    <w:p w14:paraId="7E3746E7">
      <w:pPr>
        <w:spacing w:line="480" w:lineRule="exact"/>
        <w:ind w:firstLine="526" w:firstLineChars="200"/>
        <w:rPr>
          <w:rFonts w:hAnsi="宋体" w:cs="宋体"/>
          <w:color w:val="000000"/>
          <w:szCs w:val="24"/>
        </w:rPr>
      </w:pPr>
      <w:r>
        <w:rPr>
          <w:rFonts w:hint="eastAsia" w:hAnsi="宋体" w:cs="宋体"/>
          <w:color w:val="000000"/>
          <w:szCs w:val="24"/>
        </w:rPr>
        <w:t>（19）《突发环境事件应急管理办法》（原环境保护部令第34号，2015年4月16日发布，2015年6月5日施行）；</w:t>
      </w:r>
    </w:p>
    <w:p w14:paraId="6BDAD24C">
      <w:pPr>
        <w:spacing w:line="480" w:lineRule="exact"/>
        <w:ind w:firstLine="526" w:firstLineChars="200"/>
        <w:rPr>
          <w:rFonts w:hAnsi="宋体" w:cs="宋体"/>
          <w:color w:val="000000"/>
          <w:szCs w:val="24"/>
        </w:rPr>
      </w:pPr>
      <w:r>
        <w:rPr>
          <w:rFonts w:hint="eastAsia" w:hAnsi="宋体" w:cs="宋体"/>
          <w:color w:val="000000"/>
          <w:szCs w:val="24"/>
        </w:rPr>
        <w:t>（20）《危险废物排除管理清单（2026年版）》（生态环境部公告 2026年第2号）；</w:t>
      </w:r>
    </w:p>
    <w:p w14:paraId="1128AA68">
      <w:pPr>
        <w:spacing w:line="480" w:lineRule="exact"/>
        <w:ind w:firstLine="526" w:firstLineChars="200"/>
        <w:rPr>
          <w:rFonts w:hAnsi="宋体" w:cs="宋体"/>
          <w:color w:val="000000"/>
          <w:szCs w:val="24"/>
        </w:rPr>
      </w:pPr>
      <w:r>
        <w:rPr>
          <w:rFonts w:hint="eastAsia" w:hAnsi="宋体" w:cs="宋体"/>
          <w:color w:val="000000"/>
          <w:szCs w:val="24"/>
        </w:rPr>
        <w:t>（21）《挥发性有机物（VOC</w:t>
      </w:r>
      <w:r>
        <w:rPr>
          <w:rFonts w:hint="eastAsia" w:hAnsi="宋体" w:cs="宋体"/>
          <w:color w:val="000000"/>
          <w:szCs w:val="24"/>
          <w:vertAlign w:val="subscript"/>
        </w:rPr>
        <w:t>s</w:t>
      </w:r>
      <w:r>
        <w:rPr>
          <w:rFonts w:hint="eastAsia" w:hAnsi="宋体" w:cs="宋体"/>
          <w:color w:val="000000"/>
          <w:szCs w:val="24"/>
        </w:rPr>
        <w:t>）污染防治技术政策》（原环境保护部公告</w:t>
      </w:r>
      <w:r>
        <w:rPr>
          <w:rFonts w:hint="eastAsia" w:hAnsi="宋体" w:cs="宋体"/>
          <w:color w:val="000000"/>
          <w:szCs w:val="24"/>
          <w:lang w:val="zh-CN"/>
        </w:rPr>
        <w:t xml:space="preserve"> 2013年第31号</w:t>
      </w:r>
      <w:r>
        <w:rPr>
          <w:rFonts w:hint="eastAsia" w:hAnsi="宋体" w:cs="宋体"/>
          <w:color w:val="000000"/>
          <w:szCs w:val="24"/>
        </w:rPr>
        <w:t>，</w:t>
      </w:r>
      <w:r>
        <w:rPr>
          <w:rFonts w:hint="eastAsia" w:hAnsi="宋体" w:cs="宋体"/>
          <w:color w:val="000000"/>
          <w:szCs w:val="24"/>
          <w:lang w:val="zh-CN"/>
        </w:rPr>
        <w:t>2013年</w:t>
      </w:r>
      <w:r>
        <w:rPr>
          <w:rFonts w:hint="eastAsia" w:hAnsi="宋体" w:cs="宋体"/>
          <w:color w:val="000000"/>
          <w:szCs w:val="24"/>
        </w:rPr>
        <w:t>5月</w:t>
      </w:r>
      <w:r>
        <w:rPr>
          <w:rFonts w:hint="eastAsia" w:hAnsi="宋体" w:cs="宋体"/>
          <w:color w:val="000000"/>
          <w:szCs w:val="24"/>
          <w:lang w:val="zh-CN"/>
        </w:rPr>
        <w:t>24日实施</w:t>
      </w:r>
      <w:r>
        <w:rPr>
          <w:rFonts w:hint="eastAsia" w:hAnsi="宋体" w:cs="宋体"/>
          <w:color w:val="000000"/>
          <w:szCs w:val="24"/>
        </w:rPr>
        <w:t>）；</w:t>
      </w:r>
    </w:p>
    <w:p w14:paraId="5DF59A01">
      <w:pPr>
        <w:spacing w:line="480" w:lineRule="exact"/>
        <w:ind w:firstLine="526" w:firstLineChars="200"/>
        <w:rPr>
          <w:rFonts w:hAnsi="宋体" w:cs="宋体"/>
          <w:color w:val="000000"/>
          <w:szCs w:val="24"/>
        </w:rPr>
      </w:pPr>
      <w:r>
        <w:rPr>
          <w:rFonts w:hint="eastAsia" w:hAnsi="宋体" w:cs="宋体"/>
          <w:color w:val="000000"/>
          <w:szCs w:val="24"/>
        </w:rPr>
        <w:t>（22）《国家重点保护野生动物名录》（国家林业和草原局 农业农村部公告2021年第3号，2021年2月1日发布并实施）；</w:t>
      </w:r>
    </w:p>
    <w:p w14:paraId="15A4A774">
      <w:pPr>
        <w:spacing w:line="480" w:lineRule="exact"/>
        <w:ind w:firstLine="526" w:firstLineChars="200"/>
        <w:rPr>
          <w:rFonts w:hAnsi="宋体" w:cs="宋体"/>
          <w:color w:val="000000"/>
          <w:szCs w:val="24"/>
        </w:rPr>
      </w:pPr>
      <w:r>
        <w:rPr>
          <w:rFonts w:hint="eastAsia" w:hAnsi="宋体" w:cs="宋体"/>
          <w:color w:val="000000"/>
          <w:szCs w:val="24"/>
        </w:rPr>
        <w:t>（23）《国家重点保护野生植物名录》（国家林业和草原局 农业农村部公告2021年第15号，2021年9月7日发布并实施）；</w:t>
      </w:r>
    </w:p>
    <w:p w14:paraId="216E70AA">
      <w:pPr>
        <w:spacing w:line="480" w:lineRule="exact"/>
        <w:ind w:firstLine="526" w:firstLineChars="200"/>
        <w:rPr>
          <w:rFonts w:hAnsi="宋体" w:cs="宋体"/>
          <w:color w:val="000000"/>
          <w:szCs w:val="24"/>
        </w:rPr>
      </w:pPr>
      <w:r>
        <w:rPr>
          <w:rFonts w:hint="eastAsia" w:hAnsi="宋体" w:cs="宋体"/>
          <w:color w:val="000000"/>
          <w:szCs w:val="24"/>
        </w:rPr>
        <w:t>（24）《关于以改善环境质量为核心加强环境影响评价管理的通知》（环环评〔2016〕150号，2016年10月26日发布并实施）；</w:t>
      </w:r>
    </w:p>
    <w:p w14:paraId="4CAE2C5F">
      <w:pPr>
        <w:spacing w:line="480" w:lineRule="exact"/>
        <w:ind w:firstLine="526" w:firstLineChars="200"/>
        <w:rPr>
          <w:rFonts w:hAnsi="宋体" w:cs="宋体"/>
          <w:color w:val="000000"/>
          <w:szCs w:val="24"/>
        </w:rPr>
      </w:pPr>
      <w:r>
        <w:rPr>
          <w:rFonts w:hint="eastAsia" w:hAnsi="宋体" w:cs="宋体"/>
          <w:color w:val="000000"/>
          <w:szCs w:val="24"/>
        </w:rPr>
        <w:t>（25）《关于建设项目主要污染物排放总量指标审核及管理暂行办法的通知》（环发〔2014〕197号，2014年12月30日发布并实施）；</w:t>
      </w:r>
    </w:p>
    <w:p w14:paraId="08D154BF">
      <w:pPr>
        <w:spacing w:line="480" w:lineRule="exact"/>
        <w:ind w:firstLine="526" w:firstLineChars="200"/>
        <w:rPr>
          <w:rFonts w:hAnsi="宋体" w:cs="宋体"/>
          <w:color w:val="000000"/>
          <w:szCs w:val="24"/>
        </w:rPr>
      </w:pPr>
      <w:r>
        <w:rPr>
          <w:rFonts w:hint="eastAsia" w:hAnsi="宋体" w:cs="宋体"/>
          <w:color w:val="000000"/>
          <w:szCs w:val="24"/>
        </w:rPr>
        <w:t>（26）《关于切实加强风险防范严格环境影响评价管理的通知》（环发〔2012〕98号，2012年8月8日发布并实施）；</w:t>
      </w:r>
    </w:p>
    <w:p w14:paraId="37A7D5F5">
      <w:pPr>
        <w:spacing w:line="480" w:lineRule="exact"/>
        <w:ind w:firstLine="526" w:firstLineChars="200"/>
        <w:rPr>
          <w:rFonts w:hAnsi="宋体" w:cs="宋体"/>
          <w:color w:val="000000"/>
          <w:szCs w:val="24"/>
        </w:rPr>
      </w:pPr>
      <w:r>
        <w:rPr>
          <w:rFonts w:hint="eastAsia" w:hAnsi="宋体" w:cs="宋体"/>
          <w:color w:val="000000"/>
          <w:szCs w:val="24"/>
        </w:rPr>
        <w:t>（27）《关于进一步加强环境影响评价管理防范环境风险的通知》（环发〔2012〕77号，2012年7月3日发布并实施）；</w:t>
      </w:r>
    </w:p>
    <w:p w14:paraId="7D96F0E4">
      <w:pPr>
        <w:spacing w:line="480" w:lineRule="exact"/>
        <w:ind w:firstLine="526" w:firstLineChars="200"/>
        <w:rPr>
          <w:rFonts w:hAnsi="宋体" w:cs="宋体"/>
          <w:color w:val="000000"/>
          <w:szCs w:val="24"/>
        </w:rPr>
      </w:pPr>
      <w:r>
        <w:rPr>
          <w:rFonts w:hint="eastAsia" w:hAnsi="宋体" w:cs="宋体"/>
          <w:color w:val="000000"/>
          <w:szCs w:val="24"/>
        </w:rPr>
        <w:t>（28）《关于印发&lt;建设项目环境影响评价区域限批管理办法（试行）&gt;的通知》（环发〔2015〕169号，2015年12月18日发布并实施）；</w:t>
      </w:r>
    </w:p>
    <w:p w14:paraId="1F84EEDB">
      <w:pPr>
        <w:spacing w:line="480" w:lineRule="exact"/>
        <w:ind w:firstLine="526" w:firstLineChars="200"/>
        <w:rPr>
          <w:rFonts w:hAnsi="宋体" w:cs="宋体"/>
          <w:color w:val="000000"/>
          <w:szCs w:val="24"/>
        </w:rPr>
      </w:pPr>
      <w:r>
        <w:rPr>
          <w:rFonts w:hint="eastAsia" w:hAnsi="宋体" w:cs="宋体"/>
          <w:color w:val="000000"/>
          <w:szCs w:val="24"/>
        </w:rPr>
        <w:t>（29）《固体废物分类与代码目录》（生态环境部公告2024年第4号，2024年1月22日发布并实施）；</w:t>
      </w:r>
    </w:p>
    <w:p w14:paraId="6003C81D">
      <w:pPr>
        <w:spacing w:line="480" w:lineRule="exact"/>
        <w:ind w:firstLine="526" w:firstLineChars="200"/>
        <w:rPr>
          <w:rFonts w:hAnsi="宋体" w:cs="宋体"/>
          <w:color w:val="000000"/>
          <w:szCs w:val="24"/>
        </w:rPr>
      </w:pPr>
      <w:r>
        <w:rPr>
          <w:rFonts w:hint="eastAsia" w:hAnsi="宋体" w:cs="宋体"/>
          <w:color w:val="000000"/>
          <w:szCs w:val="24"/>
        </w:rPr>
        <w:t>（30）《关于印发&lt;2020年挥发性有机物治理攻坚方案&gt;的通知》（环大气〔2020〕33号）；</w:t>
      </w:r>
    </w:p>
    <w:p w14:paraId="36CD860B">
      <w:pPr>
        <w:spacing w:line="480" w:lineRule="exact"/>
        <w:ind w:firstLine="526" w:firstLineChars="200"/>
        <w:rPr>
          <w:rFonts w:hAnsi="宋体" w:cs="宋体"/>
          <w:color w:val="000000"/>
          <w:szCs w:val="24"/>
        </w:rPr>
      </w:pPr>
      <w:r>
        <w:rPr>
          <w:rFonts w:hint="eastAsia" w:hAnsi="宋体" w:cs="宋体"/>
          <w:color w:val="000000"/>
          <w:szCs w:val="24"/>
        </w:rPr>
        <w:t>（31）《关于加快解决当前挥发性有机物治理突出问题的通知》（</w:t>
      </w:r>
      <w:r>
        <w:rPr>
          <w:rFonts w:hint="eastAsia" w:hAnsi="宋体" w:cs="宋体"/>
          <w:color w:val="000000"/>
          <w:szCs w:val="24"/>
          <w:lang w:val="zh-CN"/>
        </w:rPr>
        <w:t>环大气</w:t>
      </w:r>
      <w:r>
        <w:rPr>
          <w:rFonts w:hint="eastAsia" w:hAnsi="宋体" w:cs="宋体"/>
          <w:color w:val="000000"/>
          <w:szCs w:val="24"/>
        </w:rPr>
        <w:t>〔2021〕</w:t>
      </w:r>
      <w:r>
        <w:rPr>
          <w:rFonts w:hint="eastAsia" w:hAnsi="宋体" w:cs="宋体"/>
          <w:color w:val="000000"/>
          <w:szCs w:val="24"/>
          <w:lang w:val="zh-CN"/>
        </w:rPr>
        <w:t>65号</w:t>
      </w:r>
      <w:r>
        <w:rPr>
          <w:rFonts w:hint="eastAsia" w:hAnsi="宋体" w:cs="宋体"/>
          <w:color w:val="000000"/>
          <w:szCs w:val="24"/>
        </w:rPr>
        <w:t>，2021年8月4日发布并实施）；</w:t>
      </w:r>
    </w:p>
    <w:p w14:paraId="17521F32">
      <w:pPr>
        <w:spacing w:line="480" w:lineRule="exact"/>
        <w:ind w:firstLine="526" w:firstLineChars="200"/>
        <w:rPr>
          <w:rFonts w:hAnsi="宋体" w:cs="宋体"/>
          <w:color w:val="000000"/>
          <w:szCs w:val="24"/>
        </w:rPr>
      </w:pPr>
      <w:r>
        <w:rPr>
          <w:rFonts w:hint="eastAsia" w:hAnsi="宋体" w:cs="宋体"/>
          <w:color w:val="000000"/>
          <w:szCs w:val="24"/>
        </w:rPr>
        <w:t>（32）《关于加强和规范声环境功能区划分管理工作的通知》（环办大气函〔2017〕1709号，2017年11月10日发布并实施）；</w:t>
      </w:r>
    </w:p>
    <w:p w14:paraId="1133F0A2">
      <w:pPr>
        <w:spacing w:line="480" w:lineRule="exact"/>
        <w:ind w:firstLine="526" w:firstLineChars="200"/>
        <w:rPr>
          <w:rFonts w:hint="eastAsia" w:hAnsi="宋体" w:cs="宋体"/>
          <w:color w:val="000000"/>
          <w:szCs w:val="24"/>
        </w:rPr>
      </w:pPr>
      <w:r>
        <w:rPr>
          <w:rFonts w:hint="eastAsia" w:hAnsi="宋体" w:cs="宋体"/>
          <w:color w:val="000000"/>
          <w:szCs w:val="24"/>
        </w:rPr>
        <w:t>（33）《关于进一步优化环境影响评价工作的意见》（环办环评〔2023〕52号）；</w:t>
      </w:r>
    </w:p>
    <w:p w14:paraId="0B4A0921">
      <w:pPr>
        <w:spacing w:line="480" w:lineRule="exact"/>
        <w:ind w:firstLine="526" w:firstLineChars="200"/>
        <w:rPr>
          <w:rFonts w:hAnsi="宋体" w:cs="宋体"/>
          <w:color w:val="000000"/>
          <w:szCs w:val="24"/>
        </w:rPr>
      </w:pPr>
      <w:r>
        <w:rPr>
          <w:rFonts w:hint="eastAsia" w:hAnsi="宋体" w:cs="宋体"/>
          <w:color w:val="000000"/>
          <w:szCs w:val="24"/>
        </w:rPr>
        <w:t>（34）《关于做好环境影响评价制度与排污许可制衔接相关工作的通知》（环办环评〔2017〕84号，2017年11月14日发布并实施）；</w:t>
      </w:r>
    </w:p>
    <w:p w14:paraId="0A36BC4F">
      <w:pPr>
        <w:spacing w:line="480" w:lineRule="exact"/>
        <w:ind w:firstLine="526" w:firstLineChars="200"/>
        <w:rPr>
          <w:rFonts w:hAnsi="宋体" w:cs="宋体"/>
          <w:color w:val="000000"/>
          <w:szCs w:val="24"/>
        </w:rPr>
      </w:pPr>
      <w:r>
        <w:rPr>
          <w:rFonts w:hint="eastAsia" w:hAnsi="宋体" w:cs="宋体"/>
          <w:color w:val="000000"/>
          <w:szCs w:val="24"/>
        </w:rPr>
        <w:t>（35）《关于落实大气污染防治行动计划严格环境影响评价准入的通知》（环办〔2014〕30号，2014年4月25日发布并实施）；</w:t>
      </w:r>
    </w:p>
    <w:p w14:paraId="349B818D">
      <w:pPr>
        <w:spacing w:line="480" w:lineRule="exact"/>
        <w:ind w:firstLine="526" w:firstLineChars="200"/>
        <w:rPr>
          <w:rFonts w:hAnsi="宋体" w:cs="宋体"/>
          <w:color w:val="000000"/>
          <w:szCs w:val="24"/>
        </w:rPr>
      </w:pPr>
      <w:r>
        <w:rPr>
          <w:rFonts w:hint="eastAsia" w:hAnsi="宋体" w:cs="宋体"/>
          <w:color w:val="000000"/>
          <w:szCs w:val="24"/>
        </w:rPr>
        <w:t>（36）《关于进一步加强石油天然气行业环境影响评价管理的通知》（环办环评函〔2019〕910号，2019年12月13日发布并实施）；</w:t>
      </w:r>
    </w:p>
    <w:p w14:paraId="4E73A699">
      <w:pPr>
        <w:spacing w:line="480" w:lineRule="exact"/>
        <w:ind w:firstLine="526" w:firstLineChars="200"/>
        <w:rPr>
          <w:rFonts w:hint="eastAsia" w:hAnsi="宋体" w:cs="宋体"/>
          <w:color w:val="000000"/>
          <w:szCs w:val="24"/>
        </w:rPr>
      </w:pPr>
      <w:r>
        <w:rPr>
          <w:rFonts w:hint="eastAsia" w:hAnsi="宋体" w:cs="宋体"/>
          <w:color w:val="000000"/>
          <w:szCs w:val="24"/>
        </w:rPr>
        <w:t>（37）《关于在南疆四地州深度贫困地区实施&lt;环境影响评价技术导则大气环境（HJ2.2-2018）&gt;差别化政策有关事宜的复函》（环办环评函〔2019〕590号）；</w:t>
      </w:r>
    </w:p>
    <w:p w14:paraId="7C1E2723">
      <w:pPr>
        <w:spacing w:line="500" w:lineRule="exact"/>
        <w:ind w:firstLine="526" w:firstLineChars="200"/>
        <w:rPr>
          <w:rFonts w:hint="eastAsia" w:hAnsi="宋体" w:cs="宋体"/>
          <w:color w:val="000000"/>
          <w:szCs w:val="24"/>
        </w:rPr>
      </w:pPr>
      <w:r>
        <w:rPr>
          <w:rFonts w:hint="eastAsia" w:hAnsi="宋体" w:cs="宋体"/>
          <w:color w:val="000000"/>
          <w:szCs w:val="24"/>
        </w:rPr>
        <w:t>（38）《关于规范临时用地管理的通知》（自然资规〔2021〕2号）；</w:t>
      </w:r>
    </w:p>
    <w:p w14:paraId="61BD178F">
      <w:pPr>
        <w:spacing w:line="500" w:lineRule="exact"/>
        <w:ind w:firstLine="526" w:firstLineChars="200"/>
        <w:rPr>
          <w:rFonts w:hint="eastAsia" w:hAnsi="宋体" w:cs="宋体"/>
          <w:color w:val="000000"/>
          <w:szCs w:val="24"/>
        </w:rPr>
      </w:pPr>
      <w:r>
        <w:rPr>
          <w:rFonts w:hint="eastAsia" w:hAnsi="宋体" w:cs="宋体"/>
          <w:color w:val="000000"/>
          <w:szCs w:val="24"/>
        </w:rPr>
        <w:t>（39）《国务院办公厅关于印发&lt;突发事件应急预案管理办法&gt;的通知》（国办发〔2024〕5号，2014年1月31日）；</w:t>
      </w:r>
    </w:p>
    <w:p w14:paraId="22AC65C4">
      <w:pPr>
        <w:spacing w:line="500" w:lineRule="exact"/>
        <w:ind w:firstLine="526" w:firstLineChars="200"/>
        <w:rPr>
          <w:rFonts w:hint="eastAsia" w:hAnsi="宋体" w:cs="宋体"/>
          <w:color w:val="000000"/>
          <w:szCs w:val="24"/>
        </w:rPr>
      </w:pPr>
      <w:r>
        <w:rPr>
          <w:rFonts w:hint="eastAsia" w:hAnsi="宋体" w:cs="宋体"/>
          <w:color w:val="000000"/>
          <w:szCs w:val="24"/>
        </w:rPr>
        <w:t>（40）《关于印发&lt;土壤污染源头防控行动计划&gt;的通知》（环土壤〔2024〕80号31号，2024年11月7日发布）。</w:t>
      </w:r>
    </w:p>
    <w:p w14:paraId="7DF2AFAF">
      <w:pPr>
        <w:spacing w:line="500" w:lineRule="exact"/>
        <w:outlineLvl w:val="3"/>
        <w:rPr>
          <w:rFonts w:hint="eastAsia" w:hAnsi="宋体"/>
          <w:color w:val="000000"/>
          <w:szCs w:val="24"/>
        </w:rPr>
      </w:pPr>
      <w:r>
        <w:rPr>
          <w:rFonts w:hint="eastAsia" w:hAnsi="宋体"/>
          <w:color w:val="000000"/>
          <w:szCs w:val="24"/>
        </w:rPr>
        <w:t>2.1.2.2 地方环境保护法规和规章</w:t>
      </w:r>
    </w:p>
    <w:p w14:paraId="524B936C">
      <w:pPr>
        <w:spacing w:line="500" w:lineRule="exact"/>
        <w:ind w:firstLine="526" w:firstLineChars="200"/>
        <w:rPr>
          <w:rFonts w:hint="eastAsia"/>
          <w:color w:val="000000"/>
          <w:szCs w:val="24"/>
        </w:rPr>
      </w:pPr>
      <w:r>
        <w:rPr>
          <w:rFonts w:hint="eastAsia"/>
          <w:color w:val="000000"/>
          <w:szCs w:val="24"/>
        </w:rPr>
        <w:t>（1）《新疆维吾尔自治区野生植物保护条例（2018年修正）》（2018年9月21日修正，2006年12月1日施行）；</w:t>
      </w:r>
    </w:p>
    <w:p w14:paraId="64D9E335">
      <w:pPr>
        <w:spacing w:line="500" w:lineRule="exact"/>
        <w:ind w:firstLine="526" w:firstLineChars="200"/>
        <w:rPr>
          <w:rFonts w:hint="eastAsia"/>
          <w:color w:val="000000"/>
          <w:szCs w:val="24"/>
        </w:rPr>
      </w:pPr>
      <w:r>
        <w:rPr>
          <w:rFonts w:hint="eastAsia"/>
          <w:color w:val="000000"/>
          <w:szCs w:val="24"/>
        </w:rPr>
        <w:t>（2）《新疆维吾尔自治区环境保护条例（2018年修正）》（2018年9月21日修正，2017年1月1日施行）；</w:t>
      </w:r>
    </w:p>
    <w:p w14:paraId="1E4ED2B7">
      <w:pPr>
        <w:spacing w:line="500" w:lineRule="exact"/>
        <w:ind w:firstLine="526" w:firstLineChars="200"/>
        <w:rPr>
          <w:rFonts w:hint="eastAsia"/>
          <w:color w:val="000000"/>
          <w:szCs w:val="24"/>
        </w:rPr>
      </w:pPr>
      <w:r>
        <w:rPr>
          <w:rFonts w:hint="eastAsia"/>
          <w:color w:val="000000"/>
          <w:szCs w:val="24"/>
        </w:rPr>
        <w:t>（3）《关于印发&lt;新疆国家重点保护野生动物名录&gt;的通知》（自治区林业和草原局 自治区农业农村厅，2021年7月28日）；</w:t>
      </w:r>
    </w:p>
    <w:p w14:paraId="7C0082CE">
      <w:pPr>
        <w:spacing w:line="500" w:lineRule="exact"/>
        <w:ind w:firstLine="526" w:firstLineChars="200"/>
        <w:rPr>
          <w:rFonts w:hint="eastAsia"/>
          <w:color w:val="000000"/>
          <w:szCs w:val="24"/>
        </w:rPr>
      </w:pPr>
      <w:r>
        <w:rPr>
          <w:rFonts w:hint="eastAsia"/>
          <w:color w:val="000000"/>
          <w:szCs w:val="24"/>
        </w:rPr>
        <w:t>（4）《关于印发&lt;新疆维吾尔自治区2025年空气质量持续改善行动实施方案&gt;的通知》（新政办发〔2024〕58号，2024年12月10日发布并实施）；</w:t>
      </w:r>
    </w:p>
    <w:p w14:paraId="60EB2A5F">
      <w:pPr>
        <w:spacing w:line="500" w:lineRule="exact"/>
        <w:ind w:firstLine="526" w:firstLineChars="200"/>
        <w:rPr>
          <w:rFonts w:hint="eastAsia"/>
          <w:color w:val="000000"/>
          <w:szCs w:val="24"/>
        </w:rPr>
      </w:pPr>
      <w:r>
        <w:rPr>
          <w:rFonts w:hint="eastAsia"/>
          <w:color w:val="000000"/>
          <w:szCs w:val="24"/>
        </w:rPr>
        <w:t>（5）《关于印发新疆维吾尔自治区水污染防治工作方案的通知》（新政发〔2016〕21号，2016年1月29日发布并实施）；</w:t>
      </w:r>
    </w:p>
    <w:p w14:paraId="31FB3768">
      <w:pPr>
        <w:spacing w:line="500" w:lineRule="exact"/>
        <w:ind w:firstLine="526" w:firstLineChars="200"/>
        <w:rPr>
          <w:rFonts w:hint="eastAsia"/>
          <w:color w:val="000000"/>
          <w:szCs w:val="24"/>
        </w:rPr>
      </w:pPr>
      <w:r>
        <w:rPr>
          <w:rFonts w:hint="eastAsia"/>
          <w:color w:val="000000"/>
          <w:szCs w:val="24"/>
        </w:rPr>
        <w:t>（6）《关于印发新疆维吾尔自治区土壤污染防治工作方案的通知》（新政发〔2017〕25号，2017年3月1日发布并实施）；</w:t>
      </w:r>
    </w:p>
    <w:p w14:paraId="3E226D4C">
      <w:pPr>
        <w:spacing w:line="500" w:lineRule="exact"/>
        <w:ind w:firstLine="526" w:firstLineChars="200"/>
        <w:rPr>
          <w:rFonts w:hint="eastAsia"/>
          <w:color w:val="000000"/>
          <w:szCs w:val="24"/>
        </w:rPr>
      </w:pPr>
      <w:r>
        <w:rPr>
          <w:rFonts w:hint="eastAsia"/>
          <w:color w:val="000000"/>
          <w:szCs w:val="24"/>
        </w:rPr>
        <w:t>（7）《新疆维吾尔自治区实施&lt;中华人民共和国水土保持法&gt;办法》（2013年7月31日修订，2013年10月1日实施）；</w:t>
      </w:r>
    </w:p>
    <w:p w14:paraId="613D1DF1">
      <w:pPr>
        <w:spacing w:line="500" w:lineRule="exact"/>
        <w:ind w:firstLine="526" w:firstLineChars="200"/>
        <w:rPr>
          <w:rFonts w:hint="eastAsia"/>
          <w:color w:val="000000"/>
          <w:szCs w:val="24"/>
        </w:rPr>
      </w:pPr>
      <w:r>
        <w:rPr>
          <w:rFonts w:hint="eastAsia"/>
          <w:color w:val="000000"/>
          <w:szCs w:val="24"/>
        </w:rPr>
        <w:t>（8）《关于印发&lt;自治区建设项目主要污染物排放总量指标审核及管理暂行办法&gt;的通知》（新环发〔2016〕126号，2016年8月24日发布并实施）；</w:t>
      </w:r>
    </w:p>
    <w:p w14:paraId="0B12E09F">
      <w:pPr>
        <w:spacing w:line="500" w:lineRule="exact"/>
        <w:ind w:firstLine="526" w:firstLineChars="200"/>
        <w:rPr>
          <w:rFonts w:hint="eastAsia"/>
          <w:color w:val="000000"/>
          <w:szCs w:val="24"/>
        </w:rPr>
      </w:pPr>
      <w:r>
        <w:rPr>
          <w:rFonts w:hint="eastAsia"/>
          <w:color w:val="000000"/>
          <w:szCs w:val="24"/>
        </w:rPr>
        <w:t>（9）《转发&lt;关于进一步加强石油天然气行业环境影响评价的通知&gt;的通知》（新环环评发〔2020〕142号）；</w:t>
      </w:r>
    </w:p>
    <w:p w14:paraId="186C8DE6">
      <w:pPr>
        <w:spacing w:line="500" w:lineRule="exact"/>
        <w:ind w:firstLine="526" w:firstLineChars="200"/>
        <w:rPr>
          <w:color w:val="000000"/>
          <w:szCs w:val="24"/>
        </w:rPr>
      </w:pPr>
      <w:r>
        <w:rPr>
          <w:rFonts w:hint="eastAsia"/>
          <w:color w:val="000000"/>
          <w:szCs w:val="24"/>
        </w:rPr>
        <w:t>（</w:t>
      </w:r>
      <w:r>
        <w:rPr>
          <w:color w:val="000000"/>
          <w:szCs w:val="24"/>
        </w:rPr>
        <w:t>10</w:t>
      </w:r>
      <w:r>
        <w:rPr>
          <w:rFonts w:hint="eastAsia"/>
          <w:color w:val="000000"/>
          <w:szCs w:val="24"/>
        </w:rPr>
        <w:t>）《新疆生态环境保护“十四五”规划》；</w:t>
      </w:r>
    </w:p>
    <w:p w14:paraId="04F616FB">
      <w:pPr>
        <w:spacing w:line="500" w:lineRule="exact"/>
        <w:ind w:firstLine="526" w:firstLineChars="200"/>
        <w:rPr>
          <w:color w:val="000000"/>
          <w:szCs w:val="24"/>
        </w:rPr>
      </w:pPr>
      <w:r>
        <w:rPr>
          <w:rFonts w:hint="eastAsia"/>
          <w:color w:val="000000"/>
          <w:szCs w:val="24"/>
        </w:rPr>
        <w:t>（</w:t>
      </w:r>
      <w:r>
        <w:rPr>
          <w:color w:val="000000"/>
          <w:szCs w:val="24"/>
        </w:rPr>
        <w:t>11</w:t>
      </w:r>
      <w:r>
        <w:rPr>
          <w:rFonts w:hint="eastAsia"/>
          <w:color w:val="000000"/>
          <w:szCs w:val="24"/>
        </w:rPr>
        <w:t>）</w:t>
      </w:r>
      <w:r>
        <w:rPr>
          <w:rFonts w:hint="eastAsia" w:hAnsi="宋体"/>
          <w:color w:val="000000"/>
          <w:szCs w:val="24"/>
        </w:rPr>
        <w:t>《新疆生态功能区划》</w:t>
      </w:r>
      <w:r>
        <w:rPr>
          <w:rFonts w:hint="eastAsia"/>
          <w:color w:val="000000"/>
          <w:szCs w:val="24"/>
        </w:rPr>
        <w:t>；</w:t>
      </w:r>
    </w:p>
    <w:p w14:paraId="1D864B9E">
      <w:pPr>
        <w:spacing w:line="500" w:lineRule="exact"/>
        <w:ind w:firstLine="526" w:firstLineChars="200"/>
        <w:rPr>
          <w:rFonts w:hAnsi="宋体"/>
          <w:color w:val="000000"/>
          <w:szCs w:val="24"/>
        </w:rPr>
      </w:pPr>
      <w:r>
        <w:rPr>
          <w:rFonts w:hint="eastAsia" w:hAnsi="宋体"/>
          <w:color w:val="000000"/>
          <w:szCs w:val="24"/>
        </w:rPr>
        <w:t>（</w:t>
      </w:r>
      <w:r>
        <w:rPr>
          <w:rFonts w:hAnsi="宋体"/>
          <w:color w:val="000000"/>
          <w:szCs w:val="24"/>
        </w:rPr>
        <w:t>12</w:t>
      </w:r>
      <w:r>
        <w:rPr>
          <w:rFonts w:hint="eastAsia" w:hAnsi="宋体"/>
          <w:color w:val="000000"/>
          <w:szCs w:val="24"/>
        </w:rPr>
        <w:t>）《新疆维吾尔自治区主体功能区规划》；</w:t>
      </w:r>
    </w:p>
    <w:p w14:paraId="13B25F25">
      <w:pPr>
        <w:spacing w:line="480" w:lineRule="exact"/>
        <w:ind w:firstLine="534" w:firstLineChars="200"/>
        <w:rPr>
          <w:rFonts w:hAnsi="宋体"/>
          <w:color w:val="000000"/>
          <w:szCs w:val="24"/>
        </w:rPr>
      </w:pPr>
      <w:r>
        <w:rPr>
          <w:rFonts w:hint="eastAsia" w:hAnsi="宋体" w:cs="宋体"/>
          <w:color w:val="000000"/>
          <w:spacing w:val="7"/>
          <w:szCs w:val="24"/>
        </w:rPr>
        <w:t>（</w:t>
      </w:r>
      <w:r>
        <w:rPr>
          <w:rFonts w:hAnsi="宋体" w:cs="宋体"/>
          <w:color w:val="000000"/>
          <w:spacing w:val="7"/>
          <w:szCs w:val="24"/>
        </w:rPr>
        <w:t>13</w:t>
      </w:r>
      <w:r>
        <w:rPr>
          <w:rFonts w:hint="eastAsia" w:hAnsi="宋体" w:cs="宋体"/>
          <w:color w:val="000000"/>
          <w:spacing w:val="7"/>
          <w:szCs w:val="24"/>
        </w:rPr>
        <w:t>）</w:t>
      </w:r>
      <w:r>
        <w:rPr>
          <w:rFonts w:hint="eastAsia" w:hAnsi="宋体" w:cs="宋体"/>
          <w:color w:val="000000"/>
        </w:rPr>
        <w:t>《关于印发&lt;新疆维吾尔自治区生态环境分区管控动态更新成果&gt;的通知》（新环环评发〔2024〕157号）</w:t>
      </w:r>
      <w:r>
        <w:rPr>
          <w:rFonts w:hint="eastAsia" w:hAnsi="宋体"/>
          <w:color w:val="000000"/>
          <w:szCs w:val="24"/>
        </w:rPr>
        <w:t>；</w:t>
      </w:r>
    </w:p>
    <w:p w14:paraId="2343ACDC">
      <w:pPr>
        <w:spacing w:line="480" w:lineRule="exact"/>
        <w:ind w:firstLine="526" w:firstLineChars="200"/>
        <w:rPr>
          <w:rFonts w:hAnsi="宋体" w:cs="宋体"/>
          <w:color w:val="000000"/>
          <w:szCs w:val="24"/>
        </w:rPr>
      </w:pPr>
      <w:r>
        <w:rPr>
          <w:rFonts w:hint="eastAsia" w:hAnsi="宋体" w:cs="宋体"/>
          <w:color w:val="000000"/>
          <w:szCs w:val="24"/>
        </w:rPr>
        <w:t>（</w:t>
      </w:r>
      <w:r>
        <w:rPr>
          <w:rFonts w:hAnsi="宋体" w:cs="宋体"/>
          <w:color w:val="000000"/>
          <w:szCs w:val="24"/>
        </w:rPr>
        <w:t>14</w:t>
      </w:r>
      <w:r>
        <w:rPr>
          <w:rFonts w:hint="eastAsia" w:hAnsi="宋体" w:cs="宋体"/>
          <w:color w:val="000000"/>
          <w:szCs w:val="24"/>
        </w:rPr>
        <w:t>）《新疆维吾尔自治区水土保持规划（</w:t>
      </w:r>
      <w:r>
        <w:rPr>
          <w:rFonts w:hAnsi="宋体" w:cs="宋体"/>
          <w:color w:val="000000"/>
          <w:szCs w:val="24"/>
        </w:rPr>
        <w:t>2018-2030</w:t>
      </w:r>
      <w:r>
        <w:rPr>
          <w:rFonts w:hint="eastAsia" w:hAnsi="宋体" w:cs="宋体"/>
          <w:color w:val="000000"/>
          <w:szCs w:val="24"/>
        </w:rPr>
        <w:t>年）》；</w:t>
      </w:r>
    </w:p>
    <w:p w14:paraId="0B7A9147">
      <w:pPr>
        <w:spacing w:line="480" w:lineRule="exact"/>
        <w:ind w:firstLine="526" w:firstLineChars="200"/>
        <w:rPr>
          <w:color w:val="000000"/>
          <w:szCs w:val="24"/>
        </w:rPr>
      </w:pPr>
      <w:r>
        <w:rPr>
          <w:rFonts w:hint="eastAsia"/>
          <w:color w:val="000000"/>
          <w:szCs w:val="24"/>
        </w:rPr>
        <w:t>（</w:t>
      </w:r>
      <w:r>
        <w:rPr>
          <w:color w:val="000000"/>
          <w:szCs w:val="24"/>
        </w:rPr>
        <w:t>15</w:t>
      </w:r>
      <w:r>
        <w:rPr>
          <w:rFonts w:hint="eastAsia"/>
          <w:color w:val="000000"/>
          <w:szCs w:val="24"/>
        </w:rPr>
        <w:t>）</w:t>
      </w:r>
      <w:r>
        <w:rPr>
          <w:rFonts w:hint="eastAsia" w:hAnsi="宋体" w:cs="宋体"/>
          <w:color w:val="000000"/>
          <w:szCs w:val="24"/>
        </w:rPr>
        <w:t>《关于加强沙区建设项目环境影响评价工作的通知》（新环环评发〔</w:t>
      </w:r>
      <w:r>
        <w:rPr>
          <w:rFonts w:hAnsi="宋体" w:cs="宋体"/>
          <w:color w:val="000000"/>
          <w:szCs w:val="24"/>
        </w:rPr>
        <w:t>2020</w:t>
      </w:r>
      <w:r>
        <w:rPr>
          <w:rFonts w:hint="eastAsia" w:hAnsi="宋体" w:cs="宋体"/>
          <w:color w:val="000000"/>
          <w:szCs w:val="24"/>
        </w:rPr>
        <w:t>〕</w:t>
      </w:r>
      <w:r>
        <w:rPr>
          <w:rFonts w:hAnsi="宋体" w:cs="宋体"/>
          <w:color w:val="000000"/>
          <w:szCs w:val="24"/>
        </w:rPr>
        <w:t>138</w:t>
      </w:r>
      <w:r>
        <w:rPr>
          <w:rFonts w:hint="eastAsia" w:hAnsi="宋体" w:cs="宋体"/>
          <w:color w:val="000000"/>
          <w:szCs w:val="24"/>
        </w:rPr>
        <w:t>号）</w:t>
      </w:r>
      <w:r>
        <w:rPr>
          <w:rFonts w:hint="eastAsia"/>
          <w:color w:val="000000"/>
          <w:szCs w:val="24"/>
        </w:rPr>
        <w:t>；</w:t>
      </w:r>
    </w:p>
    <w:p w14:paraId="5B512F69">
      <w:pPr>
        <w:spacing w:line="480" w:lineRule="exact"/>
        <w:ind w:firstLine="526" w:firstLineChars="200"/>
        <w:rPr>
          <w:rFonts w:hAnsi="宋体"/>
          <w:color w:val="000000"/>
          <w:szCs w:val="24"/>
        </w:rPr>
      </w:pPr>
      <w:r>
        <w:rPr>
          <w:rFonts w:hint="eastAsia" w:hAnsi="宋体"/>
          <w:color w:val="000000"/>
          <w:szCs w:val="24"/>
        </w:rPr>
        <w:t>（</w:t>
      </w:r>
      <w:r>
        <w:rPr>
          <w:rFonts w:hAnsi="宋体"/>
          <w:color w:val="000000"/>
          <w:szCs w:val="24"/>
        </w:rPr>
        <w:t>16</w:t>
      </w:r>
      <w:r>
        <w:rPr>
          <w:rFonts w:hint="eastAsia" w:hAnsi="宋体"/>
          <w:color w:val="000000"/>
          <w:szCs w:val="24"/>
        </w:rPr>
        <w:t>）</w:t>
      </w:r>
      <w:r>
        <w:rPr>
          <w:rFonts w:hint="eastAsia" w:hAnsi="宋体" w:cs="宋体"/>
          <w:color w:val="000000"/>
          <w:szCs w:val="24"/>
        </w:rPr>
        <w:t>《新疆维吾尔自治区国民经济和社会发展第十四个五年规划和</w:t>
      </w:r>
      <w:r>
        <w:rPr>
          <w:rFonts w:hAnsi="宋体" w:cs="宋体"/>
          <w:color w:val="000000"/>
          <w:szCs w:val="24"/>
        </w:rPr>
        <w:t>2035</w:t>
      </w:r>
      <w:r>
        <w:rPr>
          <w:rFonts w:hint="eastAsia" w:hAnsi="宋体" w:cs="宋体"/>
          <w:color w:val="000000"/>
          <w:szCs w:val="24"/>
        </w:rPr>
        <w:t>年远景目标纲要》；</w:t>
      </w:r>
    </w:p>
    <w:p w14:paraId="7012D22A">
      <w:pPr>
        <w:spacing w:line="480" w:lineRule="exact"/>
        <w:ind w:firstLine="526" w:firstLineChars="200"/>
        <w:rPr>
          <w:rFonts w:hint="eastAsia"/>
          <w:color w:val="000000"/>
          <w:szCs w:val="24"/>
        </w:rPr>
      </w:pPr>
      <w:r>
        <w:rPr>
          <w:rFonts w:hint="eastAsia"/>
          <w:color w:val="000000"/>
          <w:szCs w:val="24"/>
        </w:rPr>
        <w:t>（</w:t>
      </w:r>
      <w:r>
        <w:rPr>
          <w:color w:val="000000"/>
          <w:szCs w:val="24"/>
        </w:rPr>
        <w:t>17</w:t>
      </w:r>
      <w:r>
        <w:rPr>
          <w:rFonts w:hint="eastAsia"/>
          <w:color w:val="000000"/>
          <w:szCs w:val="24"/>
        </w:rPr>
        <w:t>）《新疆维吾尔自治区人民政府关于公布新疆维吾尔自治区重点保护野生植物名录的通知》（新政发〔2023〕63号）；</w:t>
      </w:r>
    </w:p>
    <w:p w14:paraId="05C8E021">
      <w:pPr>
        <w:spacing w:line="480" w:lineRule="exact"/>
        <w:ind w:firstLine="526" w:firstLineChars="200"/>
        <w:rPr>
          <w:color w:val="000000"/>
          <w:szCs w:val="24"/>
        </w:rPr>
      </w:pPr>
      <w:r>
        <w:rPr>
          <w:rFonts w:hint="eastAsia"/>
          <w:color w:val="000000"/>
          <w:szCs w:val="24"/>
        </w:rPr>
        <w:t>（</w:t>
      </w:r>
      <w:r>
        <w:rPr>
          <w:color w:val="000000"/>
          <w:szCs w:val="24"/>
        </w:rPr>
        <w:t>1</w:t>
      </w:r>
      <w:r>
        <w:rPr>
          <w:rFonts w:hint="eastAsia"/>
          <w:color w:val="000000"/>
          <w:szCs w:val="24"/>
        </w:rPr>
        <w:t>8）《关于印发</w:t>
      </w:r>
      <w:r>
        <w:rPr>
          <w:color w:val="000000"/>
          <w:szCs w:val="24"/>
        </w:rPr>
        <w:t>&lt;</w:t>
      </w:r>
      <w:r>
        <w:rPr>
          <w:rFonts w:hint="eastAsia"/>
          <w:color w:val="000000"/>
          <w:szCs w:val="24"/>
        </w:rPr>
        <w:t>新疆国家重点保护野生植物名录</w:t>
      </w:r>
      <w:r>
        <w:rPr>
          <w:color w:val="000000"/>
          <w:szCs w:val="24"/>
        </w:rPr>
        <w:t>&gt;</w:t>
      </w:r>
      <w:r>
        <w:rPr>
          <w:rFonts w:hint="eastAsia"/>
          <w:color w:val="000000"/>
          <w:szCs w:val="24"/>
        </w:rPr>
        <w:t>的通知》（新林护字〔</w:t>
      </w:r>
      <w:r>
        <w:rPr>
          <w:color w:val="000000"/>
          <w:szCs w:val="24"/>
        </w:rPr>
        <w:t>2022</w:t>
      </w:r>
      <w:r>
        <w:rPr>
          <w:rFonts w:hint="eastAsia"/>
          <w:color w:val="000000"/>
          <w:szCs w:val="24"/>
        </w:rPr>
        <w:t>〕</w:t>
      </w:r>
      <w:r>
        <w:rPr>
          <w:color w:val="000000"/>
          <w:szCs w:val="24"/>
        </w:rPr>
        <w:t>8</w:t>
      </w:r>
      <w:r>
        <w:rPr>
          <w:rFonts w:hint="eastAsia"/>
          <w:color w:val="000000"/>
          <w:szCs w:val="24"/>
        </w:rPr>
        <w:t>号）（</w:t>
      </w:r>
      <w:r>
        <w:rPr>
          <w:color w:val="000000"/>
          <w:szCs w:val="24"/>
        </w:rPr>
        <w:t>2022</w:t>
      </w:r>
      <w:r>
        <w:rPr>
          <w:rFonts w:hint="eastAsia"/>
          <w:color w:val="000000"/>
          <w:szCs w:val="24"/>
        </w:rPr>
        <w:t>年</w:t>
      </w:r>
      <w:r>
        <w:rPr>
          <w:color w:val="000000"/>
          <w:szCs w:val="24"/>
        </w:rPr>
        <w:t>2</w:t>
      </w:r>
      <w:r>
        <w:rPr>
          <w:rFonts w:hint="eastAsia"/>
          <w:color w:val="000000"/>
          <w:szCs w:val="24"/>
        </w:rPr>
        <w:t>月</w:t>
      </w:r>
      <w:r>
        <w:rPr>
          <w:color w:val="000000"/>
          <w:szCs w:val="24"/>
        </w:rPr>
        <w:t>9</w:t>
      </w:r>
      <w:r>
        <w:rPr>
          <w:rFonts w:hint="eastAsia"/>
          <w:color w:val="000000"/>
          <w:szCs w:val="24"/>
        </w:rPr>
        <w:t>日）；</w:t>
      </w:r>
    </w:p>
    <w:p w14:paraId="15217C84">
      <w:pPr>
        <w:spacing w:line="480" w:lineRule="exact"/>
        <w:ind w:firstLine="526" w:firstLineChars="200"/>
        <w:rPr>
          <w:color w:val="000000"/>
          <w:szCs w:val="24"/>
        </w:rPr>
      </w:pPr>
      <w:r>
        <w:rPr>
          <w:rFonts w:hint="eastAsia"/>
          <w:color w:val="000000"/>
          <w:szCs w:val="24"/>
        </w:rPr>
        <w:t>（</w:t>
      </w:r>
      <w:r>
        <w:rPr>
          <w:color w:val="000000"/>
          <w:szCs w:val="24"/>
        </w:rPr>
        <w:t>1</w:t>
      </w:r>
      <w:r>
        <w:rPr>
          <w:rFonts w:hint="eastAsia"/>
          <w:color w:val="000000"/>
          <w:szCs w:val="24"/>
        </w:rPr>
        <w:t>9）《新疆维吾尔自治区重点保护野生动物名录（修订）》（新政发〔</w:t>
      </w:r>
      <w:r>
        <w:rPr>
          <w:color w:val="000000"/>
          <w:szCs w:val="24"/>
        </w:rPr>
        <w:t>2022</w:t>
      </w:r>
      <w:r>
        <w:rPr>
          <w:rFonts w:hint="eastAsia"/>
          <w:color w:val="000000"/>
          <w:szCs w:val="24"/>
        </w:rPr>
        <w:t>〕</w:t>
      </w:r>
      <w:r>
        <w:rPr>
          <w:color w:val="000000"/>
          <w:szCs w:val="24"/>
        </w:rPr>
        <w:t>75</w:t>
      </w:r>
      <w:r>
        <w:rPr>
          <w:rFonts w:hint="eastAsia"/>
          <w:color w:val="000000"/>
          <w:szCs w:val="24"/>
        </w:rPr>
        <w:t>号，</w:t>
      </w:r>
      <w:r>
        <w:rPr>
          <w:color w:val="000000"/>
          <w:szCs w:val="24"/>
        </w:rPr>
        <w:t>2022</w:t>
      </w:r>
      <w:r>
        <w:rPr>
          <w:rFonts w:hint="eastAsia"/>
          <w:color w:val="000000"/>
          <w:szCs w:val="24"/>
        </w:rPr>
        <w:t>年</w:t>
      </w:r>
      <w:r>
        <w:rPr>
          <w:color w:val="000000"/>
          <w:szCs w:val="24"/>
        </w:rPr>
        <w:t>9</w:t>
      </w:r>
      <w:r>
        <w:rPr>
          <w:rFonts w:hint="eastAsia"/>
          <w:color w:val="000000"/>
          <w:szCs w:val="24"/>
        </w:rPr>
        <w:t>月</w:t>
      </w:r>
      <w:r>
        <w:rPr>
          <w:color w:val="000000"/>
          <w:szCs w:val="24"/>
        </w:rPr>
        <w:t>18</w:t>
      </w:r>
      <w:r>
        <w:rPr>
          <w:rFonts w:hint="eastAsia"/>
          <w:color w:val="000000"/>
          <w:szCs w:val="24"/>
        </w:rPr>
        <w:t>日施行）；</w:t>
      </w:r>
    </w:p>
    <w:p w14:paraId="131B1EE9">
      <w:pPr>
        <w:spacing w:line="480" w:lineRule="exact"/>
        <w:ind w:firstLine="526" w:firstLineChars="200"/>
        <w:rPr>
          <w:rFonts w:hAnsi="宋体"/>
          <w:color w:val="000000"/>
          <w:szCs w:val="24"/>
        </w:rPr>
      </w:pPr>
      <w:r>
        <w:rPr>
          <w:rFonts w:hint="eastAsia"/>
          <w:color w:val="000000"/>
          <w:szCs w:val="24"/>
        </w:rPr>
        <w:t>（20）</w:t>
      </w:r>
      <w:r>
        <w:rPr>
          <w:rFonts w:hint="eastAsia" w:hAnsi="宋体"/>
          <w:color w:val="000000"/>
          <w:szCs w:val="24"/>
        </w:rPr>
        <w:t>《关于加强历史遗留废弃磺化泥浆规范化环境管理的通知》（新环固体函</w:t>
      </w:r>
      <w:r>
        <w:rPr>
          <w:rFonts w:hint="eastAsia" w:hAnsi="宋体" w:cs="宋体"/>
          <w:color w:val="000000"/>
          <w:szCs w:val="24"/>
        </w:rPr>
        <w:t>〔</w:t>
      </w:r>
      <w:r>
        <w:rPr>
          <w:rFonts w:hint="eastAsia" w:hAnsi="宋体"/>
          <w:color w:val="000000"/>
          <w:szCs w:val="24"/>
        </w:rPr>
        <w:t>2022</w:t>
      </w:r>
      <w:r>
        <w:rPr>
          <w:rFonts w:hint="eastAsia"/>
          <w:color w:val="000000"/>
          <w:szCs w:val="24"/>
        </w:rPr>
        <w:t>〕</w:t>
      </w:r>
      <w:r>
        <w:rPr>
          <w:rFonts w:hint="eastAsia" w:hAnsi="宋体"/>
          <w:color w:val="000000"/>
          <w:szCs w:val="24"/>
        </w:rPr>
        <w:t>675号）；</w:t>
      </w:r>
    </w:p>
    <w:p w14:paraId="1920B29B">
      <w:pPr>
        <w:spacing w:line="480" w:lineRule="exact"/>
        <w:ind w:firstLine="526" w:firstLineChars="200"/>
        <w:rPr>
          <w:rFonts w:hint="eastAsia" w:hAnsi="宋体" w:cs="宋体"/>
          <w:color w:val="000000"/>
          <w:szCs w:val="24"/>
        </w:rPr>
      </w:pPr>
      <w:r>
        <w:rPr>
          <w:rFonts w:hint="eastAsia" w:hAnsi="宋体" w:cs="宋体"/>
          <w:color w:val="000000"/>
          <w:szCs w:val="24"/>
        </w:rPr>
        <w:t>（21）《</w:t>
      </w:r>
      <w:r>
        <w:rPr>
          <w:rFonts w:hint="eastAsia"/>
          <w:color w:val="000000"/>
          <w:szCs w:val="24"/>
        </w:rPr>
        <w:t>关于印发</w:t>
      </w:r>
      <w:r>
        <w:rPr>
          <w:color w:val="000000"/>
          <w:szCs w:val="24"/>
        </w:rPr>
        <w:t>&lt;</w:t>
      </w:r>
      <w:r>
        <w:rPr>
          <w:rFonts w:hint="eastAsia"/>
          <w:color w:val="000000"/>
          <w:szCs w:val="24"/>
        </w:rPr>
        <w:t>新疆维吾尔自治区重点行业生态环境准入条件（2024年）</w:t>
      </w:r>
      <w:r>
        <w:rPr>
          <w:color w:val="000000"/>
          <w:szCs w:val="24"/>
        </w:rPr>
        <w:t>&gt;</w:t>
      </w:r>
      <w:r>
        <w:rPr>
          <w:rFonts w:hint="eastAsia"/>
          <w:color w:val="000000"/>
          <w:szCs w:val="24"/>
        </w:rPr>
        <w:t>的通知</w:t>
      </w:r>
      <w:r>
        <w:rPr>
          <w:rFonts w:hint="eastAsia" w:hAnsi="宋体" w:cs="宋体"/>
          <w:color w:val="000000"/>
          <w:szCs w:val="24"/>
        </w:rPr>
        <w:t>》</w:t>
      </w:r>
      <w:r>
        <w:rPr>
          <w:rFonts w:hint="eastAsia" w:hAnsi="宋体"/>
          <w:color w:val="000000"/>
          <w:szCs w:val="24"/>
        </w:rPr>
        <w:t>（新环环评发</w:t>
      </w:r>
      <w:r>
        <w:rPr>
          <w:rFonts w:hint="eastAsia" w:hAnsi="宋体" w:cs="宋体"/>
          <w:color w:val="000000"/>
          <w:szCs w:val="24"/>
        </w:rPr>
        <w:t>〔</w:t>
      </w:r>
      <w:r>
        <w:rPr>
          <w:rFonts w:hint="eastAsia" w:hAnsi="宋体"/>
          <w:color w:val="000000"/>
          <w:szCs w:val="24"/>
        </w:rPr>
        <w:t>2024</w:t>
      </w:r>
      <w:r>
        <w:rPr>
          <w:rFonts w:hint="eastAsia"/>
          <w:color w:val="000000"/>
          <w:szCs w:val="24"/>
        </w:rPr>
        <w:t>〕</w:t>
      </w:r>
      <w:r>
        <w:rPr>
          <w:rFonts w:hint="eastAsia" w:hAnsi="宋体"/>
          <w:color w:val="000000"/>
          <w:szCs w:val="24"/>
        </w:rPr>
        <w:t>93号）</w:t>
      </w:r>
      <w:r>
        <w:rPr>
          <w:rFonts w:hint="eastAsia" w:hAnsi="宋体" w:cs="宋体"/>
          <w:color w:val="000000"/>
          <w:szCs w:val="24"/>
        </w:rPr>
        <w:t>；</w:t>
      </w:r>
    </w:p>
    <w:p w14:paraId="5398BC99">
      <w:pPr>
        <w:spacing w:line="480" w:lineRule="exact"/>
        <w:ind w:firstLine="526" w:firstLineChars="200"/>
        <w:rPr>
          <w:color w:val="000000"/>
          <w:szCs w:val="24"/>
        </w:rPr>
      </w:pPr>
      <w:r>
        <w:rPr>
          <w:rFonts w:hint="eastAsia" w:hAnsi="宋体" w:cs="宋体"/>
          <w:color w:val="000000"/>
          <w:szCs w:val="24"/>
        </w:rPr>
        <w:t>（22）《阿克苏地区国民经济和社会发展第十四个五年规划和2035年远景目标纲要》；</w:t>
      </w:r>
    </w:p>
    <w:p w14:paraId="786CC5B1">
      <w:pPr>
        <w:spacing w:line="480" w:lineRule="exact"/>
        <w:ind w:firstLine="526" w:firstLineChars="200"/>
        <w:rPr>
          <w:rFonts w:hint="eastAsia" w:hAnsi="宋体" w:cs="宋体"/>
          <w:color w:val="000000"/>
          <w:szCs w:val="24"/>
        </w:rPr>
      </w:pPr>
      <w:r>
        <w:rPr>
          <w:rFonts w:hint="eastAsia" w:hAnsi="宋体" w:cs="宋体"/>
          <w:color w:val="000000"/>
          <w:szCs w:val="24"/>
        </w:rPr>
        <w:t>（23）《阿克苏地区国土空间规划（2021年-2035年）》；</w:t>
      </w:r>
    </w:p>
    <w:p w14:paraId="566CBD9A">
      <w:pPr>
        <w:spacing w:line="480" w:lineRule="exact"/>
        <w:ind w:firstLine="526" w:firstLineChars="200"/>
        <w:rPr>
          <w:rFonts w:hint="eastAsia" w:hAnsi="宋体" w:cs="宋体"/>
          <w:color w:val="000000"/>
        </w:rPr>
      </w:pPr>
      <w:r>
        <w:rPr>
          <w:rFonts w:hint="eastAsia" w:hAnsi="宋体" w:cs="宋体"/>
          <w:color w:val="000000"/>
          <w:szCs w:val="24"/>
        </w:rPr>
        <w:t>（24）《</w:t>
      </w:r>
      <w:bookmarkStart w:id="49" w:name="OLE_LINK1"/>
      <w:r>
        <w:rPr>
          <w:rFonts w:hint="eastAsia" w:hAnsi="宋体" w:cs="宋体"/>
          <w:color w:val="000000"/>
          <w:szCs w:val="24"/>
        </w:rPr>
        <w:t>阿克苏地区生态环境保护“十四五”规划</w:t>
      </w:r>
      <w:bookmarkEnd w:id="49"/>
      <w:r>
        <w:rPr>
          <w:rFonts w:hint="eastAsia" w:hAnsi="宋体" w:cs="宋体"/>
          <w:color w:val="000000"/>
          <w:szCs w:val="24"/>
        </w:rPr>
        <w:t>》；</w:t>
      </w:r>
    </w:p>
    <w:p w14:paraId="55C5FBC3">
      <w:pPr>
        <w:spacing w:line="480" w:lineRule="exact"/>
        <w:ind w:firstLine="526" w:firstLineChars="200"/>
        <w:rPr>
          <w:rFonts w:hint="eastAsia" w:hAnsi="宋体" w:cs="宋体"/>
          <w:color w:val="000000"/>
        </w:rPr>
      </w:pPr>
      <w:r>
        <w:rPr>
          <w:rFonts w:hint="eastAsia" w:hAnsi="宋体" w:cs="宋体"/>
          <w:color w:val="000000"/>
        </w:rPr>
        <w:t>（25）</w:t>
      </w:r>
      <w:r>
        <w:rPr>
          <w:rFonts w:hAnsi="宋体" w:cs="宋体"/>
          <w:color w:val="000000"/>
        </w:rPr>
        <w:t>《</w:t>
      </w:r>
      <w:r>
        <w:rPr>
          <w:rFonts w:hint="eastAsia"/>
          <w:color w:val="000000"/>
        </w:rPr>
        <w:t>阿克苏</w:t>
      </w:r>
      <w:r>
        <w:rPr>
          <w:rFonts w:hAnsi="宋体" w:cs="宋体"/>
          <w:color w:val="000000"/>
        </w:rPr>
        <w:t>地区坚决制止耕地“非农化”行为工作方案》</w:t>
      </w:r>
      <w:r>
        <w:rPr>
          <w:rFonts w:hint="eastAsia" w:hAnsi="宋体" w:cs="宋体"/>
          <w:color w:val="000000"/>
        </w:rPr>
        <w:t>（</w:t>
      </w:r>
      <w:r>
        <w:rPr>
          <w:rFonts w:hAnsi="宋体" w:cs="宋体"/>
          <w:color w:val="000000"/>
        </w:rPr>
        <w:t>阿行署办</w:t>
      </w:r>
      <w:r>
        <w:rPr>
          <w:rFonts w:hint="eastAsia" w:hAnsi="宋体" w:cs="宋体"/>
          <w:color w:val="000000"/>
        </w:rPr>
        <w:t>〔</w:t>
      </w:r>
      <w:r>
        <w:rPr>
          <w:rFonts w:hAnsi="宋体" w:cs="宋体"/>
          <w:color w:val="000000"/>
        </w:rPr>
        <w:t>2020</w:t>
      </w:r>
      <w:r>
        <w:rPr>
          <w:rFonts w:hint="eastAsia" w:hAnsi="宋体" w:cs="宋体"/>
          <w:color w:val="000000"/>
        </w:rPr>
        <w:t>〕</w:t>
      </w:r>
      <w:r>
        <w:rPr>
          <w:rFonts w:hAnsi="宋体" w:cs="宋体"/>
          <w:color w:val="000000"/>
        </w:rPr>
        <w:t>29号</w:t>
      </w:r>
      <w:r>
        <w:rPr>
          <w:rFonts w:hint="eastAsia" w:hAnsi="宋体" w:cs="宋体"/>
          <w:color w:val="000000"/>
        </w:rPr>
        <w:t>）；</w:t>
      </w:r>
    </w:p>
    <w:p w14:paraId="5C26E471">
      <w:pPr>
        <w:spacing w:line="480" w:lineRule="exact"/>
        <w:ind w:firstLine="526" w:firstLineChars="200"/>
        <w:rPr>
          <w:rFonts w:hAnsi="宋体" w:cs="宋体"/>
          <w:color w:val="000000"/>
        </w:rPr>
      </w:pPr>
      <w:r>
        <w:rPr>
          <w:rFonts w:hint="eastAsia" w:hAnsi="宋体" w:cs="宋体"/>
          <w:color w:val="000000"/>
        </w:rPr>
        <w:t>（26）</w:t>
      </w:r>
      <w:r>
        <w:rPr>
          <w:rFonts w:hint="eastAsia" w:hAnsi="宋体" w:cs="宋体"/>
          <w:color w:val="000000"/>
          <w:szCs w:val="24"/>
        </w:rPr>
        <w:t>《关于印发阿克苏地区生态环境分区管控方案（2023年版）的通知》（阿地环字〔2024〕32号）</w:t>
      </w:r>
      <w:r>
        <w:rPr>
          <w:rFonts w:hint="eastAsia" w:hAnsi="宋体" w:cs="宋体"/>
          <w:color w:val="000000"/>
        </w:rPr>
        <w:t>；</w:t>
      </w:r>
    </w:p>
    <w:p w14:paraId="7852D242">
      <w:pPr>
        <w:spacing w:line="480" w:lineRule="exact"/>
        <w:ind w:firstLine="526" w:firstLineChars="200"/>
        <w:rPr>
          <w:rFonts w:hAnsi="宋体"/>
          <w:color w:val="000000"/>
        </w:rPr>
      </w:pPr>
      <w:r>
        <w:rPr>
          <w:rFonts w:hint="eastAsia"/>
          <w:color w:val="000000"/>
        </w:rPr>
        <w:t>（27）《关于印发&lt;阿克苏地区水污染防治工作方案&gt;的通知》（阿行署办〔2016〕104号）</w:t>
      </w:r>
      <w:r>
        <w:rPr>
          <w:rFonts w:hint="eastAsia" w:hAnsi="宋体"/>
          <w:color w:val="000000"/>
        </w:rPr>
        <w:t>；</w:t>
      </w:r>
    </w:p>
    <w:p w14:paraId="2ED39B5F">
      <w:pPr>
        <w:spacing w:line="480" w:lineRule="exact"/>
        <w:ind w:firstLine="526" w:firstLineChars="200"/>
        <w:rPr>
          <w:rFonts w:hint="eastAsia" w:hAnsi="宋体" w:cs="宋体"/>
          <w:color w:val="000000"/>
        </w:rPr>
      </w:pPr>
      <w:r>
        <w:rPr>
          <w:rFonts w:hint="eastAsia" w:hAnsi="宋体" w:cs="宋体"/>
          <w:color w:val="000000"/>
        </w:rPr>
        <w:t>（28）《关于印发&lt;阿克苏地区土壤污染防治工作方案&gt;的通知》（阿行署发〔2017〕68号）；</w:t>
      </w:r>
    </w:p>
    <w:p w14:paraId="4E4C3F10">
      <w:pPr>
        <w:spacing w:line="250" w:lineRule="auto"/>
        <w:ind w:firstLine="515" w:firstLineChars="196"/>
        <w:rPr>
          <w:rFonts w:hint="eastAsia" w:hAnsi="宋体" w:cs="宋体"/>
          <w:color w:val="000000"/>
        </w:rPr>
      </w:pPr>
      <w:r>
        <w:rPr>
          <w:rFonts w:hint="eastAsia" w:hAnsi="宋体"/>
          <w:color w:val="000000"/>
        </w:rPr>
        <w:t>（29）</w:t>
      </w:r>
      <w:r>
        <w:rPr>
          <w:rFonts w:hint="eastAsia" w:hAnsi="宋体" w:cs="宋体"/>
          <w:color w:val="000000"/>
        </w:rPr>
        <w:t>《和田地区国民经济和社会发展第十四个五年规划和2035年远景目标纲要》；</w:t>
      </w:r>
    </w:p>
    <w:p w14:paraId="660C3384">
      <w:pPr>
        <w:spacing w:line="250" w:lineRule="auto"/>
        <w:ind w:firstLine="515" w:firstLineChars="196"/>
        <w:rPr>
          <w:rFonts w:hint="eastAsia" w:hAnsi="宋体"/>
          <w:color w:val="000000"/>
        </w:rPr>
      </w:pPr>
      <w:r>
        <w:rPr>
          <w:rFonts w:hint="eastAsia" w:hAnsi="宋体"/>
          <w:color w:val="000000"/>
        </w:rPr>
        <w:t>（30）《和田地区“十四五”生态环境保护规划》（和党发〔2022〕5号）；</w:t>
      </w:r>
    </w:p>
    <w:p w14:paraId="77B10CC9">
      <w:pPr>
        <w:spacing w:line="480" w:lineRule="exact"/>
        <w:ind w:firstLine="526" w:firstLineChars="200"/>
        <w:rPr>
          <w:rFonts w:hint="eastAsia" w:hAnsi="宋体" w:cs="宋体"/>
          <w:color w:val="000000"/>
        </w:rPr>
      </w:pPr>
      <w:r>
        <w:rPr>
          <w:rFonts w:hint="eastAsia" w:hAnsi="宋体"/>
          <w:color w:val="000000"/>
        </w:rPr>
        <w:t>（31）</w:t>
      </w:r>
      <w:r>
        <w:rPr>
          <w:rFonts w:hint="eastAsia"/>
          <w:color w:val="000000"/>
        </w:rPr>
        <w:t>《关于印发&lt;和田地区“三线一单”生态环境分区管控方案（2023年版）&gt;的通知》（和行发〔2024〕54号）。</w:t>
      </w:r>
    </w:p>
    <w:p w14:paraId="6EDEF9A1">
      <w:pPr>
        <w:spacing w:line="480" w:lineRule="exact"/>
        <w:outlineLvl w:val="2"/>
        <w:rPr>
          <w:rFonts w:hint="eastAsia" w:hAnsi="宋体"/>
          <w:color w:val="000000"/>
          <w:szCs w:val="24"/>
        </w:rPr>
      </w:pPr>
      <w:r>
        <w:rPr>
          <w:rFonts w:hint="eastAsia" w:hAnsi="宋体"/>
          <w:color w:val="000000"/>
          <w:szCs w:val="24"/>
        </w:rPr>
        <w:t>2.1.3 环境保护技术规范</w:t>
      </w:r>
    </w:p>
    <w:p w14:paraId="0A688EC8">
      <w:pPr>
        <w:spacing w:line="480" w:lineRule="exact"/>
        <w:ind w:firstLine="526" w:firstLineChars="200"/>
        <w:rPr>
          <w:rFonts w:hint="eastAsia" w:hAnsi="宋体" w:cs="宋体"/>
          <w:color w:val="000000"/>
          <w:szCs w:val="24"/>
        </w:rPr>
      </w:pPr>
      <w:r>
        <w:rPr>
          <w:rFonts w:hint="eastAsia" w:hAnsi="宋体" w:cs="宋体"/>
          <w:color w:val="000000"/>
          <w:szCs w:val="24"/>
        </w:rPr>
        <w:t>（1）《建设项目环境影响评价技术导则 总纲》（HJ2.1-2016）；</w:t>
      </w:r>
    </w:p>
    <w:p w14:paraId="4319FCAF">
      <w:pPr>
        <w:spacing w:line="480" w:lineRule="exact"/>
        <w:ind w:firstLine="526" w:firstLineChars="200"/>
        <w:rPr>
          <w:rFonts w:hint="eastAsia" w:hAnsi="宋体" w:cs="宋体"/>
          <w:color w:val="000000"/>
          <w:szCs w:val="24"/>
        </w:rPr>
      </w:pPr>
      <w:r>
        <w:rPr>
          <w:rFonts w:hint="eastAsia" w:hAnsi="宋体" w:cs="宋体"/>
          <w:color w:val="000000"/>
          <w:szCs w:val="24"/>
        </w:rPr>
        <w:t>（2）《环境影响评价技术导则 大气环境》（HJ2.2-2018）；</w:t>
      </w:r>
    </w:p>
    <w:p w14:paraId="7008FB54">
      <w:pPr>
        <w:spacing w:line="480" w:lineRule="exact"/>
        <w:ind w:firstLine="526" w:firstLineChars="200"/>
        <w:rPr>
          <w:rFonts w:hint="eastAsia" w:hAnsi="宋体" w:cs="宋体"/>
          <w:color w:val="000000"/>
          <w:szCs w:val="24"/>
        </w:rPr>
      </w:pPr>
      <w:r>
        <w:rPr>
          <w:rFonts w:hint="eastAsia" w:hAnsi="宋体" w:cs="宋体"/>
          <w:color w:val="000000"/>
          <w:szCs w:val="24"/>
        </w:rPr>
        <w:t>（3）《环境影响评价技术导则 地表水环境》（HJ2.3-2018）；</w:t>
      </w:r>
    </w:p>
    <w:p w14:paraId="53B484C8">
      <w:pPr>
        <w:spacing w:line="480" w:lineRule="exact"/>
        <w:ind w:firstLine="526" w:firstLineChars="200"/>
        <w:rPr>
          <w:rFonts w:hint="eastAsia" w:hAnsi="宋体" w:cs="宋体"/>
          <w:color w:val="000000"/>
          <w:szCs w:val="24"/>
        </w:rPr>
      </w:pPr>
      <w:r>
        <w:rPr>
          <w:rFonts w:hint="eastAsia" w:hAnsi="宋体" w:cs="宋体"/>
          <w:color w:val="000000"/>
          <w:szCs w:val="24"/>
        </w:rPr>
        <w:t>（4）《环境影响评价技术导则 地下水环境》（HJ610-2016）；</w:t>
      </w:r>
    </w:p>
    <w:p w14:paraId="05998C1A">
      <w:pPr>
        <w:spacing w:line="480" w:lineRule="exact"/>
        <w:ind w:firstLine="526" w:firstLineChars="200"/>
        <w:rPr>
          <w:rFonts w:hint="eastAsia" w:hAnsi="宋体" w:cs="宋体"/>
          <w:color w:val="000000"/>
          <w:szCs w:val="24"/>
        </w:rPr>
      </w:pPr>
      <w:r>
        <w:rPr>
          <w:rFonts w:hint="eastAsia" w:hAnsi="宋体" w:cs="宋体"/>
          <w:color w:val="000000"/>
          <w:szCs w:val="24"/>
        </w:rPr>
        <w:t>（5）《环境影响评价技术导则 声环境》（HJ2.4-2021）；</w:t>
      </w:r>
    </w:p>
    <w:p w14:paraId="1A280B63">
      <w:pPr>
        <w:spacing w:line="480" w:lineRule="exact"/>
        <w:ind w:firstLine="526" w:firstLineChars="200"/>
        <w:rPr>
          <w:rFonts w:hint="eastAsia" w:hAnsi="宋体" w:cs="宋体"/>
          <w:color w:val="000000"/>
          <w:szCs w:val="24"/>
        </w:rPr>
      </w:pPr>
      <w:r>
        <w:rPr>
          <w:rFonts w:hint="eastAsia" w:hAnsi="宋体" w:cs="宋体"/>
          <w:color w:val="000000"/>
          <w:szCs w:val="24"/>
        </w:rPr>
        <w:t>（6）《环境影响评价技术导则 生态影响》（HJ19-2022）；</w:t>
      </w:r>
    </w:p>
    <w:p w14:paraId="58B9D5A8">
      <w:pPr>
        <w:spacing w:line="480" w:lineRule="exact"/>
        <w:ind w:firstLine="526" w:firstLineChars="200"/>
        <w:rPr>
          <w:rFonts w:hint="eastAsia" w:hAnsi="宋体" w:cs="宋体"/>
          <w:color w:val="000000"/>
          <w:szCs w:val="24"/>
        </w:rPr>
      </w:pPr>
      <w:r>
        <w:rPr>
          <w:rFonts w:hint="eastAsia" w:hAnsi="宋体" w:cs="宋体"/>
          <w:color w:val="000000"/>
          <w:szCs w:val="24"/>
        </w:rPr>
        <w:t>（7）《环境影响评价技术导则 土壤环境（试行）》（HJ964-2018）；</w:t>
      </w:r>
    </w:p>
    <w:p w14:paraId="1669A60F">
      <w:pPr>
        <w:spacing w:line="480" w:lineRule="exact"/>
        <w:ind w:firstLine="526" w:firstLineChars="200"/>
        <w:rPr>
          <w:rFonts w:hint="eastAsia" w:hAnsi="宋体" w:cs="宋体"/>
          <w:color w:val="000000"/>
          <w:szCs w:val="24"/>
        </w:rPr>
      </w:pPr>
      <w:r>
        <w:rPr>
          <w:rFonts w:hint="eastAsia" w:hAnsi="宋体" w:cs="宋体"/>
          <w:color w:val="000000"/>
          <w:szCs w:val="24"/>
        </w:rPr>
        <w:t>（8）《建设项目环境风险评价技术导则》（HJ169-2018）；</w:t>
      </w:r>
    </w:p>
    <w:p w14:paraId="7C6A7685">
      <w:pPr>
        <w:spacing w:line="480" w:lineRule="exact"/>
        <w:ind w:firstLine="526" w:firstLineChars="200"/>
        <w:rPr>
          <w:rFonts w:hint="eastAsia" w:hAnsi="宋体" w:cs="宋体"/>
          <w:color w:val="000000"/>
          <w:szCs w:val="24"/>
        </w:rPr>
      </w:pPr>
      <w:r>
        <w:rPr>
          <w:rFonts w:hint="eastAsia" w:hAnsi="宋体" w:cs="宋体"/>
          <w:color w:val="000000"/>
          <w:szCs w:val="24"/>
        </w:rPr>
        <w:t>（9）《环境影响评价技术导则 陆地石油天然气开发建设项目》（HJ 349-2023）；</w:t>
      </w:r>
    </w:p>
    <w:p w14:paraId="5A74E4C9">
      <w:pPr>
        <w:spacing w:line="480" w:lineRule="exact"/>
        <w:ind w:firstLine="526" w:firstLineChars="200"/>
        <w:rPr>
          <w:rFonts w:hint="eastAsia" w:hAnsi="宋体" w:cs="宋体"/>
          <w:color w:val="000000"/>
          <w:szCs w:val="24"/>
        </w:rPr>
      </w:pPr>
      <w:r>
        <w:rPr>
          <w:rFonts w:hint="eastAsia" w:hAnsi="宋体" w:cs="宋体"/>
          <w:color w:val="000000"/>
          <w:szCs w:val="24"/>
        </w:rPr>
        <w:t>（10）《陆上石油天然气开采业绿色矿山建设规范》（DZ/T0317-2018）；</w:t>
      </w:r>
    </w:p>
    <w:p w14:paraId="0F3A9023">
      <w:pPr>
        <w:spacing w:line="480" w:lineRule="exact"/>
        <w:ind w:firstLine="526" w:firstLineChars="200"/>
        <w:rPr>
          <w:rFonts w:hint="eastAsia" w:hAnsi="宋体" w:cs="宋体"/>
          <w:color w:val="000000"/>
          <w:szCs w:val="24"/>
        </w:rPr>
      </w:pPr>
      <w:r>
        <w:rPr>
          <w:rFonts w:hint="eastAsia" w:hAnsi="宋体" w:cs="宋体"/>
          <w:color w:val="000000"/>
          <w:szCs w:val="24"/>
        </w:rPr>
        <w:t>（11）《石油天然气开采业污染防治技术政策》（原环境保护部公告 2012年第18号）；</w:t>
      </w:r>
    </w:p>
    <w:p w14:paraId="4916B37F">
      <w:pPr>
        <w:spacing w:line="480" w:lineRule="exact"/>
        <w:ind w:firstLine="526" w:firstLineChars="200"/>
        <w:rPr>
          <w:rFonts w:hint="eastAsia" w:hAnsi="宋体" w:cs="宋体"/>
          <w:color w:val="000000"/>
          <w:szCs w:val="24"/>
        </w:rPr>
      </w:pPr>
      <w:r>
        <w:rPr>
          <w:rFonts w:hint="eastAsia" w:hAnsi="宋体" w:cs="宋体"/>
          <w:color w:val="000000"/>
          <w:szCs w:val="24"/>
        </w:rPr>
        <w:t>（12）《石油和天然气开采行业清洁生产评价指标体系（试行）》；</w:t>
      </w:r>
    </w:p>
    <w:p w14:paraId="24DB5757">
      <w:pPr>
        <w:spacing w:line="480" w:lineRule="exact"/>
        <w:ind w:firstLine="526" w:firstLineChars="200"/>
        <w:rPr>
          <w:rFonts w:hint="eastAsia" w:hAnsi="宋体" w:cs="宋体"/>
          <w:color w:val="000000"/>
          <w:szCs w:val="24"/>
        </w:rPr>
      </w:pPr>
      <w:r>
        <w:rPr>
          <w:rFonts w:hint="eastAsia" w:hAnsi="宋体" w:cs="宋体"/>
          <w:color w:val="000000"/>
          <w:szCs w:val="24"/>
        </w:rPr>
        <w:t>（13）《危险废物收集贮存运输技术规范》（HJ2025-2012）；</w:t>
      </w:r>
    </w:p>
    <w:p w14:paraId="7D588314">
      <w:pPr>
        <w:spacing w:line="480" w:lineRule="exact"/>
        <w:ind w:firstLine="526" w:firstLineChars="200"/>
        <w:rPr>
          <w:rFonts w:hint="eastAsia" w:hAnsi="宋体" w:cs="宋体"/>
          <w:color w:val="000000"/>
          <w:szCs w:val="24"/>
        </w:rPr>
      </w:pPr>
      <w:r>
        <w:rPr>
          <w:rFonts w:hint="eastAsia" w:hAnsi="宋体" w:cs="宋体"/>
          <w:color w:val="000000"/>
          <w:szCs w:val="24"/>
        </w:rPr>
        <w:t>（14）《工业企业土壤和地下水自行监测技术指南（试行）》（HJ1209-2021）；</w:t>
      </w:r>
    </w:p>
    <w:p w14:paraId="01F4E8A6">
      <w:pPr>
        <w:spacing w:line="480" w:lineRule="exact"/>
        <w:ind w:firstLine="526" w:firstLineChars="200"/>
        <w:rPr>
          <w:rFonts w:hint="eastAsia" w:hAnsi="宋体" w:cs="宋体"/>
          <w:color w:val="000000"/>
          <w:szCs w:val="24"/>
        </w:rPr>
      </w:pPr>
      <w:r>
        <w:rPr>
          <w:rFonts w:hint="eastAsia" w:hAnsi="宋体" w:cs="宋体"/>
          <w:color w:val="000000"/>
          <w:szCs w:val="24"/>
        </w:rPr>
        <w:t>（15）《排污单位自行监测技术指南 陆上石油天然气开采工业》（HJ1248-2022）；</w:t>
      </w:r>
    </w:p>
    <w:p w14:paraId="46F20BBE">
      <w:pPr>
        <w:spacing w:line="480" w:lineRule="exact"/>
        <w:ind w:firstLine="526" w:firstLineChars="200"/>
        <w:rPr>
          <w:rFonts w:hint="eastAsia" w:hAnsi="宋体" w:cs="宋体"/>
          <w:color w:val="000000"/>
          <w:szCs w:val="24"/>
        </w:rPr>
      </w:pPr>
      <w:r>
        <w:rPr>
          <w:rFonts w:hint="eastAsia" w:hAnsi="宋体" w:cs="宋体"/>
          <w:color w:val="000000"/>
          <w:szCs w:val="24"/>
        </w:rPr>
        <w:t>（16）《排污许可证申请与核发技术规范 工业固体废物（试行）》（HJ1200-2021）；</w:t>
      </w:r>
    </w:p>
    <w:p w14:paraId="6063AE87">
      <w:pPr>
        <w:spacing w:line="480" w:lineRule="exact"/>
        <w:ind w:firstLine="526" w:firstLineChars="200"/>
        <w:rPr>
          <w:rFonts w:hint="eastAsia" w:hAnsi="宋体"/>
          <w:color w:val="000000"/>
          <w:szCs w:val="24"/>
        </w:rPr>
      </w:pPr>
      <w:r>
        <w:rPr>
          <w:rFonts w:hint="eastAsia" w:hAnsi="宋体" w:cs="宋体"/>
          <w:color w:val="000000"/>
          <w:szCs w:val="24"/>
        </w:rPr>
        <w:t>（17）《石油天然气项目土地复垦与生态修复技术规范》（GB/T 43936-2024）。</w:t>
      </w:r>
    </w:p>
    <w:p w14:paraId="3B4F7542">
      <w:pPr>
        <w:spacing w:line="480" w:lineRule="exact"/>
        <w:outlineLvl w:val="2"/>
        <w:rPr>
          <w:rFonts w:hAnsi="宋体"/>
          <w:color w:val="000000"/>
          <w:szCs w:val="24"/>
        </w:rPr>
      </w:pPr>
      <w:r>
        <w:rPr>
          <w:rFonts w:hint="eastAsia" w:hAnsi="宋体"/>
          <w:color w:val="000000"/>
          <w:szCs w:val="24"/>
        </w:rPr>
        <w:t>2.1.4 相关文件及技术资料</w:t>
      </w:r>
    </w:p>
    <w:p w14:paraId="2F2796CF">
      <w:pPr>
        <w:spacing w:line="480" w:lineRule="exact"/>
        <w:ind w:firstLine="526" w:firstLineChars="200"/>
        <w:rPr>
          <w:rFonts w:hAnsi="宋体"/>
          <w:color w:val="000000"/>
          <w:szCs w:val="24"/>
        </w:rPr>
      </w:pPr>
      <w:r>
        <w:rPr>
          <w:rFonts w:hint="eastAsia" w:hAnsi="宋体"/>
          <w:color w:val="000000"/>
          <w:szCs w:val="24"/>
        </w:rPr>
        <w:t>（1）《2号集至塔三联集输管线改造项目说明书》；</w:t>
      </w:r>
    </w:p>
    <w:p w14:paraId="11E9E728">
      <w:pPr>
        <w:spacing w:line="480" w:lineRule="exact"/>
        <w:ind w:firstLine="526" w:firstLineChars="200"/>
        <w:rPr>
          <w:rFonts w:hAnsi="宋体"/>
          <w:color w:val="000000"/>
          <w:szCs w:val="24"/>
        </w:rPr>
      </w:pPr>
      <w:r>
        <w:rPr>
          <w:rFonts w:hint="eastAsia" w:hAnsi="宋体"/>
          <w:color w:val="000000"/>
          <w:szCs w:val="24"/>
        </w:rPr>
        <w:t>（2）《环境质量现状检测报告》；</w:t>
      </w:r>
    </w:p>
    <w:p w14:paraId="1175E772">
      <w:pPr>
        <w:spacing w:line="480" w:lineRule="exact"/>
        <w:ind w:firstLine="526" w:firstLineChars="200"/>
        <w:rPr>
          <w:rFonts w:hAnsi="宋体"/>
          <w:color w:val="000000"/>
          <w:szCs w:val="24"/>
        </w:rPr>
      </w:pPr>
      <w:r>
        <w:rPr>
          <w:rFonts w:hint="eastAsia" w:hAnsi="宋体"/>
          <w:color w:val="000000"/>
          <w:szCs w:val="24"/>
        </w:rPr>
        <w:t>（3）塔里木油田分公司提供的其他资料；</w:t>
      </w:r>
    </w:p>
    <w:p w14:paraId="2A897BBB">
      <w:pPr>
        <w:spacing w:line="480" w:lineRule="exact"/>
        <w:ind w:firstLine="526" w:firstLineChars="200"/>
        <w:rPr>
          <w:rFonts w:hAnsi="宋体"/>
          <w:color w:val="000000"/>
          <w:szCs w:val="24"/>
        </w:rPr>
      </w:pPr>
      <w:r>
        <w:rPr>
          <w:rFonts w:hint="eastAsia" w:hAnsi="宋体"/>
          <w:color w:val="000000"/>
          <w:szCs w:val="24"/>
        </w:rPr>
        <w:t>（4）环评委托书。</w:t>
      </w:r>
    </w:p>
    <w:p w14:paraId="4CD27EB9">
      <w:pPr>
        <w:spacing w:line="480" w:lineRule="exact"/>
        <w:outlineLvl w:val="1"/>
        <w:rPr>
          <w:rFonts w:ascii="黑体" w:hAnsi="黑体" w:eastAsia="黑体" w:cs="黑体"/>
          <w:color w:val="000000"/>
          <w:sz w:val="28"/>
          <w:szCs w:val="28"/>
          <w:lang w:bidi="ar"/>
        </w:rPr>
      </w:pPr>
      <w:bookmarkStart w:id="50" w:name="_Toc198040166"/>
      <w:bookmarkStart w:id="51" w:name="_Toc230178776"/>
      <w:bookmarkStart w:id="52" w:name="_Toc198040310"/>
      <w:bookmarkStart w:id="53" w:name="_Toc38101959"/>
      <w:bookmarkStart w:id="54" w:name="_Toc208474659"/>
      <w:r>
        <w:rPr>
          <w:rFonts w:hint="eastAsia" w:ascii="黑体" w:hAnsi="黑体" w:eastAsia="黑体" w:cs="黑体"/>
          <w:color w:val="000000"/>
          <w:sz w:val="28"/>
          <w:szCs w:val="28"/>
          <w:lang w:bidi="ar"/>
        </w:rPr>
        <w:t>2.2 评价目的和评价原则</w:t>
      </w:r>
      <w:bookmarkEnd w:id="50"/>
      <w:bookmarkEnd w:id="51"/>
      <w:bookmarkEnd w:id="52"/>
      <w:bookmarkEnd w:id="53"/>
      <w:bookmarkEnd w:id="54"/>
    </w:p>
    <w:p w14:paraId="3F3EF438">
      <w:pPr>
        <w:spacing w:line="480" w:lineRule="exact"/>
        <w:outlineLvl w:val="2"/>
        <w:rPr>
          <w:rFonts w:hAnsi="宋体"/>
          <w:color w:val="000000"/>
          <w:szCs w:val="24"/>
        </w:rPr>
      </w:pPr>
      <w:r>
        <w:rPr>
          <w:rFonts w:hint="eastAsia" w:hAnsi="宋体"/>
          <w:color w:val="000000"/>
          <w:szCs w:val="24"/>
        </w:rPr>
        <w:t>2.2.1 评价目的</w:t>
      </w:r>
    </w:p>
    <w:p w14:paraId="4AF91CA9">
      <w:pPr>
        <w:spacing w:line="480" w:lineRule="exact"/>
        <w:ind w:firstLine="526" w:firstLineChars="200"/>
        <w:rPr>
          <w:rFonts w:hAnsi="宋体"/>
          <w:color w:val="000000"/>
          <w:szCs w:val="24"/>
        </w:rPr>
      </w:pPr>
      <w:r>
        <w:rPr>
          <w:rFonts w:hint="eastAsia" w:hAnsi="宋体"/>
          <w:color w:val="000000"/>
          <w:szCs w:val="24"/>
        </w:rPr>
        <w:t>（1）通过环境现状调查和监测，掌握项目所在地的自然环境及环境质量现状。</w:t>
      </w:r>
    </w:p>
    <w:p w14:paraId="0913CBA9">
      <w:pPr>
        <w:spacing w:line="480" w:lineRule="exact"/>
        <w:ind w:firstLine="526" w:firstLineChars="200"/>
        <w:rPr>
          <w:rFonts w:hAnsi="宋体"/>
          <w:color w:val="000000"/>
          <w:szCs w:val="24"/>
        </w:rPr>
      </w:pPr>
      <w:r>
        <w:rPr>
          <w:rFonts w:hint="eastAsia" w:hAnsi="宋体"/>
          <w:color w:val="000000"/>
          <w:szCs w:val="24"/>
        </w:rPr>
        <w:t>（2）针对拟建工程特点和污染特征，确定主要环境影响因素及其污染因子。</w:t>
      </w:r>
    </w:p>
    <w:p w14:paraId="157832FA">
      <w:pPr>
        <w:spacing w:line="480" w:lineRule="exact"/>
        <w:ind w:firstLine="526" w:firstLineChars="200"/>
        <w:rPr>
          <w:rFonts w:hAnsi="宋体"/>
          <w:color w:val="000000"/>
          <w:szCs w:val="24"/>
        </w:rPr>
      </w:pPr>
      <w:r>
        <w:rPr>
          <w:rFonts w:hint="eastAsia" w:hAnsi="宋体"/>
          <w:color w:val="000000"/>
          <w:szCs w:val="24"/>
        </w:rPr>
        <w:t>（3）预测拟建工程对当地环境可能造成影响的程度和范围，从而制定避免和减轻污染的对策和措施，并提出总量控制指标。</w:t>
      </w:r>
    </w:p>
    <w:p w14:paraId="4079A174">
      <w:pPr>
        <w:spacing w:line="480" w:lineRule="exact"/>
        <w:ind w:firstLine="526" w:firstLineChars="200"/>
        <w:rPr>
          <w:rFonts w:hAnsi="宋体"/>
          <w:color w:val="000000"/>
          <w:szCs w:val="24"/>
        </w:rPr>
      </w:pPr>
      <w:r>
        <w:rPr>
          <w:rFonts w:hint="eastAsia" w:hAnsi="宋体"/>
          <w:color w:val="000000"/>
          <w:szCs w:val="24"/>
        </w:rPr>
        <w:t>（4）分析拟建工程可能存在的环境风险，预测风险发生后可能影响的程度和范围，对项目环境风险进行评估，并提出相应的风险防范和应急措施。</w:t>
      </w:r>
    </w:p>
    <w:p w14:paraId="3C4F1596">
      <w:pPr>
        <w:spacing w:line="480" w:lineRule="exact"/>
        <w:ind w:firstLine="526" w:firstLineChars="200"/>
        <w:rPr>
          <w:rFonts w:hAnsi="宋体"/>
          <w:color w:val="000000"/>
          <w:szCs w:val="24"/>
        </w:rPr>
      </w:pPr>
      <w:r>
        <w:rPr>
          <w:rFonts w:hint="eastAsia" w:hAnsi="宋体"/>
          <w:color w:val="000000"/>
          <w:szCs w:val="24"/>
        </w:rPr>
        <w:t>（5）从技术、经济角度分析拟建工程采取污染治理措施的可行性，从环境保护的角度对拟建工程的建设是否可行给出明确的结论。</w:t>
      </w:r>
    </w:p>
    <w:p w14:paraId="40EC690E">
      <w:pPr>
        <w:spacing w:line="480" w:lineRule="exact"/>
        <w:ind w:firstLine="526" w:firstLineChars="200"/>
        <w:rPr>
          <w:rFonts w:hAnsi="宋体"/>
          <w:color w:val="000000"/>
          <w:szCs w:val="24"/>
        </w:rPr>
      </w:pPr>
      <w:r>
        <w:rPr>
          <w:rFonts w:hint="eastAsia" w:hAnsi="宋体"/>
          <w:color w:val="000000"/>
          <w:szCs w:val="24"/>
        </w:rPr>
        <w:t>（6）为环境管理主管部门决策、设计部门优化设计、建设单位环境管理提供科学依据。</w:t>
      </w:r>
    </w:p>
    <w:p w14:paraId="18BF4BE2">
      <w:pPr>
        <w:spacing w:line="480" w:lineRule="exact"/>
        <w:outlineLvl w:val="2"/>
        <w:rPr>
          <w:rFonts w:hAnsi="宋体"/>
          <w:color w:val="000000"/>
          <w:szCs w:val="24"/>
        </w:rPr>
      </w:pPr>
      <w:r>
        <w:rPr>
          <w:rFonts w:hint="eastAsia" w:hAnsi="宋体"/>
          <w:color w:val="000000"/>
          <w:szCs w:val="24"/>
        </w:rPr>
        <w:t>2.2.2 评价原则</w:t>
      </w:r>
    </w:p>
    <w:p w14:paraId="52E75C8C">
      <w:pPr>
        <w:spacing w:line="480" w:lineRule="exact"/>
        <w:ind w:firstLine="526" w:firstLineChars="200"/>
        <w:rPr>
          <w:rFonts w:hint="eastAsia" w:hAnsi="宋体"/>
          <w:color w:val="000000"/>
          <w:szCs w:val="24"/>
        </w:rPr>
      </w:pPr>
      <w:r>
        <w:rPr>
          <w:rFonts w:hint="eastAsia" w:hAnsi="宋体"/>
          <w:color w:val="000000"/>
          <w:szCs w:val="24"/>
        </w:rPr>
        <w:t>（1）依法评价</w:t>
      </w:r>
    </w:p>
    <w:p w14:paraId="3ACCD2A5">
      <w:pPr>
        <w:spacing w:line="480" w:lineRule="exact"/>
        <w:ind w:firstLine="526" w:firstLineChars="200"/>
        <w:rPr>
          <w:rFonts w:hint="eastAsia" w:hAnsi="宋体"/>
          <w:color w:val="000000"/>
          <w:szCs w:val="24"/>
        </w:rPr>
      </w:pPr>
      <w:r>
        <w:rPr>
          <w:rFonts w:hint="eastAsia" w:hAnsi="宋体"/>
          <w:color w:val="000000"/>
          <w:szCs w:val="24"/>
        </w:rPr>
        <w:t>贯彻执行我国环境保护相关法律法规、标准、政策和规划等，优化项目建设，服务环境管理。</w:t>
      </w:r>
    </w:p>
    <w:p w14:paraId="7809A4E3">
      <w:pPr>
        <w:spacing w:line="480" w:lineRule="exact"/>
        <w:ind w:firstLine="526" w:firstLineChars="200"/>
        <w:rPr>
          <w:rFonts w:hint="eastAsia" w:hAnsi="宋体"/>
          <w:color w:val="000000"/>
          <w:szCs w:val="24"/>
        </w:rPr>
      </w:pPr>
      <w:r>
        <w:rPr>
          <w:rFonts w:hint="eastAsia" w:hAnsi="宋体"/>
          <w:color w:val="000000"/>
          <w:szCs w:val="24"/>
        </w:rPr>
        <w:t>（2）科学评价</w:t>
      </w:r>
    </w:p>
    <w:p w14:paraId="29B3DFD4">
      <w:pPr>
        <w:spacing w:line="480" w:lineRule="exact"/>
        <w:ind w:firstLine="526" w:firstLineChars="200"/>
        <w:rPr>
          <w:rFonts w:hint="eastAsia" w:hAnsi="宋体"/>
          <w:color w:val="000000"/>
          <w:szCs w:val="24"/>
        </w:rPr>
      </w:pPr>
      <w:r>
        <w:rPr>
          <w:rFonts w:hint="eastAsia" w:hAnsi="宋体"/>
          <w:color w:val="000000"/>
          <w:szCs w:val="24"/>
        </w:rPr>
        <w:t>规范环境影响评价方法，科学分析项目建设对环境质量的影响。</w:t>
      </w:r>
    </w:p>
    <w:p w14:paraId="72FE5B1A">
      <w:pPr>
        <w:spacing w:line="480" w:lineRule="exact"/>
        <w:ind w:firstLine="526" w:firstLineChars="200"/>
        <w:rPr>
          <w:rFonts w:hint="eastAsia" w:hAnsi="宋体"/>
          <w:color w:val="000000"/>
          <w:szCs w:val="24"/>
        </w:rPr>
      </w:pPr>
      <w:r>
        <w:rPr>
          <w:rFonts w:hint="eastAsia" w:hAnsi="宋体"/>
          <w:color w:val="000000"/>
          <w:szCs w:val="24"/>
        </w:rPr>
        <w:t>（3）突出重点</w:t>
      </w:r>
    </w:p>
    <w:p w14:paraId="72EC1E21">
      <w:pPr>
        <w:spacing w:line="480" w:lineRule="exact"/>
        <w:ind w:firstLine="526" w:firstLineChars="200"/>
        <w:rPr>
          <w:rFonts w:hint="eastAsia" w:hAnsi="宋体"/>
          <w:color w:val="000000"/>
          <w:szCs w:val="24"/>
        </w:rPr>
      </w:pPr>
      <w:r>
        <w:rPr>
          <w:rFonts w:hint="eastAsia" w:hAnsi="宋体"/>
          <w:color w:val="000000"/>
          <w:szCs w:val="24"/>
        </w:rPr>
        <w:t>根据建设项目的工程内容及其特点，明确与环境要素间的作用效应关系，根据规划环境影响评价结论和审查意见，充分利用符合时效的数据资料及成果，对建设项目主要环境影响予以重点分析和评价。</w:t>
      </w:r>
    </w:p>
    <w:p w14:paraId="752E232B">
      <w:pPr>
        <w:pStyle w:val="24"/>
        <w:spacing w:line="480" w:lineRule="exact"/>
        <w:rPr>
          <w:rFonts w:ascii="宋体" w:hAnsi="宋体"/>
        </w:rPr>
      </w:pPr>
      <w:r>
        <w:rPr>
          <w:rFonts w:hAnsi="宋体"/>
        </w:rPr>
        <w:pict>
          <v:shape id="图片 2" o:spid="_x0000_s1025" o:spt="75" type="#_x0000_t75" style="position:absolute;left:0pt;margin-left:61.65pt;margin-top:6.1pt;height:357.25pt;width:311.55pt;z-index:-251657216;mso-width-relative:page;mso-height-relative:page;" filled="f" o:preferrelative="t" stroked="f" coordsize="21600,21600">
            <v:path/>
            <v:fill on="f" focussize="0,0"/>
            <v:stroke on="f"/>
            <v:imagedata r:id="rId12" cropbottom="3678f" o:title=""/>
            <o:lock v:ext="edit" aspectratio="t"/>
          </v:shape>
        </w:pict>
      </w:r>
    </w:p>
    <w:p w14:paraId="573A169A">
      <w:pPr>
        <w:pStyle w:val="35"/>
        <w:spacing w:line="480" w:lineRule="exact"/>
        <w:rPr>
          <w:rFonts w:hAnsi="宋体"/>
          <w:snapToGrid w:val="0"/>
          <w:color w:val="000000"/>
          <w:szCs w:val="24"/>
        </w:rPr>
      </w:pPr>
    </w:p>
    <w:p w14:paraId="5A9C67E4">
      <w:pPr>
        <w:spacing w:line="480" w:lineRule="exact"/>
        <w:rPr>
          <w:rFonts w:hAnsi="宋体"/>
          <w:color w:val="000000"/>
          <w:szCs w:val="24"/>
        </w:rPr>
      </w:pPr>
    </w:p>
    <w:p w14:paraId="25579169">
      <w:pPr>
        <w:spacing w:line="480" w:lineRule="exact"/>
        <w:rPr>
          <w:rFonts w:hAnsi="宋体"/>
          <w:color w:val="000000"/>
          <w:szCs w:val="24"/>
        </w:rPr>
      </w:pPr>
    </w:p>
    <w:p w14:paraId="4F0F52F3">
      <w:pPr>
        <w:pStyle w:val="34"/>
        <w:spacing w:line="480" w:lineRule="exact"/>
        <w:rPr>
          <w:rFonts w:hint="default" w:ascii="宋体" w:hAnsi="宋体"/>
          <w:b w:val="0"/>
          <w:color w:val="000000"/>
          <w:szCs w:val="24"/>
        </w:rPr>
      </w:pPr>
    </w:p>
    <w:p w14:paraId="2CD91A03">
      <w:pPr>
        <w:pStyle w:val="35"/>
        <w:spacing w:line="480" w:lineRule="exact"/>
        <w:rPr>
          <w:rFonts w:hAnsi="宋体"/>
          <w:color w:val="000000"/>
          <w:szCs w:val="24"/>
        </w:rPr>
      </w:pPr>
    </w:p>
    <w:p w14:paraId="57B48368">
      <w:pPr>
        <w:spacing w:line="480" w:lineRule="exact"/>
        <w:rPr>
          <w:rFonts w:hAnsi="宋体"/>
          <w:color w:val="000000"/>
          <w:szCs w:val="24"/>
        </w:rPr>
      </w:pPr>
    </w:p>
    <w:p w14:paraId="72FE8A92">
      <w:pPr>
        <w:pStyle w:val="47"/>
        <w:spacing w:after="0" w:line="480" w:lineRule="exact"/>
        <w:ind w:left="527"/>
        <w:rPr>
          <w:rFonts w:hAnsi="宋体"/>
          <w:color w:val="000000"/>
          <w:spacing w:val="5"/>
          <w:szCs w:val="24"/>
        </w:rPr>
      </w:pPr>
    </w:p>
    <w:p w14:paraId="7F8BFBC7">
      <w:pPr>
        <w:spacing w:line="480" w:lineRule="exact"/>
        <w:rPr>
          <w:rFonts w:hAnsi="宋体"/>
          <w:color w:val="000000"/>
          <w:szCs w:val="24"/>
        </w:rPr>
      </w:pPr>
    </w:p>
    <w:p w14:paraId="4650855E">
      <w:pPr>
        <w:pStyle w:val="47"/>
        <w:spacing w:after="0" w:line="480" w:lineRule="exact"/>
        <w:ind w:left="527"/>
        <w:rPr>
          <w:rFonts w:hAnsi="宋体"/>
          <w:color w:val="000000"/>
          <w:spacing w:val="5"/>
          <w:szCs w:val="24"/>
        </w:rPr>
      </w:pPr>
    </w:p>
    <w:p w14:paraId="5B07E13E">
      <w:pPr>
        <w:spacing w:line="480" w:lineRule="exact"/>
        <w:rPr>
          <w:rFonts w:hAnsi="宋体"/>
          <w:color w:val="000000"/>
          <w:szCs w:val="24"/>
        </w:rPr>
      </w:pPr>
    </w:p>
    <w:p w14:paraId="6CC920E8">
      <w:pPr>
        <w:pStyle w:val="47"/>
        <w:spacing w:after="0" w:line="480" w:lineRule="exact"/>
        <w:ind w:left="527"/>
        <w:rPr>
          <w:rFonts w:hAnsi="宋体"/>
          <w:color w:val="000000"/>
          <w:spacing w:val="5"/>
          <w:szCs w:val="24"/>
        </w:rPr>
      </w:pPr>
    </w:p>
    <w:p w14:paraId="168CE962">
      <w:pPr>
        <w:spacing w:line="480" w:lineRule="exact"/>
        <w:rPr>
          <w:rFonts w:hint="eastAsia" w:hAnsi="宋体"/>
          <w:color w:val="000000"/>
          <w:szCs w:val="24"/>
        </w:rPr>
      </w:pPr>
    </w:p>
    <w:p w14:paraId="3FABDA59">
      <w:pPr>
        <w:pStyle w:val="34"/>
        <w:spacing w:line="480" w:lineRule="exact"/>
        <w:rPr>
          <w:b w:val="0"/>
          <w:color w:val="000000"/>
        </w:rPr>
      </w:pPr>
    </w:p>
    <w:p w14:paraId="55A0E302">
      <w:pPr>
        <w:pStyle w:val="35"/>
        <w:spacing w:line="480" w:lineRule="exact"/>
        <w:rPr>
          <w:color w:val="000000"/>
        </w:rPr>
      </w:pPr>
    </w:p>
    <w:p w14:paraId="20D78C68">
      <w:pPr>
        <w:pStyle w:val="35"/>
        <w:spacing w:line="480" w:lineRule="exact"/>
        <w:jc w:val="center"/>
        <w:rPr>
          <w:rFonts w:ascii="黑体" w:hAnsi="黑体" w:eastAsia="黑体"/>
          <w:color w:val="000000"/>
          <w:szCs w:val="24"/>
        </w:rPr>
      </w:pPr>
      <w:r>
        <w:rPr>
          <w:rFonts w:hint="eastAsia" w:ascii="黑体" w:hAnsi="黑体" w:eastAsia="黑体"/>
          <w:color w:val="000000"/>
          <w:szCs w:val="24"/>
        </w:rPr>
        <w:t>图2.2-1   环境影响评价工作程序图</w:t>
      </w:r>
    </w:p>
    <w:p w14:paraId="4E45F1BE">
      <w:pPr>
        <w:spacing w:line="480" w:lineRule="exact"/>
        <w:outlineLvl w:val="1"/>
        <w:rPr>
          <w:rFonts w:ascii="黑体" w:hAnsi="黑体" w:eastAsia="黑体" w:cs="黑体"/>
          <w:color w:val="000000"/>
          <w:sz w:val="28"/>
          <w:szCs w:val="28"/>
          <w:lang w:bidi="ar"/>
        </w:rPr>
      </w:pPr>
      <w:bookmarkStart w:id="55" w:name="_Toc230178777"/>
      <w:bookmarkStart w:id="56" w:name="_Toc38101960"/>
      <w:bookmarkStart w:id="57" w:name="_Toc198040167"/>
      <w:bookmarkStart w:id="58" w:name="_Toc208474660"/>
      <w:bookmarkStart w:id="59" w:name="_Toc198040311"/>
      <w:r>
        <w:rPr>
          <w:rFonts w:hint="eastAsia" w:ascii="黑体" w:hAnsi="黑体" w:eastAsia="黑体" w:cs="黑体"/>
          <w:color w:val="000000"/>
          <w:sz w:val="28"/>
          <w:szCs w:val="28"/>
          <w:lang w:bidi="ar"/>
        </w:rPr>
        <w:t>2.3 环境影响因素和评价因子</w:t>
      </w:r>
      <w:bookmarkEnd w:id="55"/>
      <w:bookmarkEnd w:id="56"/>
      <w:bookmarkEnd w:id="57"/>
      <w:bookmarkEnd w:id="58"/>
      <w:bookmarkEnd w:id="59"/>
    </w:p>
    <w:p w14:paraId="3E7F77FA">
      <w:pPr>
        <w:spacing w:line="480" w:lineRule="exact"/>
        <w:outlineLvl w:val="2"/>
        <w:rPr>
          <w:rFonts w:hAnsi="宋体"/>
          <w:color w:val="000000"/>
          <w:szCs w:val="24"/>
        </w:rPr>
      </w:pPr>
      <w:r>
        <w:rPr>
          <w:rFonts w:hint="eastAsia" w:hAnsi="宋体"/>
          <w:color w:val="000000"/>
          <w:szCs w:val="24"/>
        </w:rPr>
        <w:t>2.3.1 环境影响因素识别</w:t>
      </w:r>
    </w:p>
    <w:p w14:paraId="2833F107">
      <w:pPr>
        <w:spacing w:line="480" w:lineRule="exact"/>
        <w:ind w:firstLine="526" w:firstLineChars="200"/>
        <w:rPr>
          <w:rFonts w:hAnsi="宋体"/>
          <w:color w:val="000000"/>
          <w:szCs w:val="24"/>
        </w:rPr>
      </w:pPr>
      <w:r>
        <w:rPr>
          <w:rFonts w:hint="eastAsia" w:hAnsi="宋体"/>
          <w:color w:val="000000"/>
          <w:szCs w:val="24"/>
        </w:rPr>
        <w:t>根据拟建工程主要污染源污染因子及区域环境特征，对项目实施后的主要环境影响因素进行识别，结果见表2.3-1。</w:t>
      </w:r>
    </w:p>
    <w:p w14:paraId="21A87317">
      <w:pPr>
        <w:spacing w:line="480" w:lineRule="exact"/>
        <w:ind w:firstLine="543" w:firstLineChars="207"/>
        <w:rPr>
          <w:rFonts w:hint="eastAsia" w:ascii="黑体" w:hAnsi="宋体" w:eastAsia="黑体"/>
          <w:color w:val="000000"/>
          <w:szCs w:val="24"/>
        </w:rPr>
      </w:pPr>
      <w:r>
        <w:rPr>
          <w:rFonts w:hint="eastAsia" w:ascii="黑体" w:hAnsi="宋体" w:eastAsia="黑体"/>
          <w:color w:val="000000"/>
          <w:szCs w:val="24"/>
        </w:rPr>
        <w:t>表2.3-1          环境影响因素识别结果一览表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099"/>
        <w:gridCol w:w="3089"/>
        <w:gridCol w:w="1678"/>
        <w:gridCol w:w="1678"/>
        <w:gridCol w:w="1467"/>
      </w:tblGrid>
      <w:tr w14:paraId="5D832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324" w:type="pct"/>
            <w:gridSpan w:val="2"/>
            <w:vMerge w:val="restart"/>
            <w:tcBorders>
              <w:tl2br w:val="single" w:color="auto" w:sz="4" w:space="0"/>
            </w:tcBorders>
            <w:vAlign w:val="center"/>
          </w:tcPr>
          <w:p w14:paraId="4453FF22">
            <w:pPr>
              <w:spacing w:line="0" w:lineRule="atLeast"/>
              <w:ind w:firstLine="591" w:firstLineChars="292"/>
              <w:jc w:val="right"/>
              <w:rPr>
                <w:rFonts w:hint="eastAsia" w:hAnsi="宋体" w:cs="宋体"/>
                <w:color w:val="000000"/>
                <w:spacing w:val="-10"/>
                <w:sz w:val="21"/>
                <w:szCs w:val="21"/>
              </w:rPr>
            </w:pPr>
            <w:r>
              <w:rPr>
                <w:rFonts w:hint="eastAsia" w:hAnsi="宋体" w:cs="宋体"/>
                <w:color w:val="000000"/>
                <w:spacing w:val="-10"/>
                <w:sz w:val="21"/>
                <w:szCs w:val="21"/>
              </w:rPr>
              <w:t xml:space="preserve">    单项工程</w:t>
            </w:r>
          </w:p>
          <w:p w14:paraId="0A120A8C">
            <w:pPr>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环境因素</w:t>
            </w:r>
          </w:p>
        </w:tc>
        <w:tc>
          <w:tcPr>
            <w:tcW w:w="931" w:type="pct"/>
            <w:vAlign w:val="center"/>
          </w:tcPr>
          <w:p w14:paraId="639C1B9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c>
          <w:tcPr>
            <w:tcW w:w="931" w:type="pct"/>
            <w:vAlign w:val="center"/>
          </w:tcPr>
          <w:p w14:paraId="3F3022C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运营期</w:t>
            </w:r>
          </w:p>
        </w:tc>
        <w:tc>
          <w:tcPr>
            <w:tcW w:w="814" w:type="pct"/>
            <w:vAlign w:val="center"/>
          </w:tcPr>
          <w:p w14:paraId="48A9419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退役期</w:t>
            </w:r>
          </w:p>
        </w:tc>
      </w:tr>
      <w:tr w14:paraId="34ACA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324" w:type="pct"/>
            <w:gridSpan w:val="2"/>
            <w:vMerge w:val="continue"/>
            <w:vAlign w:val="center"/>
          </w:tcPr>
          <w:p w14:paraId="2716ADE2">
            <w:pPr>
              <w:widowControl/>
              <w:spacing w:line="0" w:lineRule="atLeast"/>
              <w:jc w:val="center"/>
              <w:rPr>
                <w:rFonts w:hint="eastAsia" w:hAnsi="宋体" w:cs="宋体"/>
                <w:color w:val="000000"/>
                <w:spacing w:val="-10"/>
                <w:sz w:val="21"/>
                <w:szCs w:val="21"/>
              </w:rPr>
            </w:pPr>
          </w:p>
        </w:tc>
        <w:tc>
          <w:tcPr>
            <w:tcW w:w="931" w:type="pct"/>
            <w:vAlign w:val="center"/>
          </w:tcPr>
          <w:p w14:paraId="7F386B2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油气集输工程</w:t>
            </w:r>
          </w:p>
        </w:tc>
        <w:tc>
          <w:tcPr>
            <w:tcW w:w="931" w:type="pct"/>
            <w:vAlign w:val="center"/>
          </w:tcPr>
          <w:p w14:paraId="0EC82A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油气集输工程</w:t>
            </w:r>
          </w:p>
        </w:tc>
        <w:tc>
          <w:tcPr>
            <w:tcW w:w="814" w:type="pct"/>
            <w:vAlign w:val="center"/>
          </w:tcPr>
          <w:p w14:paraId="6AE693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封管</w:t>
            </w:r>
          </w:p>
        </w:tc>
      </w:tr>
      <w:tr w14:paraId="04AA48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restart"/>
            <w:vAlign w:val="center"/>
          </w:tcPr>
          <w:p w14:paraId="52967A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自然</w:t>
            </w:r>
          </w:p>
          <w:p w14:paraId="064AB8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tc>
        <w:tc>
          <w:tcPr>
            <w:tcW w:w="1714" w:type="pct"/>
            <w:vAlign w:val="center"/>
          </w:tcPr>
          <w:p w14:paraId="7C510D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环境空气</w:t>
            </w:r>
          </w:p>
        </w:tc>
        <w:tc>
          <w:tcPr>
            <w:tcW w:w="931" w:type="pct"/>
            <w:vAlign w:val="center"/>
          </w:tcPr>
          <w:p w14:paraId="02B1B37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473284C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07F775A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2FA07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484CF56D">
            <w:pPr>
              <w:spacing w:line="0" w:lineRule="atLeast"/>
              <w:jc w:val="center"/>
              <w:rPr>
                <w:rFonts w:hint="eastAsia" w:hAnsi="宋体" w:cs="宋体"/>
                <w:color w:val="000000"/>
                <w:spacing w:val="-10"/>
                <w:sz w:val="21"/>
                <w:szCs w:val="21"/>
              </w:rPr>
            </w:pPr>
          </w:p>
        </w:tc>
        <w:tc>
          <w:tcPr>
            <w:tcW w:w="1714" w:type="pct"/>
            <w:vAlign w:val="center"/>
          </w:tcPr>
          <w:p w14:paraId="633F7B7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地表水</w:t>
            </w:r>
          </w:p>
        </w:tc>
        <w:tc>
          <w:tcPr>
            <w:tcW w:w="931" w:type="pct"/>
            <w:vAlign w:val="center"/>
          </w:tcPr>
          <w:p w14:paraId="0BA6092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931" w:type="pct"/>
            <w:vAlign w:val="center"/>
          </w:tcPr>
          <w:p w14:paraId="3CAEAC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2E0258F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DACAE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6638C65E">
            <w:pPr>
              <w:widowControl/>
              <w:spacing w:line="0" w:lineRule="atLeast"/>
              <w:jc w:val="center"/>
              <w:rPr>
                <w:rFonts w:hint="eastAsia" w:hAnsi="宋体" w:cs="宋体"/>
                <w:color w:val="000000"/>
                <w:spacing w:val="-10"/>
                <w:sz w:val="21"/>
                <w:szCs w:val="21"/>
              </w:rPr>
            </w:pPr>
          </w:p>
        </w:tc>
        <w:tc>
          <w:tcPr>
            <w:tcW w:w="1714" w:type="pct"/>
            <w:vAlign w:val="center"/>
          </w:tcPr>
          <w:p w14:paraId="644CDB6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931" w:type="pct"/>
            <w:vAlign w:val="center"/>
          </w:tcPr>
          <w:p w14:paraId="4E117C7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746A23A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c>
          <w:tcPr>
            <w:tcW w:w="814" w:type="pct"/>
            <w:vAlign w:val="center"/>
          </w:tcPr>
          <w:p w14:paraId="107063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r>
      <w:tr w14:paraId="6FC78F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0200CB01">
            <w:pPr>
              <w:widowControl/>
              <w:spacing w:line="0" w:lineRule="atLeast"/>
              <w:jc w:val="center"/>
              <w:rPr>
                <w:rFonts w:hint="eastAsia" w:hAnsi="宋体" w:cs="宋体"/>
                <w:color w:val="000000"/>
                <w:spacing w:val="-10"/>
                <w:sz w:val="21"/>
                <w:szCs w:val="21"/>
              </w:rPr>
            </w:pPr>
          </w:p>
        </w:tc>
        <w:tc>
          <w:tcPr>
            <w:tcW w:w="1714" w:type="pct"/>
            <w:vAlign w:val="center"/>
          </w:tcPr>
          <w:p w14:paraId="5C67554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声环境</w:t>
            </w:r>
          </w:p>
        </w:tc>
        <w:tc>
          <w:tcPr>
            <w:tcW w:w="931" w:type="pct"/>
            <w:vAlign w:val="center"/>
          </w:tcPr>
          <w:p w14:paraId="4B20623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4DECD0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63DBAD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3025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466C7C19">
            <w:pPr>
              <w:widowControl/>
              <w:spacing w:line="0" w:lineRule="atLeast"/>
              <w:jc w:val="center"/>
              <w:rPr>
                <w:rFonts w:hint="eastAsia" w:hAnsi="宋体" w:cs="宋体"/>
                <w:color w:val="000000"/>
                <w:spacing w:val="-10"/>
                <w:sz w:val="21"/>
                <w:szCs w:val="21"/>
              </w:rPr>
            </w:pPr>
          </w:p>
        </w:tc>
        <w:tc>
          <w:tcPr>
            <w:tcW w:w="1714" w:type="pct"/>
            <w:vAlign w:val="center"/>
          </w:tcPr>
          <w:p w14:paraId="3407DC6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土壤环境</w:t>
            </w:r>
          </w:p>
        </w:tc>
        <w:tc>
          <w:tcPr>
            <w:tcW w:w="931" w:type="pct"/>
            <w:vAlign w:val="center"/>
          </w:tcPr>
          <w:p w14:paraId="78DE6C4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71D79F6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c>
          <w:tcPr>
            <w:tcW w:w="814" w:type="pct"/>
            <w:vAlign w:val="center"/>
          </w:tcPr>
          <w:p w14:paraId="02627BA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7C8610B2">
      <w:pPr>
        <w:spacing w:line="480" w:lineRule="exact"/>
        <w:ind w:firstLine="543" w:firstLineChars="207"/>
        <w:rPr>
          <w:rFonts w:hint="eastAsia" w:ascii="黑体" w:hAnsi="宋体" w:eastAsia="黑体"/>
          <w:color w:val="000000"/>
          <w:szCs w:val="24"/>
        </w:rPr>
      </w:pPr>
      <w:r>
        <w:br w:type="page"/>
      </w:r>
      <w:r>
        <w:rPr>
          <w:rFonts w:hint="eastAsia" w:ascii="黑体" w:hAnsi="宋体" w:eastAsia="黑体"/>
          <w:color w:val="000000"/>
          <w:szCs w:val="24"/>
        </w:rPr>
        <w:t>续表2.3-1          环境影响因素识别结果一览表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099"/>
        <w:gridCol w:w="3089"/>
        <w:gridCol w:w="1678"/>
        <w:gridCol w:w="1678"/>
        <w:gridCol w:w="1467"/>
      </w:tblGrid>
      <w:tr w14:paraId="4882B1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324" w:type="pct"/>
            <w:gridSpan w:val="2"/>
            <w:vMerge w:val="restart"/>
            <w:tcBorders>
              <w:tl2br w:val="single" w:color="auto" w:sz="4" w:space="0"/>
            </w:tcBorders>
            <w:vAlign w:val="center"/>
          </w:tcPr>
          <w:p w14:paraId="0A31B92D">
            <w:pPr>
              <w:spacing w:line="0" w:lineRule="atLeast"/>
              <w:ind w:firstLine="591" w:firstLineChars="292"/>
              <w:jc w:val="right"/>
              <w:rPr>
                <w:rFonts w:hint="eastAsia" w:hAnsi="宋体" w:cs="宋体"/>
                <w:color w:val="000000"/>
                <w:spacing w:val="-10"/>
                <w:sz w:val="21"/>
                <w:szCs w:val="21"/>
              </w:rPr>
            </w:pPr>
            <w:r>
              <w:rPr>
                <w:rFonts w:hint="eastAsia" w:hAnsi="宋体" w:cs="宋体"/>
                <w:color w:val="000000"/>
                <w:spacing w:val="-10"/>
                <w:sz w:val="21"/>
                <w:szCs w:val="21"/>
              </w:rPr>
              <w:t xml:space="preserve">    单项工程</w:t>
            </w:r>
          </w:p>
          <w:p w14:paraId="0FA83B04">
            <w:pPr>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环境因素</w:t>
            </w:r>
          </w:p>
        </w:tc>
        <w:tc>
          <w:tcPr>
            <w:tcW w:w="931" w:type="pct"/>
            <w:vAlign w:val="center"/>
          </w:tcPr>
          <w:p w14:paraId="214AA66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c>
          <w:tcPr>
            <w:tcW w:w="931" w:type="pct"/>
            <w:vAlign w:val="center"/>
          </w:tcPr>
          <w:p w14:paraId="2D66D7D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运营期</w:t>
            </w:r>
          </w:p>
        </w:tc>
        <w:tc>
          <w:tcPr>
            <w:tcW w:w="814" w:type="pct"/>
            <w:vAlign w:val="center"/>
          </w:tcPr>
          <w:p w14:paraId="03C39ED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退役期</w:t>
            </w:r>
          </w:p>
        </w:tc>
      </w:tr>
      <w:tr w14:paraId="2B5B3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324" w:type="pct"/>
            <w:gridSpan w:val="2"/>
            <w:vMerge w:val="continue"/>
            <w:vAlign w:val="center"/>
          </w:tcPr>
          <w:p w14:paraId="55A62AF7">
            <w:pPr>
              <w:widowControl/>
              <w:spacing w:line="0" w:lineRule="atLeast"/>
              <w:jc w:val="center"/>
              <w:rPr>
                <w:rFonts w:hint="eastAsia" w:hAnsi="宋体" w:cs="宋体"/>
                <w:color w:val="000000"/>
                <w:spacing w:val="-10"/>
                <w:sz w:val="21"/>
                <w:szCs w:val="21"/>
              </w:rPr>
            </w:pPr>
          </w:p>
        </w:tc>
        <w:tc>
          <w:tcPr>
            <w:tcW w:w="931" w:type="pct"/>
            <w:vAlign w:val="center"/>
          </w:tcPr>
          <w:p w14:paraId="55E8973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油气集输工程</w:t>
            </w:r>
          </w:p>
        </w:tc>
        <w:tc>
          <w:tcPr>
            <w:tcW w:w="931" w:type="pct"/>
            <w:vAlign w:val="center"/>
          </w:tcPr>
          <w:p w14:paraId="30ADC4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油气集输工程</w:t>
            </w:r>
          </w:p>
        </w:tc>
        <w:tc>
          <w:tcPr>
            <w:tcW w:w="814" w:type="pct"/>
            <w:vAlign w:val="center"/>
          </w:tcPr>
          <w:p w14:paraId="5A9D408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封管</w:t>
            </w:r>
          </w:p>
        </w:tc>
      </w:tr>
      <w:tr w14:paraId="51B5E7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restart"/>
            <w:vAlign w:val="center"/>
          </w:tcPr>
          <w:p w14:paraId="4FA770C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w:t>
            </w:r>
          </w:p>
          <w:p w14:paraId="02CBBB7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tc>
        <w:tc>
          <w:tcPr>
            <w:tcW w:w="1714" w:type="pct"/>
            <w:vAlign w:val="center"/>
          </w:tcPr>
          <w:p w14:paraId="4F0995D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地表扰动</w:t>
            </w:r>
          </w:p>
        </w:tc>
        <w:tc>
          <w:tcPr>
            <w:tcW w:w="931" w:type="pct"/>
            <w:vAlign w:val="center"/>
          </w:tcPr>
          <w:p w14:paraId="04956CF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1DD6E7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2E92F85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A8C8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551DA4B6">
            <w:pPr>
              <w:spacing w:line="0" w:lineRule="atLeast"/>
              <w:jc w:val="center"/>
              <w:rPr>
                <w:rFonts w:hint="eastAsia" w:hAnsi="宋体" w:cs="宋体"/>
                <w:color w:val="000000"/>
                <w:spacing w:val="-10"/>
                <w:sz w:val="21"/>
                <w:szCs w:val="21"/>
              </w:rPr>
            </w:pPr>
          </w:p>
        </w:tc>
        <w:tc>
          <w:tcPr>
            <w:tcW w:w="1714" w:type="pct"/>
            <w:vAlign w:val="center"/>
          </w:tcPr>
          <w:p w14:paraId="0749202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土壤肥力</w:t>
            </w:r>
          </w:p>
        </w:tc>
        <w:tc>
          <w:tcPr>
            <w:tcW w:w="931" w:type="pct"/>
            <w:vAlign w:val="center"/>
          </w:tcPr>
          <w:p w14:paraId="35D3618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305C5B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4098925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2AF4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37AA4FFC">
            <w:pPr>
              <w:spacing w:line="0" w:lineRule="atLeast"/>
              <w:jc w:val="center"/>
              <w:rPr>
                <w:rFonts w:hint="eastAsia" w:hAnsi="宋体" w:cs="宋体"/>
                <w:color w:val="000000"/>
                <w:spacing w:val="-10"/>
                <w:sz w:val="21"/>
                <w:szCs w:val="21"/>
              </w:rPr>
            </w:pPr>
          </w:p>
        </w:tc>
        <w:tc>
          <w:tcPr>
            <w:tcW w:w="1714" w:type="pct"/>
            <w:vAlign w:val="center"/>
          </w:tcPr>
          <w:p w14:paraId="459AE2E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植被覆盖度</w:t>
            </w:r>
          </w:p>
        </w:tc>
        <w:tc>
          <w:tcPr>
            <w:tcW w:w="931" w:type="pct"/>
            <w:vAlign w:val="center"/>
          </w:tcPr>
          <w:p w14:paraId="4345AB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295557A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14C8CDD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r>
      <w:tr w14:paraId="03AD7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55799DB2">
            <w:pPr>
              <w:spacing w:line="0" w:lineRule="atLeast"/>
              <w:jc w:val="center"/>
              <w:rPr>
                <w:rFonts w:hint="eastAsia" w:hAnsi="宋体" w:cs="宋体"/>
                <w:color w:val="000000"/>
                <w:spacing w:val="-10"/>
                <w:sz w:val="21"/>
                <w:szCs w:val="21"/>
              </w:rPr>
            </w:pPr>
          </w:p>
        </w:tc>
        <w:tc>
          <w:tcPr>
            <w:tcW w:w="1714" w:type="pct"/>
            <w:vAlign w:val="center"/>
          </w:tcPr>
          <w:p w14:paraId="49D15CF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生物多样性</w:t>
            </w:r>
          </w:p>
        </w:tc>
        <w:tc>
          <w:tcPr>
            <w:tcW w:w="931" w:type="pct"/>
            <w:vAlign w:val="center"/>
          </w:tcPr>
          <w:p w14:paraId="690BDAE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1CA637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1013AA3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r>
      <w:tr w14:paraId="3116B9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25C3F28B">
            <w:pPr>
              <w:spacing w:line="0" w:lineRule="atLeast"/>
              <w:jc w:val="center"/>
              <w:rPr>
                <w:rFonts w:hint="eastAsia" w:hAnsi="宋体" w:cs="宋体"/>
                <w:color w:val="000000"/>
                <w:spacing w:val="-10"/>
                <w:sz w:val="21"/>
                <w:szCs w:val="21"/>
              </w:rPr>
            </w:pPr>
          </w:p>
        </w:tc>
        <w:tc>
          <w:tcPr>
            <w:tcW w:w="1714" w:type="pct"/>
            <w:vAlign w:val="center"/>
          </w:tcPr>
          <w:p w14:paraId="6B729E9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生物量损失</w:t>
            </w:r>
          </w:p>
        </w:tc>
        <w:tc>
          <w:tcPr>
            <w:tcW w:w="931" w:type="pct"/>
            <w:vAlign w:val="center"/>
          </w:tcPr>
          <w:p w14:paraId="065B056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4D83D58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814" w:type="pct"/>
            <w:vAlign w:val="center"/>
          </w:tcPr>
          <w:p w14:paraId="435EB1A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r>
      <w:tr w14:paraId="4A18AF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0" w:type="pct"/>
            <w:vMerge w:val="continue"/>
            <w:vAlign w:val="center"/>
          </w:tcPr>
          <w:p w14:paraId="2F81F9FA">
            <w:pPr>
              <w:spacing w:line="0" w:lineRule="atLeast"/>
              <w:jc w:val="center"/>
              <w:rPr>
                <w:rFonts w:hint="eastAsia" w:hAnsi="宋体" w:cs="宋体"/>
                <w:color w:val="000000"/>
                <w:spacing w:val="-10"/>
                <w:sz w:val="21"/>
                <w:szCs w:val="21"/>
              </w:rPr>
            </w:pPr>
          </w:p>
        </w:tc>
        <w:tc>
          <w:tcPr>
            <w:tcW w:w="1714" w:type="pct"/>
            <w:vAlign w:val="center"/>
          </w:tcPr>
          <w:p w14:paraId="314BE6B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生态系统完整性</w:t>
            </w:r>
          </w:p>
        </w:tc>
        <w:tc>
          <w:tcPr>
            <w:tcW w:w="931" w:type="pct"/>
            <w:vAlign w:val="center"/>
          </w:tcPr>
          <w:p w14:paraId="66CD89A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-1D</w:t>
            </w:r>
          </w:p>
        </w:tc>
        <w:tc>
          <w:tcPr>
            <w:tcW w:w="931" w:type="pct"/>
            <w:vAlign w:val="center"/>
          </w:tcPr>
          <w:p w14:paraId="306D9A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c>
          <w:tcPr>
            <w:tcW w:w="814" w:type="pct"/>
            <w:vAlign w:val="center"/>
          </w:tcPr>
          <w:p w14:paraId="0556C3A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+1C</w:t>
            </w:r>
          </w:p>
        </w:tc>
      </w:tr>
    </w:tbl>
    <w:p w14:paraId="0F98D800">
      <w:pPr>
        <w:spacing w:line="0" w:lineRule="atLeast"/>
        <w:ind w:firstLine="484" w:firstLineChars="208"/>
        <w:rPr>
          <w:rFonts w:hint="eastAsia" w:ascii="楷体_GB2312" w:hAnsi="宋体" w:eastAsia="楷体_GB2312"/>
          <w:color w:val="000000"/>
          <w:sz w:val="21"/>
          <w:szCs w:val="21"/>
        </w:rPr>
      </w:pPr>
      <w:r>
        <w:rPr>
          <w:rFonts w:hint="eastAsia" w:ascii="楷体_GB2312" w:hAnsi="宋体" w:eastAsia="楷体_GB2312"/>
          <w:color w:val="000000"/>
          <w:sz w:val="21"/>
          <w:szCs w:val="21"/>
        </w:rPr>
        <w:t>注：1、表中“+”表示正效益，“-”表示负效益；</w:t>
      </w:r>
    </w:p>
    <w:p w14:paraId="6C4314DE">
      <w:pPr>
        <w:spacing w:line="0" w:lineRule="atLeast"/>
        <w:ind w:firstLine="932" w:firstLineChars="400"/>
        <w:rPr>
          <w:rFonts w:hint="eastAsia" w:ascii="楷体_GB2312" w:hAnsi="宋体" w:eastAsia="楷体_GB2312"/>
          <w:color w:val="000000"/>
          <w:sz w:val="21"/>
          <w:szCs w:val="21"/>
        </w:rPr>
      </w:pPr>
      <w:r>
        <w:rPr>
          <w:rFonts w:hint="eastAsia" w:ascii="楷体_GB2312" w:hAnsi="宋体" w:eastAsia="楷体_GB2312"/>
          <w:color w:val="000000"/>
          <w:sz w:val="21"/>
          <w:szCs w:val="21"/>
        </w:rPr>
        <w:t>2、表中数字表示影响的相对程度，“1”表示影响较小，“2”表示影响中等，“3”表示影响较大；</w:t>
      </w:r>
    </w:p>
    <w:p w14:paraId="6996DB1F">
      <w:pPr>
        <w:spacing w:line="0" w:lineRule="atLeast"/>
        <w:ind w:firstLine="932" w:firstLineChars="400"/>
        <w:rPr>
          <w:rFonts w:hint="eastAsia" w:ascii="楷体_GB2312" w:hAnsi="宋体" w:eastAsia="楷体_GB2312"/>
          <w:color w:val="000000"/>
          <w:sz w:val="21"/>
          <w:szCs w:val="21"/>
        </w:rPr>
      </w:pPr>
      <w:r>
        <w:rPr>
          <w:rFonts w:hint="eastAsia" w:ascii="楷体_GB2312" w:hAnsi="宋体" w:eastAsia="楷体_GB2312"/>
          <w:color w:val="000000"/>
          <w:sz w:val="21"/>
          <w:szCs w:val="21"/>
        </w:rPr>
        <w:t>3、表中“D”表示短期影响，“C”表示长期影响。</w:t>
      </w:r>
    </w:p>
    <w:p w14:paraId="604EEDC2">
      <w:pPr>
        <w:spacing w:before="120" w:line="500" w:lineRule="exact"/>
        <w:ind w:firstLine="526" w:firstLineChars="200"/>
        <w:rPr>
          <w:rFonts w:hAnsi="宋体"/>
          <w:color w:val="000000"/>
          <w:szCs w:val="24"/>
        </w:rPr>
      </w:pPr>
      <w:r>
        <w:rPr>
          <w:rFonts w:hint="eastAsia" w:hAnsi="宋体"/>
          <w:color w:val="000000"/>
          <w:szCs w:val="24"/>
        </w:rPr>
        <w:t>由表2.3-1可知，拟建工程的建设对环境的影响是多方面的，存在短期或长期的负面影响。施工期主要表现在对自然环境要素中的环境空气、地下水环境、声环境、土壤环境、生态环境要素中的地表扰动、土壤肥力、生物多样性、生物量损失、生态系统完整性等产生一定程度的负面影响；运营期对环境的影响是长期的，最主要的是对自然环境中的地下水环境、土壤环境、生态系统完整性等产生不同程度的直接的负面影响；退役期对环境的影响体现在对地下水环境的短期负面影响，以及对生态环境的长期正面影响</w:t>
      </w:r>
      <w:r>
        <w:rPr>
          <w:rFonts w:hint="eastAsia" w:hAnsi="宋体" w:cs="宋体"/>
          <w:color w:val="000000"/>
          <w:szCs w:val="24"/>
        </w:rPr>
        <w:t>。</w:t>
      </w:r>
    </w:p>
    <w:p w14:paraId="783A7C6B">
      <w:pPr>
        <w:spacing w:line="500" w:lineRule="exact"/>
        <w:outlineLvl w:val="2"/>
        <w:rPr>
          <w:rFonts w:hAnsi="宋体"/>
          <w:color w:val="000000"/>
          <w:szCs w:val="24"/>
        </w:rPr>
      </w:pPr>
      <w:r>
        <w:rPr>
          <w:rFonts w:hint="eastAsia" w:hAnsi="宋体"/>
          <w:color w:val="000000"/>
          <w:szCs w:val="24"/>
        </w:rPr>
        <w:t>2.3.2 评价因子</w:t>
      </w:r>
    </w:p>
    <w:p w14:paraId="1C0C01CB">
      <w:pPr>
        <w:spacing w:line="500" w:lineRule="exact"/>
        <w:ind w:firstLine="526" w:firstLineChars="200"/>
        <w:rPr>
          <w:rFonts w:hAnsi="宋体"/>
          <w:color w:val="000000"/>
          <w:szCs w:val="24"/>
        </w:rPr>
      </w:pPr>
      <w:r>
        <w:rPr>
          <w:rFonts w:hint="eastAsia" w:hAnsi="宋体"/>
          <w:color w:val="000000"/>
          <w:szCs w:val="24"/>
        </w:rPr>
        <w:t>根据环境影响因素识别结果，结合区域环境质量现状和《环境影响评价技术导则 陆地石油天然气开发建设项目》（HJ349-2023）附录B，以及拟建工程特点和污染物排放特征，确定拟建工程评价因子见表2.3-2。</w:t>
      </w:r>
    </w:p>
    <w:p w14:paraId="60FA9BBB">
      <w:pPr>
        <w:spacing w:line="500" w:lineRule="exact"/>
        <w:ind w:firstLine="526" w:firstLineChars="200"/>
        <w:rPr>
          <w:rFonts w:hint="eastAsia" w:ascii="黑体" w:hAnsi="宋体" w:eastAsia="黑体"/>
          <w:color w:val="000000"/>
          <w:szCs w:val="24"/>
        </w:rPr>
      </w:pPr>
      <w:r>
        <w:rPr>
          <w:rFonts w:hint="eastAsia" w:ascii="黑体" w:hAnsi="宋体" w:eastAsia="黑体"/>
          <w:color w:val="000000"/>
          <w:szCs w:val="24"/>
        </w:rPr>
        <w:t>表2.3-2     拟建工程评价因子一览表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542"/>
        <w:gridCol w:w="2489"/>
        <w:gridCol w:w="2489"/>
        <w:gridCol w:w="2490"/>
      </w:tblGrid>
      <w:tr w14:paraId="7FBDAB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Borders>
              <w:tl2br w:val="single" w:color="auto" w:sz="4" w:space="0"/>
            </w:tcBorders>
            <w:tcMar>
              <w:left w:w="28" w:type="dxa"/>
              <w:right w:w="28" w:type="dxa"/>
            </w:tcMar>
            <w:vAlign w:val="center"/>
          </w:tcPr>
          <w:p w14:paraId="1881FE66">
            <w:pPr>
              <w:spacing w:line="0" w:lineRule="atLeast"/>
              <w:ind w:firstLine="406" w:firstLineChars="200"/>
              <w:jc w:val="right"/>
              <w:rPr>
                <w:rFonts w:hAnsi="宋体"/>
                <w:color w:val="000000"/>
                <w:spacing w:val="-10"/>
                <w:sz w:val="21"/>
                <w:szCs w:val="21"/>
              </w:rPr>
            </w:pPr>
            <w:r>
              <w:rPr>
                <w:rFonts w:hint="eastAsia" w:hAnsi="宋体"/>
                <w:color w:val="000000"/>
                <w:spacing w:val="-10"/>
                <w:sz w:val="21"/>
                <w:szCs w:val="21"/>
              </w:rPr>
              <w:t>单项工程</w:t>
            </w:r>
          </w:p>
          <w:p w14:paraId="2FD28EC8">
            <w:pPr>
              <w:spacing w:line="0" w:lineRule="atLeast"/>
              <w:jc w:val="left"/>
              <w:rPr>
                <w:rFonts w:hint="eastAsia" w:hAnsi="宋体" w:cs="宋体"/>
                <w:color w:val="000000"/>
                <w:spacing w:val="-10"/>
                <w:sz w:val="21"/>
                <w:szCs w:val="21"/>
              </w:rPr>
            </w:pPr>
            <w:r>
              <w:rPr>
                <w:rFonts w:hint="eastAsia" w:hAnsi="宋体"/>
                <w:color w:val="000000"/>
                <w:spacing w:val="-10"/>
                <w:sz w:val="21"/>
                <w:szCs w:val="21"/>
              </w:rPr>
              <w:t>环境因素</w:t>
            </w:r>
          </w:p>
        </w:tc>
        <w:tc>
          <w:tcPr>
            <w:tcW w:w="4144" w:type="pct"/>
            <w:gridSpan w:val="3"/>
            <w:tcMar>
              <w:left w:w="28" w:type="dxa"/>
              <w:right w:w="28" w:type="dxa"/>
            </w:tcMar>
            <w:vAlign w:val="center"/>
          </w:tcPr>
          <w:p w14:paraId="42D67240">
            <w:pPr>
              <w:spacing w:line="0" w:lineRule="atLeast"/>
              <w:jc w:val="center"/>
              <w:rPr>
                <w:rFonts w:hint="eastAsia" w:hAnsi="宋体"/>
                <w:color w:val="000000"/>
                <w:spacing w:val="-10"/>
                <w:sz w:val="21"/>
                <w:szCs w:val="21"/>
              </w:rPr>
            </w:pPr>
            <w:r>
              <w:rPr>
                <w:rFonts w:hint="eastAsia" w:hAnsi="宋体"/>
                <w:color w:val="000000"/>
                <w:spacing w:val="-10"/>
                <w:sz w:val="21"/>
                <w:szCs w:val="21"/>
              </w:rPr>
              <w:t>油气集输工程</w:t>
            </w:r>
          </w:p>
        </w:tc>
      </w:tr>
      <w:tr w14:paraId="1D5B0E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77ABA01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时期</w:t>
            </w:r>
          </w:p>
        </w:tc>
        <w:tc>
          <w:tcPr>
            <w:tcW w:w="1381" w:type="pct"/>
            <w:tcMar>
              <w:left w:w="28" w:type="dxa"/>
              <w:right w:w="28" w:type="dxa"/>
            </w:tcMar>
            <w:vAlign w:val="center"/>
          </w:tcPr>
          <w:p w14:paraId="33860B0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c>
          <w:tcPr>
            <w:tcW w:w="1381" w:type="pct"/>
            <w:tcMar>
              <w:left w:w="28" w:type="dxa"/>
              <w:right w:w="28" w:type="dxa"/>
            </w:tcMar>
            <w:vAlign w:val="center"/>
          </w:tcPr>
          <w:p w14:paraId="7EC0FD8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运营期</w:t>
            </w:r>
          </w:p>
        </w:tc>
        <w:tc>
          <w:tcPr>
            <w:tcW w:w="1381" w:type="pct"/>
            <w:tcMar>
              <w:left w:w="28" w:type="dxa"/>
              <w:right w:w="28" w:type="dxa"/>
            </w:tcMar>
            <w:vAlign w:val="center"/>
          </w:tcPr>
          <w:p w14:paraId="2311B0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退役期</w:t>
            </w:r>
          </w:p>
        </w:tc>
      </w:tr>
      <w:tr w14:paraId="0630A0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3103C9F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大气</w:t>
            </w:r>
          </w:p>
        </w:tc>
        <w:tc>
          <w:tcPr>
            <w:tcW w:w="1381" w:type="pct"/>
            <w:tcMar>
              <w:left w:w="28" w:type="dxa"/>
              <w:right w:w="28" w:type="dxa"/>
            </w:tcMar>
            <w:vAlign w:val="center"/>
          </w:tcPr>
          <w:p w14:paraId="0C6C471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颗粒物</w:t>
            </w:r>
            <w:r>
              <w:rPr>
                <w:rFonts w:hint="eastAsia" w:hAnsi="宋体"/>
                <w:color w:val="000000"/>
                <w:sz w:val="21"/>
                <w:szCs w:val="21"/>
              </w:rPr>
              <w:t>、</w:t>
            </w:r>
            <w:r>
              <w:rPr>
                <w:rFonts w:hint="eastAsia" w:hAnsi="宋体" w:cs="宋体"/>
                <w:color w:val="000000"/>
                <w:sz w:val="21"/>
                <w:szCs w:val="21"/>
                <w:lang w:bidi="ar"/>
              </w:rPr>
              <w:t>SO</w:t>
            </w:r>
            <w:r>
              <w:rPr>
                <w:rFonts w:hint="eastAsia" w:hAnsi="宋体" w:cs="宋体"/>
                <w:color w:val="000000"/>
                <w:sz w:val="21"/>
                <w:szCs w:val="21"/>
                <w:vertAlign w:val="subscript"/>
                <w:lang w:bidi="ar"/>
              </w:rPr>
              <w:t>2</w:t>
            </w:r>
            <w:r>
              <w:rPr>
                <w:rFonts w:hint="eastAsia" w:hAnsi="宋体" w:cs="宋体"/>
                <w:color w:val="000000"/>
                <w:sz w:val="21"/>
                <w:szCs w:val="21"/>
                <w:lang w:bidi="ar"/>
              </w:rPr>
              <w:t>、NO</w:t>
            </w:r>
            <w:r>
              <w:rPr>
                <w:rFonts w:hint="eastAsia" w:hAnsi="宋体" w:cs="宋体"/>
                <w:color w:val="000000"/>
                <w:sz w:val="21"/>
                <w:szCs w:val="21"/>
                <w:vertAlign w:val="subscript"/>
                <w:lang w:bidi="ar"/>
              </w:rPr>
              <w:t>X</w:t>
            </w:r>
            <w:r>
              <w:rPr>
                <w:rFonts w:hint="eastAsia" w:hAnsi="宋体" w:cs="宋体"/>
                <w:color w:val="000000"/>
                <w:kern w:val="0"/>
                <w:sz w:val="21"/>
                <w:szCs w:val="21"/>
              </w:rPr>
              <w:t>、非甲烷总烃</w:t>
            </w:r>
          </w:p>
        </w:tc>
        <w:tc>
          <w:tcPr>
            <w:tcW w:w="1381" w:type="pct"/>
            <w:tcMar>
              <w:left w:w="28" w:type="dxa"/>
              <w:right w:w="28" w:type="dxa"/>
            </w:tcMar>
            <w:vAlign w:val="center"/>
          </w:tcPr>
          <w:p w14:paraId="32E46F92">
            <w:pPr>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c>
          <w:tcPr>
            <w:tcW w:w="1381" w:type="pct"/>
            <w:tcMar>
              <w:left w:w="28" w:type="dxa"/>
              <w:right w:w="28" w:type="dxa"/>
            </w:tcMar>
            <w:vAlign w:val="center"/>
          </w:tcPr>
          <w:p w14:paraId="63E690A8">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w:t>
            </w:r>
          </w:p>
        </w:tc>
      </w:tr>
      <w:tr w14:paraId="2B5F87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24B07F6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地表水</w:t>
            </w:r>
          </w:p>
        </w:tc>
        <w:tc>
          <w:tcPr>
            <w:tcW w:w="4144" w:type="pct"/>
            <w:gridSpan w:val="3"/>
            <w:tcMar>
              <w:left w:w="28" w:type="dxa"/>
              <w:right w:w="28" w:type="dxa"/>
            </w:tcMar>
            <w:vAlign w:val="center"/>
          </w:tcPr>
          <w:p w14:paraId="55062F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本项目不跨越、穿越地表水体，不设水文影响评价因子；无废水排放，不设污染影响评价因子。</w:t>
            </w:r>
          </w:p>
        </w:tc>
      </w:tr>
      <w:tr w14:paraId="2D292B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358405D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1381" w:type="pct"/>
            <w:tcMar>
              <w:left w:w="28" w:type="dxa"/>
              <w:right w:w="28" w:type="dxa"/>
            </w:tcMar>
            <w:vAlign w:val="center"/>
          </w:tcPr>
          <w:p w14:paraId="56AE25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耗氧量、氨氮、石油类</w:t>
            </w:r>
          </w:p>
        </w:tc>
        <w:tc>
          <w:tcPr>
            <w:tcW w:w="1381" w:type="pct"/>
            <w:tcMar>
              <w:left w:w="28" w:type="dxa"/>
              <w:right w:w="28" w:type="dxa"/>
            </w:tcMar>
            <w:vAlign w:val="center"/>
          </w:tcPr>
          <w:p w14:paraId="297729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石油类</w:t>
            </w:r>
          </w:p>
        </w:tc>
        <w:tc>
          <w:tcPr>
            <w:tcW w:w="1381" w:type="pct"/>
            <w:tcMar>
              <w:left w:w="28" w:type="dxa"/>
              <w:right w:w="28" w:type="dxa"/>
            </w:tcMar>
            <w:vAlign w:val="center"/>
          </w:tcPr>
          <w:p w14:paraId="22C04AA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石油类</w:t>
            </w:r>
          </w:p>
        </w:tc>
      </w:tr>
    </w:tbl>
    <w:p w14:paraId="6E5E1421">
      <w:pPr>
        <w:spacing w:line="500" w:lineRule="exact"/>
        <w:ind w:firstLine="526" w:firstLineChars="200"/>
        <w:rPr>
          <w:rFonts w:hint="eastAsia" w:ascii="黑体" w:hAnsi="宋体" w:eastAsia="黑体"/>
          <w:color w:val="000000"/>
          <w:szCs w:val="24"/>
        </w:rPr>
      </w:pPr>
      <w:bookmarkStart w:id="60" w:name="OLE_LINK6"/>
      <w:r>
        <w:br w:type="page"/>
      </w:r>
      <w:r>
        <w:rPr>
          <w:rFonts w:hint="eastAsia" w:ascii="黑体" w:hAnsi="宋体" w:eastAsia="黑体"/>
          <w:color w:val="000000"/>
          <w:szCs w:val="24"/>
        </w:rPr>
        <w:t>续表2.3-2     拟建工程评价因子一览表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542"/>
        <w:gridCol w:w="2489"/>
        <w:gridCol w:w="2489"/>
        <w:gridCol w:w="2490"/>
      </w:tblGrid>
      <w:tr w14:paraId="0E4F53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856" w:type="pct"/>
            <w:tcBorders>
              <w:tl2br w:val="single" w:color="auto" w:sz="4" w:space="0"/>
            </w:tcBorders>
            <w:tcMar>
              <w:left w:w="28" w:type="dxa"/>
              <w:right w:w="28" w:type="dxa"/>
            </w:tcMar>
            <w:vAlign w:val="center"/>
          </w:tcPr>
          <w:p w14:paraId="6765CC4D">
            <w:pPr>
              <w:spacing w:line="0" w:lineRule="atLeast"/>
              <w:ind w:firstLine="406" w:firstLineChars="200"/>
              <w:jc w:val="right"/>
              <w:rPr>
                <w:rFonts w:hAnsi="宋体"/>
                <w:color w:val="000000"/>
                <w:spacing w:val="-10"/>
                <w:sz w:val="21"/>
                <w:szCs w:val="21"/>
              </w:rPr>
            </w:pPr>
            <w:r>
              <w:rPr>
                <w:rFonts w:hint="eastAsia" w:hAnsi="宋体"/>
                <w:color w:val="000000"/>
                <w:spacing w:val="-10"/>
                <w:sz w:val="21"/>
                <w:szCs w:val="21"/>
              </w:rPr>
              <w:t>单项工程</w:t>
            </w:r>
          </w:p>
          <w:p w14:paraId="13531C39">
            <w:pPr>
              <w:spacing w:line="0" w:lineRule="atLeast"/>
              <w:jc w:val="left"/>
              <w:rPr>
                <w:rFonts w:hint="eastAsia" w:hAnsi="宋体" w:cs="宋体"/>
                <w:color w:val="000000"/>
                <w:spacing w:val="-10"/>
                <w:sz w:val="21"/>
                <w:szCs w:val="21"/>
              </w:rPr>
            </w:pPr>
            <w:r>
              <w:rPr>
                <w:rFonts w:hint="eastAsia" w:hAnsi="宋体"/>
                <w:color w:val="000000"/>
                <w:spacing w:val="-10"/>
                <w:sz w:val="21"/>
                <w:szCs w:val="21"/>
              </w:rPr>
              <w:t>环境因素</w:t>
            </w:r>
          </w:p>
        </w:tc>
        <w:tc>
          <w:tcPr>
            <w:tcW w:w="4144" w:type="pct"/>
            <w:gridSpan w:val="3"/>
            <w:tcMar>
              <w:left w:w="28" w:type="dxa"/>
              <w:right w:w="28" w:type="dxa"/>
            </w:tcMar>
            <w:vAlign w:val="center"/>
          </w:tcPr>
          <w:p w14:paraId="3E440D19">
            <w:pPr>
              <w:spacing w:line="0" w:lineRule="atLeast"/>
              <w:jc w:val="center"/>
              <w:rPr>
                <w:rFonts w:hint="eastAsia" w:hAnsi="宋体"/>
                <w:color w:val="000000"/>
                <w:spacing w:val="-10"/>
                <w:sz w:val="21"/>
                <w:szCs w:val="21"/>
              </w:rPr>
            </w:pPr>
            <w:r>
              <w:rPr>
                <w:rFonts w:hint="eastAsia" w:hAnsi="宋体"/>
                <w:color w:val="000000"/>
                <w:spacing w:val="-10"/>
                <w:sz w:val="21"/>
                <w:szCs w:val="21"/>
              </w:rPr>
              <w:t>油气集输工程</w:t>
            </w:r>
          </w:p>
        </w:tc>
      </w:tr>
      <w:tr w14:paraId="7664C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0CD1846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w:t>
            </w:r>
            <w:bookmarkEnd w:id="60"/>
            <w:r>
              <w:rPr>
                <w:rFonts w:hint="eastAsia" w:hAnsi="宋体" w:cs="宋体"/>
                <w:color w:val="000000"/>
                <w:spacing w:val="-10"/>
                <w:sz w:val="21"/>
                <w:szCs w:val="21"/>
              </w:rPr>
              <w:t>壤</w:t>
            </w:r>
          </w:p>
        </w:tc>
        <w:tc>
          <w:tcPr>
            <w:tcW w:w="1381" w:type="pct"/>
            <w:tcMar>
              <w:left w:w="28" w:type="dxa"/>
              <w:right w:w="28" w:type="dxa"/>
            </w:tcMar>
            <w:vAlign w:val="center"/>
          </w:tcPr>
          <w:p w14:paraId="4B93740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381" w:type="pct"/>
            <w:tcMar>
              <w:left w:w="28" w:type="dxa"/>
              <w:right w:w="28" w:type="dxa"/>
            </w:tcMar>
            <w:vAlign w:val="center"/>
          </w:tcPr>
          <w:p w14:paraId="0529BC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石油烃</w:t>
            </w:r>
          </w:p>
        </w:tc>
        <w:tc>
          <w:tcPr>
            <w:tcW w:w="1381" w:type="pct"/>
            <w:tcMar>
              <w:left w:w="28" w:type="dxa"/>
              <w:right w:w="28" w:type="dxa"/>
            </w:tcMar>
            <w:vAlign w:val="center"/>
          </w:tcPr>
          <w:p w14:paraId="72CD343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A29F0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1C4A8DC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w:t>
            </w:r>
          </w:p>
        </w:tc>
        <w:tc>
          <w:tcPr>
            <w:tcW w:w="1381" w:type="pct"/>
            <w:tcMar>
              <w:left w:w="28" w:type="dxa"/>
              <w:right w:w="28" w:type="dxa"/>
            </w:tcMar>
            <w:vAlign w:val="center"/>
          </w:tcPr>
          <w:p w14:paraId="4E6009B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地表扰动、土壤肥力、植被覆盖度、生物量损失、生物多样性、生态系统完整性</w:t>
            </w:r>
          </w:p>
        </w:tc>
        <w:tc>
          <w:tcPr>
            <w:tcW w:w="1381" w:type="pct"/>
            <w:tcMar>
              <w:left w:w="28" w:type="dxa"/>
              <w:right w:w="28" w:type="dxa"/>
            </w:tcMar>
            <w:vAlign w:val="center"/>
          </w:tcPr>
          <w:p w14:paraId="1BC920AA">
            <w:pPr>
              <w:spacing w:line="0" w:lineRule="atLeast"/>
              <w:jc w:val="center"/>
              <w:rPr>
                <w:rFonts w:hint="eastAsia" w:hAnsi="宋体" w:cs="宋体"/>
                <w:color w:val="000000"/>
                <w:spacing w:val="-10"/>
                <w:sz w:val="21"/>
                <w:szCs w:val="21"/>
              </w:rPr>
            </w:pPr>
            <w:r>
              <w:rPr>
                <w:rFonts w:hint="eastAsia" w:hAnsi="宋体" w:cs="Calibri"/>
                <w:color w:val="000000"/>
                <w:spacing w:val="-10"/>
                <w:sz w:val="21"/>
                <w:szCs w:val="21"/>
              </w:rPr>
              <w:t>生态系统完整性</w:t>
            </w:r>
          </w:p>
        </w:tc>
        <w:tc>
          <w:tcPr>
            <w:tcW w:w="1381" w:type="pct"/>
            <w:tcMar>
              <w:left w:w="28" w:type="dxa"/>
              <w:right w:w="28" w:type="dxa"/>
            </w:tcMar>
            <w:vAlign w:val="center"/>
          </w:tcPr>
          <w:p w14:paraId="7E273630">
            <w:pPr>
              <w:spacing w:line="0" w:lineRule="atLeast"/>
              <w:jc w:val="center"/>
              <w:rPr>
                <w:rFonts w:hAnsi="宋体" w:cs="Calibri"/>
                <w:color w:val="000000"/>
                <w:spacing w:val="-10"/>
                <w:sz w:val="21"/>
                <w:szCs w:val="21"/>
              </w:rPr>
            </w:pPr>
            <w:r>
              <w:rPr>
                <w:rFonts w:hint="eastAsia" w:hAnsi="宋体" w:cs="宋体"/>
                <w:color w:val="000000"/>
                <w:spacing w:val="-10"/>
                <w:sz w:val="21"/>
                <w:szCs w:val="21"/>
              </w:rPr>
              <w:t>—</w:t>
            </w:r>
          </w:p>
        </w:tc>
      </w:tr>
      <w:tr w14:paraId="40B42E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6" w:type="pct"/>
            <w:tcMar>
              <w:left w:w="28" w:type="dxa"/>
              <w:right w:w="28" w:type="dxa"/>
            </w:tcMar>
            <w:vAlign w:val="center"/>
          </w:tcPr>
          <w:p w14:paraId="0B82359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噪声</w:t>
            </w:r>
          </w:p>
        </w:tc>
        <w:tc>
          <w:tcPr>
            <w:tcW w:w="1381" w:type="pct"/>
            <w:tcMar>
              <w:left w:w="28" w:type="dxa"/>
              <w:right w:w="28" w:type="dxa"/>
            </w:tcMar>
            <w:vAlign w:val="center"/>
          </w:tcPr>
          <w:p w14:paraId="5BEB596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昼间等效声级（L</w:t>
            </w:r>
            <w:r>
              <w:rPr>
                <w:rFonts w:hint="eastAsia" w:hAnsi="宋体" w:cs="宋体"/>
                <w:color w:val="000000"/>
                <w:spacing w:val="-10"/>
                <w:sz w:val="21"/>
                <w:szCs w:val="21"/>
                <w:vertAlign w:val="subscript"/>
              </w:rPr>
              <w:t>d</w:t>
            </w:r>
            <w:r>
              <w:rPr>
                <w:rFonts w:hint="eastAsia" w:hAnsi="宋体" w:cs="宋体"/>
                <w:color w:val="000000"/>
                <w:spacing w:val="-10"/>
                <w:sz w:val="21"/>
                <w:szCs w:val="21"/>
              </w:rPr>
              <w:t>）、夜间等效声级（L</w:t>
            </w:r>
            <w:r>
              <w:rPr>
                <w:rFonts w:hint="eastAsia" w:hAnsi="宋体" w:cs="宋体"/>
                <w:color w:val="000000"/>
                <w:spacing w:val="-10"/>
                <w:sz w:val="21"/>
                <w:szCs w:val="21"/>
                <w:vertAlign w:val="subscript"/>
              </w:rPr>
              <w:t>n</w:t>
            </w:r>
            <w:r>
              <w:rPr>
                <w:rFonts w:hint="eastAsia" w:hAnsi="宋体" w:cs="宋体"/>
                <w:color w:val="000000"/>
                <w:spacing w:val="-10"/>
                <w:sz w:val="21"/>
                <w:szCs w:val="21"/>
              </w:rPr>
              <w:t>）</w:t>
            </w:r>
          </w:p>
        </w:tc>
        <w:tc>
          <w:tcPr>
            <w:tcW w:w="1381" w:type="pct"/>
            <w:tcMar>
              <w:left w:w="28" w:type="dxa"/>
              <w:right w:w="28" w:type="dxa"/>
            </w:tcMar>
            <w:vAlign w:val="center"/>
          </w:tcPr>
          <w:p w14:paraId="24ED9BD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381" w:type="pct"/>
            <w:tcMar>
              <w:left w:w="28" w:type="dxa"/>
              <w:right w:w="28" w:type="dxa"/>
            </w:tcMar>
            <w:vAlign w:val="center"/>
          </w:tcPr>
          <w:p w14:paraId="70B120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19EFFC69">
      <w:pPr>
        <w:spacing w:before="240" w:line="480" w:lineRule="exact"/>
        <w:outlineLvl w:val="1"/>
        <w:rPr>
          <w:rFonts w:hint="eastAsia" w:ascii="黑体" w:hAnsi="黑体" w:eastAsia="黑体" w:cs="黑体"/>
          <w:color w:val="000000"/>
          <w:sz w:val="28"/>
          <w:szCs w:val="28"/>
          <w:lang w:bidi="ar"/>
        </w:rPr>
      </w:pPr>
      <w:bookmarkStart w:id="61" w:name="_Toc38101961"/>
      <w:r>
        <w:fldChar w:fldCharType="begin"/>
      </w:r>
      <w:r>
        <w:instrText xml:space="preserve"> HYPERLINK \l "_Toc14939" </w:instrText>
      </w:r>
      <w:r>
        <w:fldChar w:fldCharType="separate"/>
      </w:r>
      <w:bookmarkStart w:id="62" w:name="_Toc198040312"/>
      <w:bookmarkStart w:id="63" w:name="_Toc230178778"/>
      <w:bookmarkStart w:id="64" w:name="_Toc198040168"/>
      <w:bookmarkStart w:id="65" w:name="_Toc208474661"/>
      <w:r>
        <w:rPr>
          <w:rFonts w:hint="eastAsia" w:ascii="黑体" w:hAnsi="黑体" w:eastAsia="黑体" w:cs="黑体"/>
          <w:color w:val="000000"/>
          <w:sz w:val="28"/>
          <w:szCs w:val="28"/>
          <w:lang w:bidi="ar"/>
        </w:rPr>
        <w:t>2.4 环境功能区划及评价标准</w:t>
      </w:r>
      <w:bookmarkEnd w:id="62"/>
      <w:bookmarkEnd w:id="63"/>
      <w:bookmarkEnd w:id="64"/>
      <w:bookmarkEnd w:id="65"/>
      <w:r>
        <w:rPr>
          <w:rFonts w:hint="eastAsia" w:ascii="黑体" w:hAnsi="黑体" w:eastAsia="黑体" w:cs="黑体"/>
          <w:color w:val="000000"/>
          <w:sz w:val="28"/>
          <w:szCs w:val="28"/>
          <w:lang w:bidi="ar"/>
        </w:rPr>
        <w:fldChar w:fldCharType="end"/>
      </w:r>
    </w:p>
    <w:p w14:paraId="2C3CF5A7">
      <w:pPr>
        <w:spacing w:line="480" w:lineRule="exact"/>
        <w:outlineLvl w:val="2"/>
        <w:rPr>
          <w:rFonts w:hAnsi="宋体"/>
          <w:color w:val="000000"/>
          <w:szCs w:val="24"/>
        </w:rPr>
      </w:pPr>
      <w:r>
        <w:rPr>
          <w:rFonts w:hint="eastAsia" w:hAnsi="宋体"/>
          <w:color w:val="000000"/>
          <w:szCs w:val="24"/>
        </w:rPr>
        <w:t>2.4.1 环境功能区划</w:t>
      </w:r>
    </w:p>
    <w:p w14:paraId="0CE64375">
      <w:pPr>
        <w:spacing w:line="480" w:lineRule="exact"/>
        <w:ind w:firstLine="526" w:firstLineChars="200"/>
        <w:rPr>
          <w:rFonts w:hint="eastAsia" w:hAnsi="宋体"/>
          <w:color w:val="000000"/>
          <w:szCs w:val="24"/>
        </w:rPr>
      </w:pPr>
      <w:r>
        <w:rPr>
          <w:rFonts w:hint="eastAsia" w:hAnsi="宋体"/>
          <w:color w:val="000000"/>
          <w:szCs w:val="24"/>
        </w:rPr>
        <w:t>拟建工程位于塔中Ⅰ号气田Ⅲ区内，属于油气勘探开发区域，区域环境空气质量功能属于《环境空气质量标准》（GB3095-2026）二类区；区域尚无地下水功能区划，根据《地下水质量标准》（GB/T14848-2017）地下水质量分类规定，地下水以工业用水为主，属于《地下水质量标准》（GB/T14848-2017）Ⅲ类区；项目周边区域以油气开发为主，区域声环境属于《声环境质量标准》（GB3096-2008）2类功能区。</w:t>
      </w:r>
    </w:p>
    <w:p w14:paraId="3522B0D4">
      <w:pPr>
        <w:spacing w:line="480" w:lineRule="exact"/>
        <w:outlineLvl w:val="2"/>
        <w:rPr>
          <w:rFonts w:hAnsi="宋体" w:cs="宋体"/>
          <w:color w:val="000000"/>
          <w:szCs w:val="24"/>
        </w:rPr>
      </w:pPr>
      <w:r>
        <w:rPr>
          <w:rFonts w:hint="eastAsia" w:hAnsi="宋体"/>
          <w:color w:val="000000"/>
          <w:szCs w:val="24"/>
        </w:rPr>
        <w:t xml:space="preserve">2.4.2 </w:t>
      </w:r>
      <w:r>
        <w:rPr>
          <w:rFonts w:hint="eastAsia" w:hAnsi="宋体" w:cs="宋体"/>
          <w:color w:val="000000"/>
          <w:szCs w:val="24"/>
        </w:rPr>
        <w:t>环境质量标准</w:t>
      </w:r>
    </w:p>
    <w:p w14:paraId="159909A3">
      <w:pPr>
        <w:spacing w:line="480" w:lineRule="exact"/>
        <w:ind w:firstLine="526" w:firstLineChars="200"/>
        <w:rPr>
          <w:rFonts w:hAnsi="宋体" w:cs="宋体"/>
          <w:color w:val="000000"/>
          <w:szCs w:val="24"/>
        </w:rPr>
      </w:pPr>
      <w:r>
        <w:rPr>
          <w:rFonts w:hint="eastAsia" w:hAnsi="宋体" w:cs="宋体"/>
          <w:color w:val="000000"/>
          <w:szCs w:val="24"/>
        </w:rPr>
        <w:t>环境空气：</w:t>
      </w:r>
      <w:r>
        <w:rPr>
          <w:rFonts w:hint="eastAsia"/>
          <w:color w:val="000000"/>
          <w:szCs w:val="24"/>
        </w:rPr>
        <w:t>PM</w:t>
      </w:r>
      <w:r>
        <w:rPr>
          <w:color w:val="000000"/>
          <w:szCs w:val="24"/>
          <w:vertAlign w:val="subscript"/>
        </w:rPr>
        <w:t>10</w:t>
      </w:r>
      <w:r>
        <w:rPr>
          <w:rFonts w:hint="eastAsia"/>
          <w:color w:val="000000"/>
          <w:szCs w:val="24"/>
        </w:rPr>
        <w:t>、PM</w:t>
      </w:r>
      <w:r>
        <w:rPr>
          <w:color w:val="000000"/>
          <w:szCs w:val="24"/>
          <w:vertAlign w:val="subscript"/>
        </w:rPr>
        <w:t>2.5</w:t>
      </w:r>
      <w:r>
        <w:rPr>
          <w:rFonts w:hint="eastAsia"/>
          <w:color w:val="000000"/>
          <w:szCs w:val="24"/>
        </w:rPr>
        <w:t>、SO</w:t>
      </w:r>
      <w:r>
        <w:rPr>
          <w:rFonts w:hint="eastAsia"/>
          <w:color w:val="000000"/>
          <w:szCs w:val="24"/>
          <w:vertAlign w:val="subscript"/>
        </w:rPr>
        <w:t>2</w:t>
      </w:r>
      <w:r>
        <w:rPr>
          <w:rFonts w:hint="eastAsia"/>
          <w:color w:val="000000"/>
          <w:szCs w:val="24"/>
        </w:rPr>
        <w:t>、NO</w:t>
      </w:r>
      <w:r>
        <w:rPr>
          <w:rFonts w:hint="eastAsia"/>
          <w:color w:val="000000"/>
          <w:szCs w:val="24"/>
          <w:vertAlign w:val="subscript"/>
        </w:rPr>
        <w:t>2</w:t>
      </w:r>
      <w:r>
        <w:rPr>
          <w:rFonts w:hint="eastAsia"/>
          <w:color w:val="000000"/>
          <w:szCs w:val="24"/>
        </w:rPr>
        <w:t>、CO、O</w:t>
      </w:r>
      <w:r>
        <w:rPr>
          <w:color w:val="000000"/>
          <w:szCs w:val="24"/>
          <w:vertAlign w:val="subscript"/>
        </w:rPr>
        <w:t>3</w:t>
      </w:r>
      <w:r>
        <w:rPr>
          <w:rFonts w:hint="eastAsia"/>
          <w:color w:val="000000"/>
          <w:szCs w:val="24"/>
          <w:lang w:bidi="ar"/>
        </w:rPr>
        <w:t>执行《环境空气质量标准》（GB3095-2026）过渡阶段二级标准</w:t>
      </w:r>
      <w:r>
        <w:rPr>
          <w:rFonts w:hint="eastAsia" w:hAnsi="宋体" w:cs="宋体"/>
          <w:color w:val="000000"/>
          <w:szCs w:val="24"/>
        </w:rPr>
        <w:t>。</w:t>
      </w:r>
    </w:p>
    <w:p w14:paraId="233948E7">
      <w:pPr>
        <w:spacing w:line="480" w:lineRule="exact"/>
        <w:ind w:firstLine="526" w:firstLineChars="200"/>
        <w:rPr>
          <w:rFonts w:hAnsi="宋体" w:cs="宋体"/>
          <w:color w:val="000000"/>
          <w:szCs w:val="24"/>
        </w:rPr>
      </w:pPr>
      <w:r>
        <w:rPr>
          <w:rFonts w:hint="eastAsia" w:hAnsi="宋体" w:cs="宋体"/>
          <w:color w:val="000000"/>
          <w:szCs w:val="24"/>
        </w:rPr>
        <w:t>地下水：项目所在区域地下水</w:t>
      </w:r>
      <w:r>
        <w:rPr>
          <w:rFonts w:hint="eastAsia" w:hAnsi="宋体" w:cs="宋体"/>
          <w:color w:val="000000"/>
          <w:szCs w:val="24"/>
          <w:lang w:bidi="ar"/>
        </w:rPr>
        <w:t>执行《地下水质量标准》（GB/T14848-2017）</w:t>
      </w:r>
      <w:r>
        <w:rPr>
          <w:rFonts w:hint="eastAsia" w:hAnsi="宋体"/>
          <w:color w:val="000000"/>
          <w:szCs w:val="24"/>
        </w:rPr>
        <w:t>Ⅲ</w:t>
      </w:r>
      <w:r>
        <w:rPr>
          <w:rFonts w:hint="eastAsia" w:hAnsi="宋体" w:cs="宋体"/>
          <w:color w:val="000000"/>
          <w:szCs w:val="24"/>
          <w:lang w:bidi="ar"/>
        </w:rPr>
        <w:t>类标准，石油类参照执行《地表水环境质量标准》（GB3838-2002）Ⅲ类标准。</w:t>
      </w:r>
    </w:p>
    <w:p w14:paraId="3319AA56">
      <w:pPr>
        <w:spacing w:line="480" w:lineRule="exact"/>
        <w:ind w:firstLine="526" w:firstLineChars="200"/>
        <w:rPr>
          <w:rFonts w:hAnsi="宋体" w:cs="宋体"/>
          <w:color w:val="000000"/>
          <w:szCs w:val="24"/>
        </w:rPr>
      </w:pPr>
      <w:r>
        <w:rPr>
          <w:rFonts w:hint="eastAsia" w:hAnsi="宋体" w:cs="宋体"/>
          <w:color w:val="000000"/>
          <w:szCs w:val="24"/>
        </w:rPr>
        <w:t>声环境：执行《声环境质量标准》（GB3096-2008）2类区标准。</w:t>
      </w:r>
    </w:p>
    <w:p w14:paraId="71E364B1">
      <w:pPr>
        <w:spacing w:line="480" w:lineRule="exact"/>
        <w:ind w:firstLine="526" w:firstLineChars="200"/>
        <w:rPr>
          <w:rFonts w:hAnsi="宋体" w:cs="宋体"/>
          <w:color w:val="000000"/>
          <w:szCs w:val="24"/>
        </w:rPr>
      </w:pPr>
      <w:r>
        <w:rPr>
          <w:rFonts w:hint="eastAsia" w:hAnsi="宋体" w:cs="宋体"/>
          <w:color w:val="000000"/>
          <w:szCs w:val="24"/>
        </w:rPr>
        <w:t>土壤：占地范围内土壤执行《土壤环境质量 建设用地土壤污染风险管控标准（试行）》（GB36600-2018）中第二类用地土壤污染风险筛选值。</w:t>
      </w:r>
    </w:p>
    <w:p w14:paraId="3C59C867">
      <w:pPr>
        <w:spacing w:line="480" w:lineRule="exact"/>
        <w:ind w:firstLine="526" w:firstLineChars="200"/>
        <w:rPr>
          <w:rFonts w:hAnsi="宋体" w:cs="宋体"/>
          <w:color w:val="000000"/>
          <w:szCs w:val="24"/>
        </w:rPr>
      </w:pPr>
      <w:r>
        <w:rPr>
          <w:rFonts w:hint="eastAsia" w:hAnsi="宋体" w:cs="宋体"/>
          <w:color w:val="000000"/>
          <w:szCs w:val="24"/>
        </w:rPr>
        <w:t>上述各标准的标准值见表2.4-1至表2.4-4。</w:t>
      </w:r>
    </w:p>
    <w:p w14:paraId="385FB785">
      <w:pPr>
        <w:pStyle w:val="23"/>
        <w:spacing w:line="480" w:lineRule="exact"/>
        <w:ind w:firstLine="526" w:firstLineChars="200"/>
        <w:rPr>
          <w:rFonts w:ascii="黑体" w:hAnsi="宋体" w:eastAsia="黑体"/>
          <w:color w:val="000000"/>
          <w:sz w:val="24"/>
          <w:szCs w:val="24"/>
        </w:rPr>
      </w:pPr>
      <w:bookmarkStart w:id="66" w:name="OLE_LINK10"/>
      <w:bookmarkStart w:id="67" w:name="OLE_LINK11"/>
      <w:r>
        <w:rPr>
          <w:rFonts w:hint="eastAsia" w:ascii="黑体" w:hAnsi="宋体" w:eastAsia="黑体"/>
          <w:color w:val="000000"/>
          <w:sz w:val="24"/>
          <w:szCs w:val="24"/>
        </w:rPr>
        <w:t>表2.4-1          环境质量标准一览表</w:t>
      </w:r>
    </w:p>
    <w:bookmarkEnd w:id="66"/>
    <w:bookmarkEnd w:id="67"/>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68"/>
        <w:gridCol w:w="826"/>
        <w:gridCol w:w="2116"/>
        <w:gridCol w:w="1360"/>
        <w:gridCol w:w="810"/>
        <w:gridCol w:w="3135"/>
      </w:tblGrid>
      <w:tr w14:paraId="37806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noWrap/>
            <w:tcMar>
              <w:left w:w="28" w:type="dxa"/>
              <w:right w:w="28" w:type="dxa"/>
            </w:tcMar>
            <w:vAlign w:val="center"/>
          </w:tcPr>
          <w:p w14:paraId="136EDF7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p w14:paraId="6622A8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要素</w:t>
            </w:r>
          </w:p>
        </w:tc>
        <w:tc>
          <w:tcPr>
            <w:tcW w:w="826" w:type="dxa"/>
            <w:noWrap/>
            <w:tcMar>
              <w:left w:w="28" w:type="dxa"/>
              <w:right w:w="28" w:type="dxa"/>
            </w:tcMar>
            <w:vAlign w:val="center"/>
          </w:tcPr>
          <w:p w14:paraId="18A603B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2116" w:type="dxa"/>
            <w:noWrap/>
            <w:tcMar>
              <w:left w:w="28" w:type="dxa"/>
              <w:right w:w="28" w:type="dxa"/>
            </w:tcMar>
            <w:vAlign w:val="center"/>
          </w:tcPr>
          <w:p w14:paraId="4D371D5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取值时间</w:t>
            </w:r>
          </w:p>
        </w:tc>
        <w:tc>
          <w:tcPr>
            <w:tcW w:w="1360" w:type="dxa"/>
            <w:noWrap/>
            <w:tcMar>
              <w:left w:w="28" w:type="dxa"/>
              <w:right w:w="28" w:type="dxa"/>
            </w:tcMar>
            <w:vAlign w:val="center"/>
          </w:tcPr>
          <w:p w14:paraId="3E7036F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二级标准</w:t>
            </w:r>
          </w:p>
        </w:tc>
        <w:tc>
          <w:tcPr>
            <w:tcW w:w="810" w:type="dxa"/>
            <w:noWrap/>
            <w:tcMar>
              <w:left w:w="28" w:type="dxa"/>
              <w:right w:w="28" w:type="dxa"/>
            </w:tcMar>
            <w:vAlign w:val="center"/>
          </w:tcPr>
          <w:p w14:paraId="02F49AC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3135" w:type="dxa"/>
            <w:noWrap/>
            <w:tcMar>
              <w:left w:w="28" w:type="dxa"/>
              <w:right w:w="28" w:type="dxa"/>
            </w:tcMar>
            <w:vAlign w:val="center"/>
          </w:tcPr>
          <w:p w14:paraId="4438048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标准来源</w:t>
            </w:r>
          </w:p>
        </w:tc>
      </w:tr>
      <w:tr w14:paraId="1E54B1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vMerge w:val="restart"/>
            <w:noWrap/>
            <w:tcMar>
              <w:left w:w="28" w:type="dxa"/>
              <w:right w:w="28" w:type="dxa"/>
            </w:tcMar>
            <w:vAlign w:val="center"/>
          </w:tcPr>
          <w:p w14:paraId="6B91362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p w14:paraId="56F469D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空气</w:t>
            </w:r>
          </w:p>
        </w:tc>
        <w:tc>
          <w:tcPr>
            <w:tcW w:w="826" w:type="dxa"/>
            <w:vMerge w:val="restart"/>
            <w:noWrap/>
            <w:tcMar>
              <w:left w:w="28" w:type="dxa"/>
              <w:right w:w="28" w:type="dxa"/>
            </w:tcMar>
            <w:vAlign w:val="center"/>
          </w:tcPr>
          <w:p w14:paraId="03A920C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10</w:t>
            </w:r>
          </w:p>
        </w:tc>
        <w:tc>
          <w:tcPr>
            <w:tcW w:w="2116" w:type="dxa"/>
            <w:noWrap/>
            <w:tcMar>
              <w:left w:w="28" w:type="dxa"/>
              <w:right w:w="28" w:type="dxa"/>
            </w:tcMar>
            <w:vAlign w:val="center"/>
          </w:tcPr>
          <w:p w14:paraId="50993F8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年平均</w:t>
            </w:r>
          </w:p>
        </w:tc>
        <w:tc>
          <w:tcPr>
            <w:tcW w:w="1360" w:type="dxa"/>
            <w:noWrap/>
            <w:tcMar>
              <w:left w:w="28" w:type="dxa"/>
              <w:right w:w="28" w:type="dxa"/>
            </w:tcMar>
            <w:vAlign w:val="center"/>
          </w:tcPr>
          <w:p w14:paraId="7C5D476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810" w:type="dxa"/>
            <w:vMerge w:val="restart"/>
            <w:noWrap/>
            <w:tcMar>
              <w:left w:w="28" w:type="dxa"/>
              <w:right w:w="28" w:type="dxa"/>
            </w:tcMar>
            <w:vAlign w:val="center"/>
          </w:tcPr>
          <w:p w14:paraId="6B8B388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p>
        </w:tc>
        <w:tc>
          <w:tcPr>
            <w:tcW w:w="3135" w:type="dxa"/>
            <w:vMerge w:val="restart"/>
            <w:noWrap/>
            <w:tcMar>
              <w:left w:w="28" w:type="dxa"/>
              <w:right w:w="28" w:type="dxa"/>
            </w:tcMar>
            <w:vAlign w:val="center"/>
          </w:tcPr>
          <w:p w14:paraId="064757D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《环境空气质量标准》（GB3095-2026）</w:t>
            </w:r>
          </w:p>
        </w:tc>
      </w:tr>
      <w:tr w14:paraId="4F05A1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vMerge w:val="continue"/>
            <w:noWrap/>
            <w:tcMar>
              <w:left w:w="28" w:type="dxa"/>
              <w:right w:w="28" w:type="dxa"/>
            </w:tcMar>
            <w:vAlign w:val="center"/>
          </w:tcPr>
          <w:p w14:paraId="0B37FB14">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69566FA8">
            <w:pPr>
              <w:pStyle w:val="136"/>
              <w:spacing w:line="0" w:lineRule="atLeast"/>
              <w:ind w:firstLine="0" w:firstLineChars="0"/>
              <w:jc w:val="center"/>
              <w:rPr>
                <w:rFonts w:hint="eastAsia" w:hAnsi="宋体" w:cs="宋体"/>
                <w:color w:val="000000"/>
                <w:spacing w:val="-10"/>
                <w:sz w:val="21"/>
                <w:szCs w:val="21"/>
              </w:rPr>
            </w:pPr>
          </w:p>
        </w:tc>
        <w:tc>
          <w:tcPr>
            <w:tcW w:w="2116" w:type="dxa"/>
            <w:noWrap/>
            <w:tcMar>
              <w:left w:w="28" w:type="dxa"/>
              <w:right w:w="28" w:type="dxa"/>
            </w:tcMar>
            <w:vAlign w:val="center"/>
          </w:tcPr>
          <w:p w14:paraId="3264470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24小时平均</w:t>
            </w:r>
          </w:p>
        </w:tc>
        <w:tc>
          <w:tcPr>
            <w:tcW w:w="1360" w:type="dxa"/>
            <w:noWrap/>
            <w:tcMar>
              <w:left w:w="28" w:type="dxa"/>
              <w:right w:w="28" w:type="dxa"/>
            </w:tcMar>
            <w:vAlign w:val="center"/>
          </w:tcPr>
          <w:p w14:paraId="1E84589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120</w:t>
            </w:r>
          </w:p>
        </w:tc>
        <w:tc>
          <w:tcPr>
            <w:tcW w:w="810" w:type="dxa"/>
            <w:vMerge w:val="continue"/>
            <w:noWrap/>
            <w:tcMar>
              <w:left w:w="28" w:type="dxa"/>
              <w:right w:w="28" w:type="dxa"/>
            </w:tcMar>
            <w:vAlign w:val="center"/>
          </w:tcPr>
          <w:p w14:paraId="328CDFB6">
            <w:pPr>
              <w:pStyle w:val="136"/>
              <w:spacing w:line="0" w:lineRule="atLeast"/>
              <w:ind w:firstLine="407"/>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2581414E">
            <w:pPr>
              <w:pStyle w:val="136"/>
              <w:spacing w:line="0" w:lineRule="atLeast"/>
              <w:ind w:firstLine="407"/>
              <w:jc w:val="center"/>
              <w:rPr>
                <w:rFonts w:hint="eastAsia" w:hAnsi="宋体" w:cs="宋体"/>
                <w:color w:val="000000"/>
                <w:spacing w:val="-10"/>
                <w:sz w:val="21"/>
                <w:szCs w:val="21"/>
              </w:rPr>
            </w:pPr>
          </w:p>
        </w:tc>
      </w:tr>
    </w:tbl>
    <w:p w14:paraId="6FBCAA49">
      <w:pPr>
        <w:pStyle w:val="23"/>
        <w:spacing w:line="480" w:lineRule="exact"/>
        <w:ind w:firstLine="546" w:firstLineChars="200"/>
        <w:rPr>
          <w:rFonts w:ascii="黑体" w:hAnsi="宋体" w:eastAsia="黑体"/>
          <w:color w:val="000000"/>
          <w:sz w:val="24"/>
          <w:szCs w:val="24"/>
        </w:rPr>
      </w:pPr>
      <w:r>
        <w:br w:type="page"/>
      </w:r>
      <w:r>
        <w:rPr>
          <w:rFonts w:hint="eastAsia" w:ascii="黑体" w:hAnsi="宋体" w:eastAsia="黑体"/>
          <w:color w:val="000000"/>
          <w:szCs w:val="24"/>
        </w:rPr>
        <w:t>续</w:t>
      </w:r>
      <w:r>
        <w:rPr>
          <w:rFonts w:hint="eastAsia" w:ascii="黑体" w:hAnsi="宋体" w:eastAsia="黑体"/>
          <w:color w:val="000000"/>
          <w:sz w:val="24"/>
          <w:szCs w:val="24"/>
        </w:rPr>
        <w:t>表2.4-1          环境质量标准一览表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17"/>
        <w:gridCol w:w="151"/>
        <w:gridCol w:w="826"/>
        <w:gridCol w:w="1078"/>
        <w:gridCol w:w="1038"/>
        <w:gridCol w:w="182"/>
        <w:gridCol w:w="1009"/>
        <w:gridCol w:w="169"/>
        <w:gridCol w:w="810"/>
        <w:gridCol w:w="3135"/>
      </w:tblGrid>
      <w:tr w14:paraId="074571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noWrap/>
            <w:tcMar>
              <w:left w:w="28" w:type="dxa"/>
              <w:right w:w="28" w:type="dxa"/>
            </w:tcMar>
            <w:vAlign w:val="center"/>
          </w:tcPr>
          <w:p w14:paraId="21DBEBB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p w14:paraId="33F8AC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要素</w:t>
            </w:r>
          </w:p>
        </w:tc>
        <w:tc>
          <w:tcPr>
            <w:tcW w:w="826" w:type="dxa"/>
            <w:noWrap/>
            <w:tcMar>
              <w:left w:w="28" w:type="dxa"/>
              <w:right w:w="28" w:type="dxa"/>
            </w:tcMar>
            <w:vAlign w:val="center"/>
          </w:tcPr>
          <w:p w14:paraId="4149E28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2116" w:type="dxa"/>
            <w:gridSpan w:val="2"/>
            <w:noWrap/>
            <w:tcMar>
              <w:left w:w="28" w:type="dxa"/>
              <w:right w:w="28" w:type="dxa"/>
            </w:tcMar>
            <w:vAlign w:val="center"/>
          </w:tcPr>
          <w:p w14:paraId="606C61F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取值时间</w:t>
            </w:r>
          </w:p>
        </w:tc>
        <w:tc>
          <w:tcPr>
            <w:tcW w:w="1360" w:type="dxa"/>
            <w:gridSpan w:val="3"/>
            <w:noWrap/>
            <w:tcMar>
              <w:left w:w="28" w:type="dxa"/>
              <w:right w:w="28" w:type="dxa"/>
            </w:tcMar>
            <w:vAlign w:val="center"/>
          </w:tcPr>
          <w:p w14:paraId="179FE02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二级标准</w:t>
            </w:r>
          </w:p>
        </w:tc>
        <w:tc>
          <w:tcPr>
            <w:tcW w:w="810" w:type="dxa"/>
            <w:noWrap/>
            <w:tcMar>
              <w:left w:w="28" w:type="dxa"/>
              <w:right w:w="28" w:type="dxa"/>
            </w:tcMar>
            <w:vAlign w:val="center"/>
          </w:tcPr>
          <w:p w14:paraId="29752AF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3135" w:type="dxa"/>
            <w:noWrap/>
            <w:tcMar>
              <w:left w:w="28" w:type="dxa"/>
              <w:right w:w="28" w:type="dxa"/>
            </w:tcMar>
            <w:vAlign w:val="center"/>
          </w:tcPr>
          <w:p w14:paraId="33C2B91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标准来源</w:t>
            </w:r>
          </w:p>
        </w:tc>
      </w:tr>
      <w:tr w14:paraId="358D57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vMerge w:val="restart"/>
            <w:noWrap/>
            <w:tcMar>
              <w:left w:w="28" w:type="dxa"/>
              <w:right w:w="28" w:type="dxa"/>
            </w:tcMar>
            <w:vAlign w:val="center"/>
          </w:tcPr>
          <w:p w14:paraId="2CDDA4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w:t>
            </w:r>
          </w:p>
          <w:p w14:paraId="0A47D8D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空气</w:t>
            </w:r>
          </w:p>
        </w:tc>
        <w:tc>
          <w:tcPr>
            <w:tcW w:w="826" w:type="dxa"/>
            <w:vMerge w:val="restart"/>
            <w:noWrap/>
            <w:tcMar>
              <w:left w:w="28" w:type="dxa"/>
              <w:right w:w="28" w:type="dxa"/>
            </w:tcMar>
            <w:vAlign w:val="center"/>
          </w:tcPr>
          <w:p w14:paraId="3E7ADAA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2.5</w:t>
            </w:r>
          </w:p>
        </w:tc>
        <w:tc>
          <w:tcPr>
            <w:tcW w:w="2116" w:type="dxa"/>
            <w:gridSpan w:val="2"/>
            <w:noWrap/>
            <w:tcMar>
              <w:left w:w="28" w:type="dxa"/>
              <w:right w:w="28" w:type="dxa"/>
            </w:tcMar>
            <w:vAlign w:val="center"/>
          </w:tcPr>
          <w:p w14:paraId="430D200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年平均</w:t>
            </w:r>
          </w:p>
        </w:tc>
        <w:tc>
          <w:tcPr>
            <w:tcW w:w="1360" w:type="dxa"/>
            <w:gridSpan w:val="3"/>
            <w:noWrap/>
            <w:tcMar>
              <w:left w:w="28" w:type="dxa"/>
              <w:right w:w="28" w:type="dxa"/>
            </w:tcMar>
            <w:vAlign w:val="center"/>
          </w:tcPr>
          <w:p w14:paraId="69E6519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810" w:type="dxa"/>
            <w:vMerge w:val="restart"/>
            <w:noWrap/>
            <w:tcMar>
              <w:left w:w="28" w:type="dxa"/>
              <w:right w:w="28" w:type="dxa"/>
            </w:tcMar>
            <w:vAlign w:val="center"/>
          </w:tcPr>
          <w:p w14:paraId="356CE53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p>
        </w:tc>
        <w:tc>
          <w:tcPr>
            <w:tcW w:w="3135" w:type="dxa"/>
            <w:vMerge w:val="restart"/>
            <w:noWrap/>
            <w:tcMar>
              <w:left w:w="28" w:type="dxa"/>
              <w:right w:w="28" w:type="dxa"/>
            </w:tcMar>
            <w:vAlign w:val="center"/>
          </w:tcPr>
          <w:p w14:paraId="5191866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《环境空气质量标准》（GB3095-2026）</w:t>
            </w:r>
          </w:p>
        </w:tc>
      </w:tr>
      <w:tr w14:paraId="4BD1D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vMerge w:val="continue"/>
            <w:noWrap/>
            <w:tcMar>
              <w:left w:w="28" w:type="dxa"/>
              <w:right w:w="28" w:type="dxa"/>
            </w:tcMar>
            <w:vAlign w:val="center"/>
          </w:tcPr>
          <w:p w14:paraId="6917FFD3">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3DAD6D08">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6CD85AB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24小时平均</w:t>
            </w:r>
          </w:p>
        </w:tc>
        <w:tc>
          <w:tcPr>
            <w:tcW w:w="1360" w:type="dxa"/>
            <w:gridSpan w:val="3"/>
            <w:noWrap/>
            <w:tcMar>
              <w:left w:w="28" w:type="dxa"/>
              <w:right w:w="28" w:type="dxa"/>
            </w:tcMar>
            <w:vAlign w:val="center"/>
          </w:tcPr>
          <w:p w14:paraId="058C8BE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810" w:type="dxa"/>
            <w:vMerge w:val="continue"/>
            <w:noWrap/>
            <w:tcMar>
              <w:left w:w="28" w:type="dxa"/>
              <w:right w:w="28" w:type="dxa"/>
            </w:tcMar>
            <w:vAlign w:val="center"/>
          </w:tcPr>
          <w:p w14:paraId="2F3030E4">
            <w:pPr>
              <w:pStyle w:val="136"/>
              <w:spacing w:line="0" w:lineRule="atLeast"/>
              <w:ind w:firstLine="407"/>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5892D8F6">
            <w:pPr>
              <w:pStyle w:val="136"/>
              <w:spacing w:line="0" w:lineRule="atLeast"/>
              <w:ind w:firstLine="407"/>
              <w:jc w:val="center"/>
              <w:rPr>
                <w:rFonts w:hint="eastAsia" w:hAnsi="宋体" w:cs="宋体"/>
                <w:color w:val="000000"/>
                <w:spacing w:val="-10"/>
                <w:sz w:val="21"/>
                <w:szCs w:val="21"/>
              </w:rPr>
            </w:pPr>
          </w:p>
        </w:tc>
      </w:tr>
      <w:tr w14:paraId="07B916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vMerge w:val="continue"/>
            <w:noWrap/>
            <w:tcMar>
              <w:left w:w="28" w:type="dxa"/>
              <w:right w:w="28" w:type="dxa"/>
            </w:tcMar>
            <w:vAlign w:val="center"/>
          </w:tcPr>
          <w:p w14:paraId="51A4A42F">
            <w:pPr>
              <w:spacing w:line="0" w:lineRule="atLeast"/>
              <w:jc w:val="center"/>
              <w:rPr>
                <w:rFonts w:hint="eastAsia" w:hAnsi="宋体" w:cs="宋体"/>
                <w:color w:val="000000"/>
                <w:spacing w:val="-10"/>
                <w:sz w:val="21"/>
                <w:szCs w:val="21"/>
              </w:rPr>
            </w:pPr>
          </w:p>
        </w:tc>
        <w:tc>
          <w:tcPr>
            <w:tcW w:w="826" w:type="dxa"/>
            <w:vMerge w:val="restart"/>
            <w:noWrap/>
            <w:tcMar>
              <w:left w:w="28" w:type="dxa"/>
              <w:right w:w="28" w:type="dxa"/>
            </w:tcMar>
            <w:vAlign w:val="center"/>
          </w:tcPr>
          <w:p w14:paraId="2F511BB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2</w:t>
            </w:r>
          </w:p>
        </w:tc>
        <w:tc>
          <w:tcPr>
            <w:tcW w:w="2116" w:type="dxa"/>
            <w:gridSpan w:val="2"/>
            <w:noWrap/>
            <w:tcMar>
              <w:left w:w="28" w:type="dxa"/>
              <w:right w:w="28" w:type="dxa"/>
            </w:tcMar>
            <w:vAlign w:val="center"/>
          </w:tcPr>
          <w:p w14:paraId="2E9C33D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年平均</w:t>
            </w:r>
          </w:p>
        </w:tc>
        <w:tc>
          <w:tcPr>
            <w:tcW w:w="1360" w:type="dxa"/>
            <w:gridSpan w:val="3"/>
            <w:noWrap/>
            <w:tcMar>
              <w:left w:w="28" w:type="dxa"/>
              <w:right w:w="28" w:type="dxa"/>
            </w:tcMar>
            <w:vAlign w:val="center"/>
          </w:tcPr>
          <w:p w14:paraId="2138109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810" w:type="dxa"/>
            <w:vMerge w:val="continue"/>
            <w:noWrap/>
            <w:tcMar>
              <w:left w:w="28" w:type="dxa"/>
              <w:right w:w="28" w:type="dxa"/>
            </w:tcMar>
            <w:vAlign w:val="center"/>
          </w:tcPr>
          <w:p w14:paraId="11E066E6">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762CE7E2">
            <w:pPr>
              <w:pStyle w:val="136"/>
              <w:spacing w:line="0" w:lineRule="atLeast"/>
              <w:ind w:firstLine="407"/>
              <w:jc w:val="center"/>
              <w:rPr>
                <w:rFonts w:hint="eastAsia" w:hAnsi="宋体" w:cs="宋体"/>
                <w:color w:val="000000"/>
                <w:spacing w:val="-10"/>
                <w:sz w:val="21"/>
                <w:szCs w:val="21"/>
              </w:rPr>
            </w:pPr>
          </w:p>
        </w:tc>
      </w:tr>
      <w:tr w14:paraId="79F9A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vMerge w:val="continue"/>
            <w:noWrap/>
            <w:tcMar>
              <w:left w:w="28" w:type="dxa"/>
              <w:right w:w="28" w:type="dxa"/>
            </w:tcMar>
            <w:vAlign w:val="center"/>
          </w:tcPr>
          <w:p w14:paraId="2D4046D1">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608EED1B">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0A06324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24小时平均</w:t>
            </w:r>
          </w:p>
        </w:tc>
        <w:tc>
          <w:tcPr>
            <w:tcW w:w="1360" w:type="dxa"/>
            <w:gridSpan w:val="3"/>
            <w:noWrap/>
            <w:tcMar>
              <w:left w:w="28" w:type="dxa"/>
              <w:right w:w="28" w:type="dxa"/>
            </w:tcMar>
            <w:vAlign w:val="center"/>
          </w:tcPr>
          <w:p w14:paraId="112C956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150</w:t>
            </w:r>
          </w:p>
        </w:tc>
        <w:tc>
          <w:tcPr>
            <w:tcW w:w="810" w:type="dxa"/>
            <w:vMerge w:val="continue"/>
            <w:noWrap/>
            <w:tcMar>
              <w:left w:w="28" w:type="dxa"/>
              <w:right w:w="28" w:type="dxa"/>
            </w:tcMar>
            <w:vAlign w:val="center"/>
          </w:tcPr>
          <w:p w14:paraId="1763833F">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7679B98C">
            <w:pPr>
              <w:pStyle w:val="136"/>
              <w:spacing w:line="0" w:lineRule="atLeast"/>
              <w:ind w:firstLine="407"/>
              <w:jc w:val="center"/>
              <w:rPr>
                <w:rFonts w:hint="eastAsia" w:hAnsi="宋体" w:cs="宋体"/>
                <w:color w:val="000000"/>
                <w:spacing w:val="-10"/>
                <w:sz w:val="21"/>
                <w:szCs w:val="21"/>
              </w:rPr>
            </w:pPr>
          </w:p>
        </w:tc>
      </w:tr>
      <w:tr w14:paraId="40676A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8" w:type="dxa"/>
            <w:gridSpan w:val="2"/>
            <w:vMerge w:val="continue"/>
            <w:noWrap/>
            <w:tcMar>
              <w:left w:w="28" w:type="dxa"/>
              <w:right w:w="28" w:type="dxa"/>
            </w:tcMar>
            <w:vAlign w:val="center"/>
          </w:tcPr>
          <w:p w14:paraId="1CBED982">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157DBDBE">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24F320F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1小时平均</w:t>
            </w:r>
          </w:p>
        </w:tc>
        <w:tc>
          <w:tcPr>
            <w:tcW w:w="1360" w:type="dxa"/>
            <w:gridSpan w:val="3"/>
            <w:noWrap/>
            <w:tcMar>
              <w:left w:w="28" w:type="dxa"/>
              <w:right w:w="28" w:type="dxa"/>
            </w:tcMar>
            <w:vAlign w:val="center"/>
          </w:tcPr>
          <w:p w14:paraId="43D404D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500</w:t>
            </w:r>
          </w:p>
        </w:tc>
        <w:tc>
          <w:tcPr>
            <w:tcW w:w="810" w:type="dxa"/>
            <w:vMerge w:val="continue"/>
            <w:noWrap/>
            <w:tcMar>
              <w:left w:w="28" w:type="dxa"/>
              <w:right w:w="28" w:type="dxa"/>
            </w:tcMar>
            <w:vAlign w:val="center"/>
          </w:tcPr>
          <w:p w14:paraId="4E8D28F6">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3FE2EE6E">
            <w:pPr>
              <w:pStyle w:val="136"/>
              <w:spacing w:line="0" w:lineRule="atLeast"/>
              <w:ind w:firstLine="407"/>
              <w:jc w:val="center"/>
              <w:rPr>
                <w:rFonts w:hint="eastAsia" w:hAnsi="宋体" w:cs="宋体"/>
                <w:color w:val="000000"/>
                <w:spacing w:val="-10"/>
                <w:sz w:val="21"/>
                <w:szCs w:val="21"/>
              </w:rPr>
            </w:pPr>
          </w:p>
        </w:tc>
      </w:tr>
      <w:tr w14:paraId="7BD617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37169F3C">
            <w:pPr>
              <w:spacing w:line="0" w:lineRule="atLeast"/>
              <w:jc w:val="center"/>
              <w:rPr>
                <w:rFonts w:hint="eastAsia" w:hAnsi="宋体" w:cs="宋体"/>
                <w:color w:val="000000"/>
                <w:spacing w:val="-10"/>
                <w:sz w:val="21"/>
                <w:szCs w:val="21"/>
              </w:rPr>
            </w:pPr>
          </w:p>
        </w:tc>
        <w:tc>
          <w:tcPr>
            <w:tcW w:w="826" w:type="dxa"/>
            <w:vMerge w:val="restart"/>
            <w:noWrap/>
            <w:tcMar>
              <w:left w:w="28" w:type="dxa"/>
              <w:right w:w="28" w:type="dxa"/>
            </w:tcMar>
            <w:vAlign w:val="center"/>
          </w:tcPr>
          <w:p w14:paraId="4378435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NO</w:t>
            </w:r>
            <w:r>
              <w:rPr>
                <w:rFonts w:hint="eastAsia" w:hAnsi="宋体" w:cs="宋体"/>
                <w:color w:val="000000"/>
                <w:spacing w:val="-10"/>
                <w:sz w:val="21"/>
                <w:szCs w:val="21"/>
                <w:vertAlign w:val="subscript"/>
              </w:rPr>
              <w:t>2</w:t>
            </w:r>
          </w:p>
        </w:tc>
        <w:tc>
          <w:tcPr>
            <w:tcW w:w="2116" w:type="dxa"/>
            <w:gridSpan w:val="2"/>
            <w:noWrap/>
            <w:tcMar>
              <w:left w:w="28" w:type="dxa"/>
              <w:right w:w="28" w:type="dxa"/>
            </w:tcMar>
            <w:vAlign w:val="center"/>
          </w:tcPr>
          <w:p w14:paraId="1CDFCEA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年平均</w:t>
            </w:r>
          </w:p>
        </w:tc>
        <w:tc>
          <w:tcPr>
            <w:tcW w:w="1360" w:type="dxa"/>
            <w:gridSpan w:val="3"/>
            <w:noWrap/>
            <w:tcMar>
              <w:left w:w="28" w:type="dxa"/>
              <w:right w:w="28" w:type="dxa"/>
            </w:tcMar>
            <w:vAlign w:val="center"/>
          </w:tcPr>
          <w:p w14:paraId="7CB9C90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810" w:type="dxa"/>
            <w:vMerge w:val="continue"/>
            <w:noWrap/>
            <w:tcMar>
              <w:left w:w="28" w:type="dxa"/>
              <w:right w:w="28" w:type="dxa"/>
            </w:tcMar>
            <w:vAlign w:val="center"/>
          </w:tcPr>
          <w:p w14:paraId="34815F0E">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4EC25D24">
            <w:pPr>
              <w:pStyle w:val="136"/>
              <w:spacing w:line="0" w:lineRule="atLeast"/>
              <w:ind w:firstLine="407"/>
              <w:jc w:val="center"/>
              <w:rPr>
                <w:rFonts w:hint="eastAsia" w:hAnsi="宋体" w:cs="宋体"/>
                <w:color w:val="000000"/>
                <w:spacing w:val="-10"/>
                <w:sz w:val="21"/>
                <w:szCs w:val="21"/>
              </w:rPr>
            </w:pPr>
          </w:p>
        </w:tc>
      </w:tr>
      <w:tr w14:paraId="28FF7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727573A6">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06938387">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4D34DC9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24小时平均</w:t>
            </w:r>
          </w:p>
        </w:tc>
        <w:tc>
          <w:tcPr>
            <w:tcW w:w="1360" w:type="dxa"/>
            <w:gridSpan w:val="3"/>
            <w:noWrap/>
            <w:tcMar>
              <w:left w:w="28" w:type="dxa"/>
              <w:right w:w="28" w:type="dxa"/>
            </w:tcMar>
            <w:vAlign w:val="center"/>
          </w:tcPr>
          <w:p w14:paraId="2824214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80</w:t>
            </w:r>
          </w:p>
        </w:tc>
        <w:tc>
          <w:tcPr>
            <w:tcW w:w="810" w:type="dxa"/>
            <w:vMerge w:val="continue"/>
            <w:noWrap/>
            <w:tcMar>
              <w:left w:w="28" w:type="dxa"/>
              <w:right w:w="28" w:type="dxa"/>
            </w:tcMar>
            <w:vAlign w:val="center"/>
          </w:tcPr>
          <w:p w14:paraId="70986F40">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2A963926">
            <w:pPr>
              <w:pStyle w:val="136"/>
              <w:spacing w:line="0" w:lineRule="atLeast"/>
              <w:ind w:firstLine="407"/>
              <w:jc w:val="center"/>
              <w:rPr>
                <w:rFonts w:hint="eastAsia" w:hAnsi="宋体" w:cs="宋体"/>
                <w:color w:val="000000"/>
                <w:spacing w:val="-10"/>
                <w:sz w:val="21"/>
                <w:szCs w:val="21"/>
              </w:rPr>
            </w:pPr>
          </w:p>
        </w:tc>
      </w:tr>
      <w:tr w14:paraId="3D4C7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273C062A">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0D8E4E38">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0BF4FCD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1小时平均</w:t>
            </w:r>
          </w:p>
        </w:tc>
        <w:tc>
          <w:tcPr>
            <w:tcW w:w="1360" w:type="dxa"/>
            <w:gridSpan w:val="3"/>
            <w:noWrap/>
            <w:tcMar>
              <w:left w:w="28" w:type="dxa"/>
              <w:right w:w="28" w:type="dxa"/>
            </w:tcMar>
            <w:vAlign w:val="center"/>
          </w:tcPr>
          <w:p w14:paraId="5B7834E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200</w:t>
            </w:r>
          </w:p>
        </w:tc>
        <w:tc>
          <w:tcPr>
            <w:tcW w:w="810" w:type="dxa"/>
            <w:vMerge w:val="continue"/>
            <w:noWrap/>
            <w:tcMar>
              <w:left w:w="28" w:type="dxa"/>
              <w:right w:w="28" w:type="dxa"/>
            </w:tcMar>
            <w:vAlign w:val="center"/>
          </w:tcPr>
          <w:p w14:paraId="5BB7572E">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64C13506">
            <w:pPr>
              <w:pStyle w:val="136"/>
              <w:spacing w:line="0" w:lineRule="atLeast"/>
              <w:ind w:firstLine="407"/>
              <w:jc w:val="center"/>
              <w:rPr>
                <w:rFonts w:hint="eastAsia" w:hAnsi="宋体" w:cs="宋体"/>
                <w:color w:val="000000"/>
                <w:spacing w:val="-10"/>
                <w:sz w:val="21"/>
                <w:szCs w:val="21"/>
              </w:rPr>
            </w:pPr>
          </w:p>
        </w:tc>
      </w:tr>
      <w:tr w14:paraId="16CC3B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09CD6A44">
            <w:pPr>
              <w:spacing w:line="0" w:lineRule="atLeast"/>
              <w:jc w:val="center"/>
              <w:rPr>
                <w:rFonts w:hint="eastAsia" w:hAnsi="宋体" w:cs="宋体"/>
                <w:color w:val="000000"/>
                <w:spacing w:val="-10"/>
                <w:sz w:val="21"/>
                <w:szCs w:val="21"/>
              </w:rPr>
            </w:pPr>
          </w:p>
        </w:tc>
        <w:tc>
          <w:tcPr>
            <w:tcW w:w="826" w:type="dxa"/>
            <w:vMerge w:val="restart"/>
            <w:noWrap/>
            <w:tcMar>
              <w:left w:w="28" w:type="dxa"/>
              <w:right w:w="28" w:type="dxa"/>
            </w:tcMar>
            <w:vAlign w:val="center"/>
          </w:tcPr>
          <w:p w14:paraId="2CCA66A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CO</w:t>
            </w:r>
          </w:p>
        </w:tc>
        <w:tc>
          <w:tcPr>
            <w:tcW w:w="2116" w:type="dxa"/>
            <w:gridSpan w:val="2"/>
            <w:noWrap/>
            <w:tcMar>
              <w:left w:w="28" w:type="dxa"/>
              <w:right w:w="28" w:type="dxa"/>
            </w:tcMar>
            <w:vAlign w:val="center"/>
          </w:tcPr>
          <w:p w14:paraId="6E441F9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24小时平均</w:t>
            </w:r>
          </w:p>
        </w:tc>
        <w:tc>
          <w:tcPr>
            <w:tcW w:w="1360" w:type="dxa"/>
            <w:gridSpan w:val="3"/>
            <w:noWrap/>
            <w:tcMar>
              <w:left w:w="28" w:type="dxa"/>
              <w:right w:w="28" w:type="dxa"/>
            </w:tcMar>
            <w:vAlign w:val="center"/>
          </w:tcPr>
          <w:p w14:paraId="1C2FA3D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810" w:type="dxa"/>
            <w:vMerge w:val="restart"/>
            <w:noWrap/>
            <w:tcMar>
              <w:left w:w="28" w:type="dxa"/>
              <w:right w:w="28" w:type="dxa"/>
            </w:tcMar>
            <w:vAlign w:val="center"/>
          </w:tcPr>
          <w:p w14:paraId="1ADEDBB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mg/m</w:t>
            </w:r>
            <w:r>
              <w:rPr>
                <w:rFonts w:hint="eastAsia" w:hAnsi="宋体" w:cs="宋体"/>
                <w:color w:val="000000"/>
                <w:spacing w:val="-10"/>
                <w:sz w:val="21"/>
                <w:szCs w:val="21"/>
                <w:vertAlign w:val="superscript"/>
              </w:rPr>
              <w:t>3</w:t>
            </w:r>
          </w:p>
        </w:tc>
        <w:tc>
          <w:tcPr>
            <w:tcW w:w="3135" w:type="dxa"/>
            <w:vMerge w:val="continue"/>
            <w:noWrap/>
            <w:tcMar>
              <w:left w:w="28" w:type="dxa"/>
              <w:right w:w="28" w:type="dxa"/>
            </w:tcMar>
            <w:vAlign w:val="center"/>
          </w:tcPr>
          <w:p w14:paraId="760D7836">
            <w:pPr>
              <w:pStyle w:val="136"/>
              <w:spacing w:line="0" w:lineRule="atLeast"/>
              <w:ind w:firstLine="0" w:firstLineChars="0"/>
              <w:jc w:val="center"/>
              <w:rPr>
                <w:rFonts w:hint="eastAsia" w:hAnsi="宋体" w:cs="宋体"/>
                <w:color w:val="000000"/>
                <w:spacing w:val="-10"/>
                <w:sz w:val="21"/>
                <w:szCs w:val="21"/>
              </w:rPr>
            </w:pPr>
          </w:p>
        </w:tc>
      </w:tr>
      <w:tr w14:paraId="772460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0F4A9825">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57833A3B">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70B697F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1小时平均</w:t>
            </w:r>
          </w:p>
        </w:tc>
        <w:tc>
          <w:tcPr>
            <w:tcW w:w="1360" w:type="dxa"/>
            <w:gridSpan w:val="3"/>
            <w:noWrap/>
            <w:tcMar>
              <w:left w:w="28" w:type="dxa"/>
              <w:right w:w="28" w:type="dxa"/>
            </w:tcMar>
            <w:vAlign w:val="center"/>
          </w:tcPr>
          <w:p w14:paraId="1F7FE11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810" w:type="dxa"/>
            <w:vMerge w:val="continue"/>
            <w:noWrap/>
            <w:tcMar>
              <w:left w:w="28" w:type="dxa"/>
              <w:right w:w="28" w:type="dxa"/>
            </w:tcMar>
            <w:vAlign w:val="center"/>
          </w:tcPr>
          <w:p w14:paraId="023393D6">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67FEB2C5">
            <w:pPr>
              <w:pStyle w:val="136"/>
              <w:spacing w:line="0" w:lineRule="atLeast"/>
              <w:ind w:firstLine="0" w:firstLineChars="0"/>
              <w:jc w:val="center"/>
              <w:rPr>
                <w:rFonts w:hint="eastAsia" w:hAnsi="宋体" w:cs="宋体"/>
                <w:color w:val="000000"/>
                <w:spacing w:val="-10"/>
                <w:sz w:val="21"/>
                <w:szCs w:val="21"/>
              </w:rPr>
            </w:pPr>
          </w:p>
        </w:tc>
      </w:tr>
      <w:tr w14:paraId="57FA37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6CEB2FC9">
            <w:pPr>
              <w:spacing w:line="0" w:lineRule="atLeast"/>
              <w:jc w:val="center"/>
              <w:rPr>
                <w:rFonts w:hint="eastAsia" w:hAnsi="宋体" w:cs="宋体"/>
                <w:color w:val="000000"/>
                <w:spacing w:val="-10"/>
                <w:sz w:val="21"/>
                <w:szCs w:val="21"/>
              </w:rPr>
            </w:pPr>
          </w:p>
        </w:tc>
        <w:tc>
          <w:tcPr>
            <w:tcW w:w="826" w:type="dxa"/>
            <w:vMerge w:val="restart"/>
            <w:noWrap/>
            <w:tcMar>
              <w:left w:w="28" w:type="dxa"/>
              <w:right w:w="28" w:type="dxa"/>
            </w:tcMar>
            <w:vAlign w:val="center"/>
          </w:tcPr>
          <w:p w14:paraId="21146F5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O</w:t>
            </w:r>
            <w:r>
              <w:rPr>
                <w:rFonts w:hint="eastAsia" w:hAnsi="宋体" w:cs="宋体"/>
                <w:color w:val="000000"/>
                <w:spacing w:val="-10"/>
                <w:sz w:val="21"/>
                <w:szCs w:val="21"/>
                <w:vertAlign w:val="subscript"/>
              </w:rPr>
              <w:t>3</w:t>
            </w:r>
          </w:p>
        </w:tc>
        <w:tc>
          <w:tcPr>
            <w:tcW w:w="2116" w:type="dxa"/>
            <w:gridSpan w:val="2"/>
            <w:noWrap/>
            <w:tcMar>
              <w:left w:w="28" w:type="dxa"/>
              <w:right w:w="28" w:type="dxa"/>
            </w:tcMar>
            <w:vAlign w:val="center"/>
          </w:tcPr>
          <w:p w14:paraId="4A734E1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日最大8小时平均</w:t>
            </w:r>
          </w:p>
        </w:tc>
        <w:tc>
          <w:tcPr>
            <w:tcW w:w="1360" w:type="dxa"/>
            <w:gridSpan w:val="3"/>
            <w:noWrap/>
            <w:tcMar>
              <w:left w:w="28" w:type="dxa"/>
              <w:right w:w="28" w:type="dxa"/>
            </w:tcMar>
            <w:vAlign w:val="center"/>
          </w:tcPr>
          <w:p w14:paraId="189990B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160</w:t>
            </w:r>
          </w:p>
        </w:tc>
        <w:tc>
          <w:tcPr>
            <w:tcW w:w="810" w:type="dxa"/>
            <w:vMerge w:val="restart"/>
            <w:noWrap/>
            <w:tcMar>
              <w:left w:w="28" w:type="dxa"/>
              <w:right w:w="28" w:type="dxa"/>
            </w:tcMar>
            <w:vAlign w:val="center"/>
          </w:tcPr>
          <w:p w14:paraId="41FB794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p>
        </w:tc>
        <w:tc>
          <w:tcPr>
            <w:tcW w:w="3135" w:type="dxa"/>
            <w:vMerge w:val="continue"/>
            <w:noWrap/>
            <w:tcMar>
              <w:left w:w="28" w:type="dxa"/>
              <w:right w:w="28" w:type="dxa"/>
            </w:tcMar>
            <w:vAlign w:val="center"/>
          </w:tcPr>
          <w:p w14:paraId="6CFF7D1D">
            <w:pPr>
              <w:pStyle w:val="136"/>
              <w:spacing w:line="0" w:lineRule="atLeast"/>
              <w:ind w:firstLine="407"/>
              <w:jc w:val="center"/>
              <w:rPr>
                <w:rFonts w:hint="eastAsia" w:hAnsi="宋体" w:cs="宋体"/>
                <w:color w:val="000000"/>
                <w:spacing w:val="-10"/>
                <w:sz w:val="21"/>
                <w:szCs w:val="21"/>
              </w:rPr>
            </w:pPr>
          </w:p>
        </w:tc>
      </w:tr>
      <w:tr w14:paraId="2BD9D7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768" w:type="dxa"/>
            <w:gridSpan w:val="2"/>
            <w:vMerge w:val="continue"/>
            <w:noWrap/>
            <w:tcMar>
              <w:left w:w="28" w:type="dxa"/>
              <w:right w:w="28" w:type="dxa"/>
            </w:tcMar>
            <w:vAlign w:val="center"/>
          </w:tcPr>
          <w:p w14:paraId="51F296DD">
            <w:pPr>
              <w:spacing w:line="0" w:lineRule="atLeast"/>
              <w:jc w:val="center"/>
              <w:rPr>
                <w:rFonts w:hint="eastAsia" w:hAnsi="宋体" w:cs="宋体"/>
                <w:color w:val="000000"/>
                <w:spacing w:val="-10"/>
                <w:sz w:val="21"/>
                <w:szCs w:val="21"/>
              </w:rPr>
            </w:pPr>
          </w:p>
        </w:tc>
        <w:tc>
          <w:tcPr>
            <w:tcW w:w="826" w:type="dxa"/>
            <w:vMerge w:val="continue"/>
            <w:noWrap/>
            <w:tcMar>
              <w:left w:w="28" w:type="dxa"/>
              <w:right w:w="28" w:type="dxa"/>
            </w:tcMar>
            <w:vAlign w:val="center"/>
          </w:tcPr>
          <w:p w14:paraId="39B3ADD3">
            <w:pPr>
              <w:pStyle w:val="136"/>
              <w:spacing w:line="0" w:lineRule="atLeast"/>
              <w:ind w:firstLine="0" w:firstLineChars="0"/>
              <w:jc w:val="center"/>
              <w:rPr>
                <w:rFonts w:hint="eastAsia" w:hAnsi="宋体" w:cs="宋体"/>
                <w:color w:val="000000"/>
                <w:spacing w:val="-10"/>
                <w:sz w:val="21"/>
                <w:szCs w:val="21"/>
              </w:rPr>
            </w:pPr>
          </w:p>
        </w:tc>
        <w:tc>
          <w:tcPr>
            <w:tcW w:w="2116" w:type="dxa"/>
            <w:gridSpan w:val="2"/>
            <w:noWrap/>
            <w:tcMar>
              <w:left w:w="28" w:type="dxa"/>
              <w:right w:w="28" w:type="dxa"/>
            </w:tcMar>
            <w:vAlign w:val="center"/>
          </w:tcPr>
          <w:p w14:paraId="6446003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1小时平均</w:t>
            </w:r>
          </w:p>
        </w:tc>
        <w:tc>
          <w:tcPr>
            <w:tcW w:w="1360" w:type="dxa"/>
            <w:gridSpan w:val="3"/>
            <w:noWrap/>
            <w:tcMar>
              <w:left w:w="28" w:type="dxa"/>
              <w:right w:w="28" w:type="dxa"/>
            </w:tcMar>
            <w:vAlign w:val="center"/>
          </w:tcPr>
          <w:p w14:paraId="4A972F0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200</w:t>
            </w:r>
          </w:p>
        </w:tc>
        <w:tc>
          <w:tcPr>
            <w:tcW w:w="810" w:type="dxa"/>
            <w:vMerge w:val="continue"/>
            <w:noWrap/>
            <w:tcMar>
              <w:left w:w="28" w:type="dxa"/>
              <w:right w:w="28" w:type="dxa"/>
            </w:tcMar>
            <w:vAlign w:val="center"/>
          </w:tcPr>
          <w:p w14:paraId="13BA4A98">
            <w:pPr>
              <w:pStyle w:val="136"/>
              <w:spacing w:line="0" w:lineRule="atLeast"/>
              <w:ind w:firstLine="0" w:firstLineChars="0"/>
              <w:jc w:val="center"/>
              <w:rPr>
                <w:rFonts w:hint="eastAsia" w:hAnsi="宋体" w:cs="宋体"/>
                <w:color w:val="000000"/>
                <w:spacing w:val="-10"/>
                <w:sz w:val="21"/>
                <w:szCs w:val="21"/>
              </w:rPr>
            </w:pPr>
          </w:p>
        </w:tc>
        <w:tc>
          <w:tcPr>
            <w:tcW w:w="3135" w:type="dxa"/>
            <w:vMerge w:val="continue"/>
            <w:noWrap/>
            <w:tcMar>
              <w:left w:w="28" w:type="dxa"/>
              <w:right w:w="28" w:type="dxa"/>
            </w:tcMar>
            <w:vAlign w:val="center"/>
          </w:tcPr>
          <w:p w14:paraId="189AC7DE">
            <w:pPr>
              <w:pStyle w:val="136"/>
              <w:spacing w:line="0" w:lineRule="atLeast"/>
              <w:ind w:firstLine="0" w:firstLineChars="0"/>
              <w:jc w:val="center"/>
              <w:rPr>
                <w:rFonts w:hint="eastAsia" w:hAnsi="宋体" w:cs="宋体"/>
                <w:color w:val="000000"/>
                <w:spacing w:val="-10"/>
                <w:sz w:val="21"/>
                <w:szCs w:val="21"/>
              </w:rPr>
            </w:pPr>
          </w:p>
        </w:tc>
      </w:tr>
      <w:tr w14:paraId="135105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tcBorders>
              <w:top w:val="double" w:color="auto" w:sz="4" w:space="0"/>
            </w:tcBorders>
            <w:noWrap/>
            <w:tcMar>
              <w:left w:w="28" w:type="dxa"/>
              <w:right w:w="28" w:type="dxa"/>
            </w:tcMar>
            <w:vAlign w:val="center"/>
          </w:tcPr>
          <w:p w14:paraId="6BD6DF9A">
            <w:pPr>
              <w:spacing w:line="0" w:lineRule="atLeast"/>
              <w:jc w:val="center"/>
              <w:rPr>
                <w:rFonts w:hint="eastAsia" w:hAnsi="宋体" w:cs="宋体"/>
                <w:color w:val="000000"/>
                <w:spacing w:val="-10"/>
                <w:sz w:val="21"/>
                <w:szCs w:val="21"/>
              </w:rPr>
            </w:pPr>
            <w:bookmarkStart w:id="68" w:name="OLE_LINK7"/>
            <w:r>
              <w:rPr>
                <w:rFonts w:hint="eastAsia" w:hAnsi="宋体" w:cs="宋体"/>
                <w:color w:val="000000"/>
                <w:spacing w:val="-10"/>
                <w:sz w:val="21"/>
                <w:szCs w:val="21"/>
              </w:rPr>
              <w:t>环境要素</w:t>
            </w:r>
          </w:p>
        </w:tc>
        <w:tc>
          <w:tcPr>
            <w:tcW w:w="2055" w:type="dxa"/>
            <w:gridSpan w:val="3"/>
            <w:tcBorders>
              <w:top w:val="double" w:color="auto" w:sz="4" w:space="0"/>
            </w:tcBorders>
            <w:noWrap/>
            <w:tcMar>
              <w:left w:w="28" w:type="dxa"/>
              <w:right w:w="28" w:type="dxa"/>
            </w:tcMar>
            <w:vAlign w:val="center"/>
          </w:tcPr>
          <w:p w14:paraId="10CA25E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1220" w:type="dxa"/>
            <w:gridSpan w:val="2"/>
            <w:tcBorders>
              <w:top w:val="double" w:color="auto" w:sz="4" w:space="0"/>
            </w:tcBorders>
            <w:noWrap/>
            <w:tcMar>
              <w:left w:w="28" w:type="dxa"/>
              <w:right w:w="28" w:type="dxa"/>
            </w:tcMar>
            <w:vAlign w:val="center"/>
          </w:tcPr>
          <w:p w14:paraId="444B455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  准</w:t>
            </w:r>
          </w:p>
        </w:tc>
        <w:tc>
          <w:tcPr>
            <w:tcW w:w="1009" w:type="dxa"/>
            <w:tcBorders>
              <w:top w:val="double" w:color="auto" w:sz="4" w:space="0"/>
            </w:tcBorders>
            <w:noWrap/>
            <w:tcMar>
              <w:left w:w="28" w:type="dxa"/>
              <w:right w:w="28" w:type="dxa"/>
            </w:tcMar>
            <w:vAlign w:val="center"/>
          </w:tcPr>
          <w:p w14:paraId="7CF35F1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4114" w:type="dxa"/>
            <w:gridSpan w:val="3"/>
            <w:tcBorders>
              <w:top w:val="double" w:color="auto" w:sz="4" w:space="0"/>
            </w:tcBorders>
            <w:noWrap/>
            <w:tcMar>
              <w:left w:w="28" w:type="dxa"/>
              <w:right w:w="28" w:type="dxa"/>
            </w:tcMar>
            <w:vAlign w:val="center"/>
          </w:tcPr>
          <w:p w14:paraId="0B5BBC3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标准来源</w:t>
            </w:r>
          </w:p>
        </w:tc>
      </w:tr>
      <w:bookmarkEnd w:id="68"/>
      <w:tr w14:paraId="7DEA0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restart"/>
            <w:noWrap/>
            <w:tcMar>
              <w:left w:w="28" w:type="dxa"/>
              <w:right w:w="28" w:type="dxa"/>
            </w:tcMar>
            <w:vAlign w:val="center"/>
          </w:tcPr>
          <w:p w14:paraId="39F7C31E">
            <w:pPr>
              <w:pStyle w:val="136"/>
              <w:spacing w:line="0" w:lineRule="atLeast"/>
              <w:ind w:firstLine="0" w:firstLineChars="0"/>
              <w:jc w:val="center"/>
              <w:rPr>
                <w:rFonts w:hint="eastAsia" w:hAnsi="宋体" w:cs="宋体"/>
                <w:color w:val="000000"/>
                <w:spacing w:val="-10"/>
                <w:sz w:val="21"/>
                <w:szCs w:val="21"/>
              </w:rPr>
            </w:pPr>
            <w:bookmarkStart w:id="69" w:name="OLE_LINK9"/>
            <w:bookmarkStart w:id="70" w:name="OLE_LINK8"/>
            <w:r>
              <w:rPr>
                <w:rFonts w:hint="eastAsia" w:hAnsi="宋体" w:cs="宋体"/>
                <w:color w:val="000000"/>
                <w:spacing w:val="-10"/>
                <w:sz w:val="21"/>
                <w:szCs w:val="21"/>
              </w:rPr>
              <w:t>地下水</w:t>
            </w:r>
            <w:bookmarkEnd w:id="69"/>
            <w:bookmarkEnd w:id="70"/>
          </w:p>
        </w:tc>
        <w:tc>
          <w:tcPr>
            <w:tcW w:w="2055" w:type="dxa"/>
            <w:gridSpan w:val="3"/>
            <w:noWrap/>
            <w:tcMar>
              <w:left w:w="28" w:type="dxa"/>
              <w:right w:w="28" w:type="dxa"/>
            </w:tcMar>
            <w:vAlign w:val="center"/>
          </w:tcPr>
          <w:p w14:paraId="01975E2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色</w:t>
            </w:r>
          </w:p>
        </w:tc>
        <w:tc>
          <w:tcPr>
            <w:tcW w:w="1220" w:type="dxa"/>
            <w:gridSpan w:val="2"/>
            <w:noWrap/>
            <w:tcMar>
              <w:left w:w="28" w:type="dxa"/>
              <w:right w:w="28" w:type="dxa"/>
            </w:tcMar>
            <w:vAlign w:val="center"/>
          </w:tcPr>
          <w:p w14:paraId="3EFBFAD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1009" w:type="dxa"/>
            <w:noWrap/>
            <w:tcMar>
              <w:left w:w="28" w:type="dxa"/>
              <w:right w:w="28" w:type="dxa"/>
            </w:tcMar>
            <w:vAlign w:val="center"/>
          </w:tcPr>
          <w:p w14:paraId="03DE056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铂钴色度</w:t>
            </w:r>
          </w:p>
          <w:p w14:paraId="000BA94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4114" w:type="dxa"/>
            <w:gridSpan w:val="3"/>
            <w:vMerge w:val="restart"/>
            <w:noWrap/>
            <w:tcMar>
              <w:left w:w="28" w:type="dxa"/>
              <w:right w:w="28" w:type="dxa"/>
            </w:tcMar>
            <w:vAlign w:val="center"/>
          </w:tcPr>
          <w:p w14:paraId="2DE25C1A">
            <w:pPr>
              <w:pStyle w:val="136"/>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rPr>
              <w:t>《地下水质量标准》（GB/T14848-2017）表1感官性状及一般化学指标中Ⅲ类</w:t>
            </w:r>
          </w:p>
        </w:tc>
      </w:tr>
      <w:tr w14:paraId="055F95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58F57A11">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0990D5C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嗅和味</w:t>
            </w:r>
          </w:p>
        </w:tc>
        <w:tc>
          <w:tcPr>
            <w:tcW w:w="1220" w:type="dxa"/>
            <w:gridSpan w:val="2"/>
            <w:noWrap/>
            <w:tcMar>
              <w:left w:w="28" w:type="dxa"/>
              <w:right w:w="28" w:type="dxa"/>
            </w:tcMar>
            <w:vAlign w:val="center"/>
          </w:tcPr>
          <w:p w14:paraId="2E4E67F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无</w:t>
            </w:r>
          </w:p>
        </w:tc>
        <w:tc>
          <w:tcPr>
            <w:tcW w:w="1009" w:type="dxa"/>
            <w:noWrap/>
            <w:tcMar>
              <w:left w:w="28" w:type="dxa"/>
              <w:right w:w="28" w:type="dxa"/>
            </w:tcMar>
            <w:vAlign w:val="center"/>
          </w:tcPr>
          <w:p w14:paraId="352F159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4114" w:type="dxa"/>
            <w:gridSpan w:val="3"/>
            <w:vMerge w:val="continue"/>
            <w:noWrap/>
            <w:tcMar>
              <w:left w:w="28" w:type="dxa"/>
              <w:right w:w="28" w:type="dxa"/>
            </w:tcMar>
            <w:vAlign w:val="center"/>
          </w:tcPr>
          <w:p w14:paraId="78692D44">
            <w:pPr>
              <w:pStyle w:val="136"/>
              <w:spacing w:line="0" w:lineRule="atLeast"/>
              <w:ind w:firstLine="0" w:firstLineChars="0"/>
              <w:jc w:val="center"/>
              <w:rPr>
                <w:rFonts w:hint="eastAsia" w:hAnsi="宋体" w:cs="宋体"/>
                <w:color w:val="000000"/>
                <w:spacing w:val="-10"/>
                <w:sz w:val="21"/>
                <w:szCs w:val="21"/>
              </w:rPr>
            </w:pPr>
          </w:p>
        </w:tc>
      </w:tr>
      <w:tr w14:paraId="12FAE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17" w:type="dxa"/>
            <w:vMerge w:val="continue"/>
            <w:noWrap/>
            <w:tcMar>
              <w:left w:w="28" w:type="dxa"/>
              <w:right w:w="28" w:type="dxa"/>
            </w:tcMar>
            <w:vAlign w:val="center"/>
          </w:tcPr>
          <w:p w14:paraId="7F535168">
            <w:pPr>
              <w:pStyle w:val="136"/>
              <w:spacing w:line="0" w:lineRule="atLeast"/>
              <w:ind w:firstLine="0" w:firstLineChars="0"/>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7005CC0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浑浊度</w:t>
            </w:r>
          </w:p>
        </w:tc>
        <w:tc>
          <w:tcPr>
            <w:tcW w:w="1220" w:type="dxa"/>
            <w:gridSpan w:val="2"/>
            <w:noWrap/>
            <w:tcMar>
              <w:left w:w="28" w:type="dxa"/>
              <w:right w:w="28" w:type="dxa"/>
            </w:tcMar>
            <w:vAlign w:val="center"/>
          </w:tcPr>
          <w:p w14:paraId="63B838F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1009" w:type="dxa"/>
            <w:noWrap/>
            <w:tcMar>
              <w:left w:w="28" w:type="dxa"/>
              <w:right w:w="28" w:type="dxa"/>
            </w:tcMar>
            <w:vAlign w:val="center"/>
          </w:tcPr>
          <w:p w14:paraId="0D31D80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NTU</w:t>
            </w:r>
          </w:p>
        </w:tc>
        <w:tc>
          <w:tcPr>
            <w:tcW w:w="4114" w:type="dxa"/>
            <w:gridSpan w:val="3"/>
            <w:vMerge w:val="continue"/>
            <w:noWrap/>
            <w:tcMar>
              <w:left w:w="28" w:type="dxa"/>
              <w:right w:w="28" w:type="dxa"/>
            </w:tcMar>
            <w:vAlign w:val="center"/>
          </w:tcPr>
          <w:p w14:paraId="736C5028">
            <w:pPr>
              <w:pStyle w:val="136"/>
              <w:spacing w:line="0" w:lineRule="atLeast"/>
              <w:ind w:firstLine="0" w:firstLineChars="0"/>
              <w:jc w:val="center"/>
              <w:rPr>
                <w:rFonts w:hint="eastAsia" w:hAnsi="宋体" w:cs="宋体"/>
                <w:color w:val="000000"/>
                <w:spacing w:val="-10"/>
                <w:sz w:val="21"/>
                <w:szCs w:val="21"/>
              </w:rPr>
            </w:pPr>
          </w:p>
        </w:tc>
      </w:tr>
      <w:tr w14:paraId="3FCFF9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2ECD5C97">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5A35551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肉眼可见物</w:t>
            </w:r>
          </w:p>
        </w:tc>
        <w:tc>
          <w:tcPr>
            <w:tcW w:w="1220" w:type="dxa"/>
            <w:gridSpan w:val="2"/>
            <w:noWrap/>
            <w:tcMar>
              <w:left w:w="28" w:type="dxa"/>
              <w:right w:w="28" w:type="dxa"/>
            </w:tcMar>
            <w:vAlign w:val="center"/>
          </w:tcPr>
          <w:p w14:paraId="67D6011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无</w:t>
            </w:r>
          </w:p>
        </w:tc>
        <w:tc>
          <w:tcPr>
            <w:tcW w:w="1009" w:type="dxa"/>
            <w:noWrap/>
            <w:tcMar>
              <w:left w:w="28" w:type="dxa"/>
              <w:right w:w="28" w:type="dxa"/>
            </w:tcMar>
            <w:vAlign w:val="center"/>
          </w:tcPr>
          <w:p w14:paraId="34556B5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4114" w:type="dxa"/>
            <w:gridSpan w:val="3"/>
            <w:vMerge w:val="continue"/>
            <w:noWrap/>
            <w:tcMar>
              <w:left w:w="28" w:type="dxa"/>
              <w:right w:w="28" w:type="dxa"/>
            </w:tcMar>
            <w:vAlign w:val="center"/>
          </w:tcPr>
          <w:p w14:paraId="331D39EC">
            <w:pPr>
              <w:pStyle w:val="136"/>
              <w:spacing w:line="0" w:lineRule="atLeast"/>
              <w:ind w:firstLine="0" w:firstLineChars="0"/>
              <w:jc w:val="center"/>
              <w:rPr>
                <w:rFonts w:hint="eastAsia" w:hAnsi="宋体" w:cs="宋体"/>
                <w:color w:val="000000"/>
                <w:spacing w:val="-10"/>
                <w:sz w:val="21"/>
                <w:szCs w:val="21"/>
              </w:rPr>
            </w:pPr>
          </w:p>
        </w:tc>
      </w:tr>
      <w:tr w14:paraId="17474B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65BB9DA6">
            <w:pPr>
              <w:pStyle w:val="136"/>
              <w:spacing w:line="0" w:lineRule="atLeast"/>
              <w:ind w:firstLine="0" w:firstLineChars="0"/>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735E1A0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pH</w:t>
            </w:r>
          </w:p>
        </w:tc>
        <w:tc>
          <w:tcPr>
            <w:tcW w:w="1220" w:type="dxa"/>
            <w:gridSpan w:val="2"/>
            <w:noWrap/>
            <w:tcMar>
              <w:left w:w="28" w:type="dxa"/>
              <w:right w:w="28" w:type="dxa"/>
            </w:tcMar>
            <w:vAlign w:val="center"/>
          </w:tcPr>
          <w:p w14:paraId="51497D3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6.5～8.5</w:t>
            </w:r>
          </w:p>
        </w:tc>
        <w:tc>
          <w:tcPr>
            <w:tcW w:w="1009" w:type="dxa"/>
            <w:noWrap/>
            <w:tcMar>
              <w:left w:w="28" w:type="dxa"/>
              <w:right w:w="28" w:type="dxa"/>
            </w:tcMar>
            <w:vAlign w:val="center"/>
          </w:tcPr>
          <w:p w14:paraId="1421079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4114" w:type="dxa"/>
            <w:gridSpan w:val="3"/>
            <w:vMerge w:val="continue"/>
            <w:noWrap/>
            <w:tcMar>
              <w:left w:w="28" w:type="dxa"/>
              <w:right w:w="28" w:type="dxa"/>
            </w:tcMar>
            <w:vAlign w:val="center"/>
          </w:tcPr>
          <w:p w14:paraId="66195894">
            <w:pPr>
              <w:pStyle w:val="136"/>
              <w:spacing w:line="0" w:lineRule="atLeast"/>
              <w:ind w:firstLine="0" w:firstLineChars="0"/>
              <w:jc w:val="center"/>
              <w:rPr>
                <w:rFonts w:hint="eastAsia" w:hAnsi="宋体" w:cs="宋体"/>
                <w:color w:val="000000"/>
                <w:spacing w:val="-10"/>
                <w:sz w:val="21"/>
                <w:szCs w:val="21"/>
              </w:rPr>
            </w:pPr>
          </w:p>
        </w:tc>
      </w:tr>
      <w:tr w14:paraId="20E025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37E78205">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3D640D0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总硬度</w:t>
            </w:r>
          </w:p>
        </w:tc>
        <w:tc>
          <w:tcPr>
            <w:tcW w:w="1220" w:type="dxa"/>
            <w:gridSpan w:val="2"/>
            <w:noWrap/>
            <w:tcMar>
              <w:left w:w="28" w:type="dxa"/>
              <w:right w:w="28" w:type="dxa"/>
            </w:tcMar>
            <w:vAlign w:val="center"/>
          </w:tcPr>
          <w:p w14:paraId="58CD8F0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≤450</w:t>
            </w:r>
          </w:p>
        </w:tc>
        <w:tc>
          <w:tcPr>
            <w:tcW w:w="1009" w:type="dxa"/>
            <w:vMerge w:val="restart"/>
            <w:noWrap/>
            <w:tcMar>
              <w:left w:w="28" w:type="dxa"/>
              <w:right w:w="28" w:type="dxa"/>
            </w:tcMar>
            <w:vAlign w:val="center"/>
          </w:tcPr>
          <w:p w14:paraId="42A0EAD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mg/L</w:t>
            </w:r>
          </w:p>
        </w:tc>
        <w:tc>
          <w:tcPr>
            <w:tcW w:w="4114" w:type="dxa"/>
            <w:gridSpan w:val="3"/>
            <w:vMerge w:val="continue"/>
            <w:noWrap/>
            <w:tcMar>
              <w:left w:w="28" w:type="dxa"/>
              <w:right w:w="28" w:type="dxa"/>
            </w:tcMar>
            <w:vAlign w:val="center"/>
          </w:tcPr>
          <w:p w14:paraId="560DD31A">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44B0A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753C2D0E">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687379B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溶解性总固体</w:t>
            </w:r>
          </w:p>
        </w:tc>
        <w:tc>
          <w:tcPr>
            <w:tcW w:w="1220" w:type="dxa"/>
            <w:gridSpan w:val="2"/>
            <w:noWrap/>
            <w:tcMar>
              <w:left w:w="28" w:type="dxa"/>
              <w:right w:w="28" w:type="dxa"/>
            </w:tcMar>
            <w:vAlign w:val="center"/>
          </w:tcPr>
          <w:p w14:paraId="43E8BF5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≤1000</w:t>
            </w:r>
          </w:p>
        </w:tc>
        <w:tc>
          <w:tcPr>
            <w:tcW w:w="1009" w:type="dxa"/>
            <w:vMerge w:val="continue"/>
            <w:noWrap/>
            <w:tcMar>
              <w:left w:w="28" w:type="dxa"/>
              <w:right w:w="28" w:type="dxa"/>
            </w:tcMar>
            <w:vAlign w:val="center"/>
          </w:tcPr>
          <w:p w14:paraId="0A62127F">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065D1252">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052C3A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3447F230">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405F57A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硫酸盐</w:t>
            </w:r>
          </w:p>
        </w:tc>
        <w:tc>
          <w:tcPr>
            <w:tcW w:w="1220" w:type="dxa"/>
            <w:gridSpan w:val="2"/>
            <w:noWrap/>
            <w:tcMar>
              <w:left w:w="28" w:type="dxa"/>
              <w:right w:w="28" w:type="dxa"/>
            </w:tcMar>
            <w:vAlign w:val="center"/>
          </w:tcPr>
          <w:p w14:paraId="09A2F1A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≤250</w:t>
            </w:r>
          </w:p>
        </w:tc>
        <w:tc>
          <w:tcPr>
            <w:tcW w:w="1009" w:type="dxa"/>
            <w:vMerge w:val="continue"/>
            <w:noWrap/>
            <w:tcMar>
              <w:left w:w="28" w:type="dxa"/>
              <w:right w:w="28" w:type="dxa"/>
            </w:tcMar>
            <w:vAlign w:val="center"/>
          </w:tcPr>
          <w:p w14:paraId="2223510B">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3B2C60AA">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00FA00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5ADED884">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1F67F6C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氯化物</w:t>
            </w:r>
          </w:p>
        </w:tc>
        <w:tc>
          <w:tcPr>
            <w:tcW w:w="1220" w:type="dxa"/>
            <w:gridSpan w:val="2"/>
            <w:noWrap/>
            <w:tcMar>
              <w:left w:w="28" w:type="dxa"/>
              <w:right w:w="28" w:type="dxa"/>
            </w:tcMar>
            <w:vAlign w:val="center"/>
          </w:tcPr>
          <w:p w14:paraId="00639EF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≤250</w:t>
            </w:r>
          </w:p>
        </w:tc>
        <w:tc>
          <w:tcPr>
            <w:tcW w:w="1009" w:type="dxa"/>
            <w:vMerge w:val="continue"/>
            <w:noWrap/>
            <w:tcMar>
              <w:left w:w="28" w:type="dxa"/>
              <w:right w:w="28" w:type="dxa"/>
            </w:tcMar>
            <w:vAlign w:val="center"/>
          </w:tcPr>
          <w:p w14:paraId="767B5625">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0FAE5F4F">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413FF3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45DF62E7">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3378051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铁</w:t>
            </w:r>
          </w:p>
        </w:tc>
        <w:tc>
          <w:tcPr>
            <w:tcW w:w="1220" w:type="dxa"/>
            <w:gridSpan w:val="2"/>
            <w:noWrap/>
            <w:tcMar>
              <w:left w:w="28" w:type="dxa"/>
              <w:right w:w="28" w:type="dxa"/>
            </w:tcMar>
            <w:vAlign w:val="center"/>
          </w:tcPr>
          <w:p w14:paraId="0F0729B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≤0.3</w:t>
            </w:r>
          </w:p>
        </w:tc>
        <w:tc>
          <w:tcPr>
            <w:tcW w:w="1009" w:type="dxa"/>
            <w:vMerge w:val="continue"/>
            <w:noWrap/>
            <w:tcMar>
              <w:left w:w="28" w:type="dxa"/>
              <w:right w:w="28" w:type="dxa"/>
            </w:tcMar>
            <w:vAlign w:val="center"/>
          </w:tcPr>
          <w:p w14:paraId="5F59E8AA">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0ECB680B">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578A40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17A56F8A">
            <w:pPr>
              <w:pStyle w:val="136"/>
              <w:spacing w:line="0" w:lineRule="atLeast"/>
              <w:ind w:firstLine="0" w:firstLineChars="0"/>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1C76881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锰</w:t>
            </w:r>
          </w:p>
        </w:tc>
        <w:tc>
          <w:tcPr>
            <w:tcW w:w="1220" w:type="dxa"/>
            <w:gridSpan w:val="2"/>
            <w:noWrap/>
            <w:tcMar>
              <w:left w:w="28" w:type="dxa"/>
              <w:right w:w="28" w:type="dxa"/>
            </w:tcMar>
            <w:vAlign w:val="center"/>
          </w:tcPr>
          <w:p w14:paraId="000444A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≤0.10</w:t>
            </w:r>
          </w:p>
        </w:tc>
        <w:tc>
          <w:tcPr>
            <w:tcW w:w="1009" w:type="dxa"/>
            <w:vMerge w:val="continue"/>
            <w:noWrap/>
            <w:tcMar>
              <w:left w:w="28" w:type="dxa"/>
              <w:right w:w="28" w:type="dxa"/>
            </w:tcMar>
            <w:vAlign w:val="center"/>
          </w:tcPr>
          <w:p w14:paraId="6D6B77C1">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117A0EDA">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12A0E9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06501DE7">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37C2CD2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铜</w:t>
            </w:r>
          </w:p>
        </w:tc>
        <w:tc>
          <w:tcPr>
            <w:tcW w:w="1220" w:type="dxa"/>
            <w:gridSpan w:val="2"/>
            <w:noWrap/>
            <w:tcMar>
              <w:left w:w="28" w:type="dxa"/>
              <w:right w:w="28" w:type="dxa"/>
            </w:tcMar>
            <w:vAlign w:val="center"/>
          </w:tcPr>
          <w:p w14:paraId="519F15F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1009" w:type="dxa"/>
            <w:vMerge w:val="continue"/>
            <w:noWrap/>
            <w:tcMar>
              <w:left w:w="28" w:type="dxa"/>
              <w:right w:w="28" w:type="dxa"/>
            </w:tcMar>
            <w:vAlign w:val="center"/>
          </w:tcPr>
          <w:p w14:paraId="60408BA1">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1CEBDEF3">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28EAB6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5DE79241">
            <w:pPr>
              <w:pStyle w:val="136"/>
              <w:spacing w:line="0" w:lineRule="atLeast"/>
              <w:ind w:firstLine="0" w:firstLineChars="0"/>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1BC6D08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锌</w:t>
            </w:r>
          </w:p>
        </w:tc>
        <w:tc>
          <w:tcPr>
            <w:tcW w:w="1220" w:type="dxa"/>
            <w:gridSpan w:val="2"/>
            <w:noWrap/>
            <w:tcMar>
              <w:left w:w="28" w:type="dxa"/>
              <w:right w:w="28" w:type="dxa"/>
            </w:tcMar>
            <w:vAlign w:val="center"/>
          </w:tcPr>
          <w:p w14:paraId="7CB9042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1009" w:type="dxa"/>
            <w:vMerge w:val="continue"/>
            <w:noWrap/>
            <w:tcMar>
              <w:left w:w="28" w:type="dxa"/>
              <w:right w:w="28" w:type="dxa"/>
            </w:tcMar>
            <w:vAlign w:val="center"/>
          </w:tcPr>
          <w:p w14:paraId="1C50DAE0">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0D8FD53D">
            <w:pPr>
              <w:pStyle w:val="136"/>
              <w:spacing w:line="0" w:lineRule="atLeast"/>
              <w:ind w:firstLine="0" w:firstLineChars="0"/>
              <w:jc w:val="center"/>
              <w:rPr>
                <w:rFonts w:hint="eastAsia" w:hAnsi="宋体" w:cs="宋体"/>
                <w:color w:val="000000"/>
                <w:spacing w:val="-10"/>
                <w:sz w:val="21"/>
                <w:szCs w:val="21"/>
                <w:lang w:bidi="ar"/>
              </w:rPr>
            </w:pPr>
          </w:p>
        </w:tc>
      </w:tr>
      <w:tr w14:paraId="1704E7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058B6E7B">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46763AE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铝</w:t>
            </w:r>
          </w:p>
        </w:tc>
        <w:tc>
          <w:tcPr>
            <w:tcW w:w="1220" w:type="dxa"/>
            <w:gridSpan w:val="2"/>
            <w:noWrap/>
            <w:tcMar>
              <w:left w:w="28" w:type="dxa"/>
              <w:right w:w="28" w:type="dxa"/>
            </w:tcMar>
            <w:vAlign w:val="center"/>
          </w:tcPr>
          <w:p w14:paraId="05EFAA8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≤0.20</w:t>
            </w:r>
          </w:p>
        </w:tc>
        <w:tc>
          <w:tcPr>
            <w:tcW w:w="1009" w:type="dxa"/>
            <w:vMerge w:val="continue"/>
            <w:noWrap/>
            <w:tcMar>
              <w:left w:w="28" w:type="dxa"/>
              <w:right w:w="28" w:type="dxa"/>
            </w:tcMar>
            <w:vAlign w:val="center"/>
          </w:tcPr>
          <w:p w14:paraId="0C2D1C77">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5531F0D0">
            <w:pPr>
              <w:pStyle w:val="136"/>
              <w:spacing w:line="0" w:lineRule="atLeast"/>
              <w:ind w:firstLine="0" w:firstLineChars="0"/>
              <w:jc w:val="center"/>
              <w:rPr>
                <w:rFonts w:hint="eastAsia" w:hAnsi="宋体" w:cs="宋体"/>
                <w:color w:val="000000"/>
                <w:spacing w:val="-10"/>
                <w:sz w:val="21"/>
                <w:szCs w:val="21"/>
              </w:rPr>
            </w:pPr>
          </w:p>
        </w:tc>
      </w:tr>
      <w:tr w14:paraId="5065BE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185F7CFC">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4883E27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挥发性酚类</w:t>
            </w:r>
          </w:p>
        </w:tc>
        <w:tc>
          <w:tcPr>
            <w:tcW w:w="1220" w:type="dxa"/>
            <w:gridSpan w:val="2"/>
            <w:noWrap/>
            <w:tcMar>
              <w:left w:w="28" w:type="dxa"/>
              <w:right w:w="28" w:type="dxa"/>
            </w:tcMar>
            <w:vAlign w:val="center"/>
          </w:tcPr>
          <w:p w14:paraId="7A5875B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≤0.002</w:t>
            </w:r>
          </w:p>
        </w:tc>
        <w:tc>
          <w:tcPr>
            <w:tcW w:w="1009" w:type="dxa"/>
            <w:vMerge w:val="continue"/>
            <w:noWrap/>
            <w:tcMar>
              <w:left w:w="28" w:type="dxa"/>
              <w:right w:w="28" w:type="dxa"/>
            </w:tcMar>
            <w:vAlign w:val="center"/>
          </w:tcPr>
          <w:p w14:paraId="25FF1168">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00C4282A">
            <w:pPr>
              <w:pStyle w:val="136"/>
              <w:spacing w:line="0" w:lineRule="atLeast"/>
              <w:ind w:firstLine="0" w:firstLineChars="0"/>
              <w:jc w:val="center"/>
              <w:rPr>
                <w:rFonts w:hint="eastAsia" w:hAnsi="宋体" w:cs="宋体"/>
                <w:color w:val="000000"/>
                <w:spacing w:val="-10"/>
                <w:sz w:val="21"/>
                <w:szCs w:val="21"/>
              </w:rPr>
            </w:pPr>
          </w:p>
        </w:tc>
      </w:tr>
      <w:tr w14:paraId="52F329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617" w:type="dxa"/>
            <w:vMerge w:val="continue"/>
            <w:noWrap/>
            <w:tcMar>
              <w:left w:w="28" w:type="dxa"/>
              <w:right w:w="28" w:type="dxa"/>
            </w:tcMar>
            <w:vAlign w:val="center"/>
          </w:tcPr>
          <w:p w14:paraId="680884B9">
            <w:pPr>
              <w:pStyle w:val="136"/>
              <w:spacing w:line="0" w:lineRule="atLeast"/>
              <w:ind w:firstLine="407"/>
              <w:jc w:val="center"/>
              <w:rPr>
                <w:rFonts w:hint="eastAsia" w:hAnsi="宋体" w:cs="宋体"/>
                <w:color w:val="000000"/>
                <w:spacing w:val="-10"/>
                <w:sz w:val="21"/>
                <w:szCs w:val="21"/>
              </w:rPr>
            </w:pPr>
          </w:p>
        </w:tc>
        <w:tc>
          <w:tcPr>
            <w:tcW w:w="2055" w:type="dxa"/>
            <w:gridSpan w:val="3"/>
            <w:noWrap/>
            <w:tcMar>
              <w:left w:w="28" w:type="dxa"/>
              <w:right w:w="28" w:type="dxa"/>
            </w:tcMar>
            <w:vAlign w:val="center"/>
          </w:tcPr>
          <w:p w14:paraId="489A3E3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阴离子表面活性剂</w:t>
            </w:r>
          </w:p>
        </w:tc>
        <w:tc>
          <w:tcPr>
            <w:tcW w:w="1220" w:type="dxa"/>
            <w:gridSpan w:val="2"/>
            <w:noWrap/>
            <w:tcMar>
              <w:left w:w="28" w:type="dxa"/>
              <w:right w:w="28" w:type="dxa"/>
            </w:tcMar>
            <w:vAlign w:val="center"/>
          </w:tcPr>
          <w:p w14:paraId="7FABA4C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≤0.3</w:t>
            </w:r>
          </w:p>
        </w:tc>
        <w:tc>
          <w:tcPr>
            <w:tcW w:w="1009" w:type="dxa"/>
            <w:vMerge w:val="continue"/>
            <w:noWrap/>
            <w:tcMar>
              <w:left w:w="28" w:type="dxa"/>
              <w:right w:w="28" w:type="dxa"/>
            </w:tcMar>
            <w:vAlign w:val="center"/>
          </w:tcPr>
          <w:p w14:paraId="2475C57F">
            <w:pPr>
              <w:pStyle w:val="136"/>
              <w:spacing w:line="0" w:lineRule="atLeast"/>
              <w:ind w:firstLine="0" w:firstLineChars="0"/>
              <w:jc w:val="center"/>
              <w:rPr>
                <w:rFonts w:hint="eastAsia" w:hAnsi="宋体" w:cs="宋体"/>
                <w:color w:val="000000"/>
                <w:spacing w:val="-10"/>
                <w:sz w:val="21"/>
                <w:szCs w:val="21"/>
              </w:rPr>
            </w:pPr>
          </w:p>
        </w:tc>
        <w:tc>
          <w:tcPr>
            <w:tcW w:w="4114" w:type="dxa"/>
            <w:gridSpan w:val="3"/>
            <w:vMerge w:val="continue"/>
            <w:noWrap/>
            <w:tcMar>
              <w:left w:w="28" w:type="dxa"/>
              <w:right w:w="28" w:type="dxa"/>
            </w:tcMar>
            <w:vAlign w:val="center"/>
          </w:tcPr>
          <w:p w14:paraId="26053885">
            <w:pPr>
              <w:pStyle w:val="136"/>
              <w:spacing w:line="0" w:lineRule="atLeast"/>
              <w:ind w:firstLine="0" w:firstLineChars="0"/>
              <w:jc w:val="center"/>
              <w:rPr>
                <w:rFonts w:hint="eastAsia" w:hAnsi="宋体" w:cs="宋体"/>
                <w:color w:val="000000"/>
                <w:spacing w:val="-10"/>
                <w:sz w:val="21"/>
                <w:szCs w:val="21"/>
              </w:rPr>
            </w:pPr>
          </w:p>
        </w:tc>
      </w:tr>
    </w:tbl>
    <w:p w14:paraId="34D2D359">
      <w:pPr>
        <w:pStyle w:val="23"/>
        <w:spacing w:line="480" w:lineRule="exact"/>
        <w:ind w:firstLine="546" w:firstLineChars="200"/>
        <w:rPr>
          <w:rFonts w:ascii="黑体" w:hAnsi="宋体" w:eastAsia="黑体"/>
          <w:color w:val="000000"/>
          <w:sz w:val="24"/>
          <w:szCs w:val="24"/>
        </w:rPr>
      </w:pPr>
      <w:r>
        <w:br w:type="page"/>
      </w:r>
      <w:r>
        <w:rPr>
          <w:rFonts w:hint="eastAsia" w:ascii="黑体" w:hAnsi="宋体" w:eastAsia="黑体"/>
          <w:color w:val="000000"/>
          <w:sz w:val="24"/>
          <w:szCs w:val="24"/>
        </w:rPr>
        <w:t>续表2.4-1        环境质量标准一览表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17"/>
        <w:gridCol w:w="2055"/>
        <w:gridCol w:w="674"/>
        <w:gridCol w:w="546"/>
        <w:gridCol w:w="1009"/>
        <w:gridCol w:w="4114"/>
      </w:tblGrid>
      <w:tr w14:paraId="375E2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noWrap/>
            <w:tcMar>
              <w:left w:w="28" w:type="dxa"/>
              <w:right w:w="28" w:type="dxa"/>
            </w:tcMar>
            <w:vAlign w:val="center"/>
          </w:tcPr>
          <w:p w14:paraId="2E5316C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环境要素</w:t>
            </w:r>
          </w:p>
        </w:tc>
        <w:tc>
          <w:tcPr>
            <w:tcW w:w="2055" w:type="dxa"/>
            <w:noWrap/>
            <w:tcMar>
              <w:left w:w="28" w:type="dxa"/>
              <w:right w:w="28" w:type="dxa"/>
            </w:tcMar>
            <w:vAlign w:val="center"/>
          </w:tcPr>
          <w:p w14:paraId="2C1232B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1220" w:type="dxa"/>
            <w:gridSpan w:val="2"/>
            <w:noWrap/>
            <w:tcMar>
              <w:left w:w="28" w:type="dxa"/>
              <w:right w:w="28" w:type="dxa"/>
            </w:tcMar>
            <w:vAlign w:val="center"/>
          </w:tcPr>
          <w:p w14:paraId="2F8CE23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  准</w:t>
            </w:r>
          </w:p>
        </w:tc>
        <w:tc>
          <w:tcPr>
            <w:tcW w:w="1009" w:type="dxa"/>
            <w:noWrap/>
            <w:tcMar>
              <w:left w:w="28" w:type="dxa"/>
              <w:right w:w="28" w:type="dxa"/>
            </w:tcMar>
            <w:vAlign w:val="center"/>
          </w:tcPr>
          <w:p w14:paraId="16FA5CA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4114" w:type="dxa"/>
            <w:noWrap/>
            <w:tcMar>
              <w:left w:w="28" w:type="dxa"/>
              <w:right w:w="28" w:type="dxa"/>
            </w:tcMar>
            <w:vAlign w:val="center"/>
          </w:tcPr>
          <w:p w14:paraId="55894F0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标准来源</w:t>
            </w:r>
          </w:p>
        </w:tc>
      </w:tr>
      <w:tr w14:paraId="7930AF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restart"/>
            <w:noWrap/>
            <w:tcMar>
              <w:left w:w="28" w:type="dxa"/>
              <w:right w:w="28" w:type="dxa"/>
            </w:tcMar>
            <w:vAlign w:val="center"/>
          </w:tcPr>
          <w:p w14:paraId="17B79B0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2055" w:type="dxa"/>
            <w:noWrap/>
            <w:tcMar>
              <w:left w:w="28" w:type="dxa"/>
              <w:right w:w="28" w:type="dxa"/>
            </w:tcMar>
            <w:vAlign w:val="center"/>
          </w:tcPr>
          <w:p w14:paraId="65C23A8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耗氧量</w:t>
            </w:r>
          </w:p>
        </w:tc>
        <w:tc>
          <w:tcPr>
            <w:tcW w:w="1220" w:type="dxa"/>
            <w:gridSpan w:val="2"/>
            <w:noWrap/>
            <w:tcMar>
              <w:left w:w="28" w:type="dxa"/>
              <w:right w:w="28" w:type="dxa"/>
            </w:tcMar>
            <w:vAlign w:val="center"/>
          </w:tcPr>
          <w:p w14:paraId="54F5634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1009" w:type="dxa"/>
            <w:vMerge w:val="restart"/>
            <w:noWrap/>
            <w:tcMar>
              <w:left w:w="28" w:type="dxa"/>
              <w:right w:w="28" w:type="dxa"/>
            </w:tcMar>
            <w:vAlign w:val="center"/>
          </w:tcPr>
          <w:p w14:paraId="4FB535C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mg/L</w:t>
            </w:r>
          </w:p>
        </w:tc>
        <w:tc>
          <w:tcPr>
            <w:tcW w:w="4114" w:type="dxa"/>
            <w:vMerge w:val="restart"/>
            <w:noWrap/>
            <w:tcMar>
              <w:left w:w="28" w:type="dxa"/>
              <w:right w:w="28" w:type="dxa"/>
            </w:tcMar>
            <w:vAlign w:val="center"/>
          </w:tcPr>
          <w:p w14:paraId="651BD0DF">
            <w:pPr>
              <w:pStyle w:val="136"/>
              <w:adjustRightInd w:val="0"/>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rPr>
              <w:t>《地下水质量标准》（GB/T14848-2017）表1感官性状及一般化学指标中Ⅲ类</w:t>
            </w:r>
          </w:p>
        </w:tc>
      </w:tr>
      <w:tr w14:paraId="6C1245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6D7D8E05">
            <w:pPr>
              <w:pStyle w:val="136"/>
              <w:spacing w:line="0" w:lineRule="atLeast"/>
              <w:ind w:firstLine="407"/>
              <w:jc w:val="center"/>
              <w:rPr>
                <w:rFonts w:hint="eastAsia" w:hAnsi="宋体" w:cs="宋体"/>
                <w:color w:val="000000"/>
                <w:spacing w:val="-10"/>
                <w:sz w:val="21"/>
                <w:szCs w:val="21"/>
              </w:rPr>
            </w:pPr>
          </w:p>
        </w:tc>
        <w:tc>
          <w:tcPr>
            <w:tcW w:w="2055" w:type="dxa"/>
            <w:noWrap/>
            <w:tcMar>
              <w:left w:w="28" w:type="dxa"/>
              <w:right w:w="28" w:type="dxa"/>
            </w:tcMar>
            <w:vAlign w:val="center"/>
          </w:tcPr>
          <w:p w14:paraId="378B65F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氨氮</w:t>
            </w:r>
          </w:p>
        </w:tc>
        <w:tc>
          <w:tcPr>
            <w:tcW w:w="1220" w:type="dxa"/>
            <w:gridSpan w:val="2"/>
            <w:noWrap/>
            <w:tcMar>
              <w:left w:w="28" w:type="dxa"/>
              <w:right w:w="28" w:type="dxa"/>
            </w:tcMar>
            <w:vAlign w:val="center"/>
          </w:tcPr>
          <w:p w14:paraId="7E7A26C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≤0.50</w:t>
            </w:r>
          </w:p>
        </w:tc>
        <w:tc>
          <w:tcPr>
            <w:tcW w:w="1009" w:type="dxa"/>
            <w:vMerge w:val="continue"/>
            <w:noWrap/>
            <w:tcMar>
              <w:left w:w="28" w:type="dxa"/>
              <w:right w:w="28" w:type="dxa"/>
            </w:tcMar>
            <w:vAlign w:val="center"/>
          </w:tcPr>
          <w:p w14:paraId="61BAE98B">
            <w:pPr>
              <w:pStyle w:val="136"/>
              <w:spacing w:line="0" w:lineRule="atLeast"/>
              <w:ind w:firstLine="0" w:firstLineChars="0"/>
              <w:jc w:val="center"/>
              <w:rPr>
                <w:rFonts w:hint="eastAsia" w:hAnsi="宋体" w:cs="宋体"/>
                <w:color w:val="000000"/>
                <w:spacing w:val="-10"/>
                <w:sz w:val="21"/>
                <w:szCs w:val="21"/>
              </w:rPr>
            </w:pPr>
          </w:p>
        </w:tc>
        <w:tc>
          <w:tcPr>
            <w:tcW w:w="4114" w:type="dxa"/>
            <w:vMerge w:val="continue"/>
            <w:noWrap/>
            <w:tcMar>
              <w:left w:w="28" w:type="dxa"/>
              <w:right w:w="28" w:type="dxa"/>
            </w:tcMar>
            <w:vAlign w:val="center"/>
          </w:tcPr>
          <w:p w14:paraId="08DA9426">
            <w:pPr>
              <w:pStyle w:val="136"/>
              <w:spacing w:line="0" w:lineRule="atLeast"/>
              <w:ind w:firstLine="0" w:firstLineChars="0"/>
              <w:jc w:val="center"/>
              <w:rPr>
                <w:rFonts w:hint="eastAsia" w:hAnsi="宋体" w:cs="宋体"/>
                <w:color w:val="000000"/>
                <w:spacing w:val="-10"/>
                <w:sz w:val="21"/>
                <w:szCs w:val="21"/>
              </w:rPr>
            </w:pPr>
          </w:p>
        </w:tc>
      </w:tr>
      <w:tr w14:paraId="032A4D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70800EA6">
            <w:pPr>
              <w:pStyle w:val="136"/>
              <w:spacing w:line="0" w:lineRule="atLeast"/>
              <w:ind w:firstLine="407"/>
              <w:jc w:val="center"/>
              <w:rPr>
                <w:rFonts w:hint="eastAsia" w:hAnsi="宋体" w:cs="宋体"/>
                <w:color w:val="000000"/>
                <w:spacing w:val="-10"/>
                <w:sz w:val="21"/>
                <w:szCs w:val="21"/>
              </w:rPr>
            </w:pPr>
          </w:p>
        </w:tc>
        <w:tc>
          <w:tcPr>
            <w:tcW w:w="2055" w:type="dxa"/>
            <w:noWrap/>
            <w:tcMar>
              <w:left w:w="28" w:type="dxa"/>
              <w:right w:w="28" w:type="dxa"/>
            </w:tcMar>
            <w:vAlign w:val="center"/>
          </w:tcPr>
          <w:p w14:paraId="6D07A78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硫化物</w:t>
            </w:r>
          </w:p>
        </w:tc>
        <w:tc>
          <w:tcPr>
            <w:tcW w:w="1220" w:type="dxa"/>
            <w:gridSpan w:val="2"/>
            <w:noWrap/>
            <w:tcMar>
              <w:left w:w="28" w:type="dxa"/>
              <w:right w:w="28" w:type="dxa"/>
            </w:tcMar>
            <w:vAlign w:val="center"/>
          </w:tcPr>
          <w:p w14:paraId="161D55E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≤0.02</w:t>
            </w:r>
          </w:p>
        </w:tc>
        <w:tc>
          <w:tcPr>
            <w:tcW w:w="1009" w:type="dxa"/>
            <w:vMerge w:val="continue"/>
            <w:noWrap/>
            <w:tcMar>
              <w:left w:w="28" w:type="dxa"/>
              <w:right w:w="28" w:type="dxa"/>
            </w:tcMar>
            <w:vAlign w:val="center"/>
          </w:tcPr>
          <w:p w14:paraId="2B7E5BD6">
            <w:pPr>
              <w:pStyle w:val="136"/>
              <w:spacing w:line="0" w:lineRule="atLeast"/>
              <w:ind w:firstLine="0" w:firstLineChars="0"/>
              <w:jc w:val="center"/>
              <w:rPr>
                <w:rFonts w:hint="eastAsia" w:hAnsi="宋体" w:cs="宋体"/>
                <w:color w:val="000000"/>
                <w:spacing w:val="-10"/>
                <w:sz w:val="21"/>
                <w:szCs w:val="21"/>
              </w:rPr>
            </w:pPr>
          </w:p>
        </w:tc>
        <w:tc>
          <w:tcPr>
            <w:tcW w:w="4114" w:type="dxa"/>
            <w:vMerge w:val="continue"/>
            <w:noWrap/>
            <w:tcMar>
              <w:left w:w="28" w:type="dxa"/>
              <w:right w:w="28" w:type="dxa"/>
            </w:tcMar>
            <w:vAlign w:val="center"/>
          </w:tcPr>
          <w:p w14:paraId="603578E9">
            <w:pPr>
              <w:pStyle w:val="136"/>
              <w:spacing w:line="0" w:lineRule="atLeast"/>
              <w:ind w:firstLine="0" w:firstLineChars="0"/>
              <w:jc w:val="center"/>
              <w:rPr>
                <w:rFonts w:hint="eastAsia" w:hAnsi="宋体" w:cs="宋体"/>
                <w:color w:val="000000"/>
                <w:spacing w:val="-10"/>
                <w:sz w:val="21"/>
                <w:szCs w:val="21"/>
              </w:rPr>
            </w:pPr>
          </w:p>
        </w:tc>
      </w:tr>
      <w:tr w14:paraId="616B15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39848830">
            <w:pPr>
              <w:pStyle w:val="136"/>
              <w:spacing w:line="0" w:lineRule="atLeast"/>
              <w:ind w:firstLine="407"/>
              <w:jc w:val="center"/>
              <w:rPr>
                <w:rFonts w:hint="eastAsia" w:hAnsi="宋体" w:cs="宋体"/>
                <w:color w:val="000000"/>
                <w:spacing w:val="-10"/>
                <w:sz w:val="21"/>
                <w:szCs w:val="21"/>
              </w:rPr>
            </w:pPr>
          </w:p>
        </w:tc>
        <w:tc>
          <w:tcPr>
            <w:tcW w:w="2055" w:type="dxa"/>
            <w:noWrap/>
            <w:tcMar>
              <w:left w:w="28" w:type="dxa"/>
              <w:right w:w="28" w:type="dxa"/>
            </w:tcMar>
            <w:vAlign w:val="center"/>
          </w:tcPr>
          <w:p w14:paraId="1803E66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钠</w:t>
            </w:r>
          </w:p>
        </w:tc>
        <w:tc>
          <w:tcPr>
            <w:tcW w:w="1220" w:type="dxa"/>
            <w:gridSpan w:val="2"/>
            <w:noWrap/>
            <w:tcMar>
              <w:left w:w="28" w:type="dxa"/>
              <w:right w:w="28" w:type="dxa"/>
            </w:tcMar>
            <w:vAlign w:val="center"/>
          </w:tcPr>
          <w:p w14:paraId="4BFFB5D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≤200</w:t>
            </w:r>
          </w:p>
        </w:tc>
        <w:tc>
          <w:tcPr>
            <w:tcW w:w="1009" w:type="dxa"/>
            <w:vMerge w:val="continue"/>
            <w:noWrap/>
            <w:tcMar>
              <w:left w:w="28" w:type="dxa"/>
              <w:right w:w="28" w:type="dxa"/>
            </w:tcMar>
            <w:vAlign w:val="center"/>
          </w:tcPr>
          <w:p w14:paraId="1C4F8214">
            <w:pPr>
              <w:pStyle w:val="136"/>
              <w:spacing w:line="0" w:lineRule="atLeast"/>
              <w:ind w:firstLine="0" w:firstLineChars="0"/>
              <w:jc w:val="center"/>
              <w:rPr>
                <w:rFonts w:hint="eastAsia" w:hAnsi="宋体" w:cs="宋体"/>
                <w:color w:val="000000"/>
                <w:spacing w:val="-10"/>
                <w:sz w:val="21"/>
                <w:szCs w:val="21"/>
              </w:rPr>
            </w:pPr>
          </w:p>
        </w:tc>
        <w:tc>
          <w:tcPr>
            <w:tcW w:w="4114" w:type="dxa"/>
            <w:vMerge w:val="continue"/>
            <w:noWrap/>
            <w:tcMar>
              <w:left w:w="28" w:type="dxa"/>
              <w:right w:w="28" w:type="dxa"/>
            </w:tcMar>
            <w:vAlign w:val="center"/>
          </w:tcPr>
          <w:p w14:paraId="3092E2CF">
            <w:pPr>
              <w:pStyle w:val="136"/>
              <w:spacing w:line="0" w:lineRule="atLeast"/>
              <w:ind w:firstLine="0" w:firstLineChars="0"/>
              <w:jc w:val="center"/>
              <w:rPr>
                <w:rFonts w:hint="eastAsia" w:hAnsi="宋体" w:cs="宋体"/>
                <w:color w:val="000000"/>
                <w:spacing w:val="-10"/>
                <w:sz w:val="21"/>
                <w:szCs w:val="21"/>
              </w:rPr>
            </w:pPr>
          </w:p>
        </w:tc>
      </w:tr>
      <w:tr w14:paraId="32877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1CCA246E">
            <w:pPr>
              <w:pStyle w:val="136"/>
              <w:spacing w:line="0" w:lineRule="atLeast"/>
              <w:ind w:firstLine="0" w:firstLineChars="0"/>
              <w:jc w:val="center"/>
              <w:rPr>
                <w:rFonts w:hint="eastAsia" w:hAnsi="宋体" w:cs="宋体"/>
                <w:color w:val="000000"/>
                <w:spacing w:val="-10"/>
                <w:sz w:val="21"/>
                <w:szCs w:val="21"/>
              </w:rPr>
            </w:pPr>
          </w:p>
        </w:tc>
        <w:tc>
          <w:tcPr>
            <w:tcW w:w="2055" w:type="dxa"/>
            <w:noWrap/>
            <w:tcMar>
              <w:left w:w="28" w:type="dxa"/>
              <w:right w:w="28" w:type="dxa"/>
            </w:tcMar>
            <w:vAlign w:val="center"/>
          </w:tcPr>
          <w:p w14:paraId="7585938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总大肠菌群</w:t>
            </w:r>
          </w:p>
        </w:tc>
        <w:tc>
          <w:tcPr>
            <w:tcW w:w="1220" w:type="dxa"/>
            <w:gridSpan w:val="2"/>
            <w:noWrap/>
            <w:tcMar>
              <w:left w:w="28" w:type="dxa"/>
              <w:right w:w="28" w:type="dxa"/>
            </w:tcMar>
            <w:vAlign w:val="center"/>
          </w:tcPr>
          <w:p w14:paraId="2213FEF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1009" w:type="dxa"/>
            <w:noWrap/>
            <w:tcMar>
              <w:left w:w="28" w:type="dxa"/>
              <w:right w:w="28" w:type="dxa"/>
            </w:tcMar>
            <w:vAlign w:val="center"/>
          </w:tcPr>
          <w:p w14:paraId="1D045D7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CFU/100mL</w:t>
            </w:r>
          </w:p>
        </w:tc>
        <w:tc>
          <w:tcPr>
            <w:tcW w:w="4114" w:type="dxa"/>
            <w:vMerge w:val="restart"/>
            <w:noWrap/>
            <w:tcMar>
              <w:left w:w="28" w:type="dxa"/>
              <w:right w:w="28" w:type="dxa"/>
            </w:tcMar>
            <w:vAlign w:val="center"/>
          </w:tcPr>
          <w:p w14:paraId="07EB798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《地下水质量标准》（GB/T14848-2017）表1微生物指标中Ⅲ类</w:t>
            </w:r>
          </w:p>
        </w:tc>
      </w:tr>
      <w:tr w14:paraId="6C051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4D211884">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6CDB380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菌落总数</w:t>
            </w:r>
          </w:p>
        </w:tc>
        <w:tc>
          <w:tcPr>
            <w:tcW w:w="1220" w:type="dxa"/>
            <w:gridSpan w:val="2"/>
            <w:noWrap/>
            <w:tcMar>
              <w:left w:w="28" w:type="dxa"/>
              <w:right w:w="28" w:type="dxa"/>
            </w:tcMar>
            <w:vAlign w:val="center"/>
          </w:tcPr>
          <w:p w14:paraId="739EF28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1009" w:type="dxa"/>
            <w:noWrap/>
            <w:tcMar>
              <w:left w:w="28" w:type="dxa"/>
              <w:right w:w="28" w:type="dxa"/>
            </w:tcMar>
            <w:vAlign w:val="center"/>
          </w:tcPr>
          <w:p w14:paraId="6ED86506">
            <w:pPr>
              <w:pStyle w:val="136"/>
              <w:adjustRightInd w:val="0"/>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rPr>
              <w:t>CFU/mL</w:t>
            </w:r>
          </w:p>
        </w:tc>
        <w:tc>
          <w:tcPr>
            <w:tcW w:w="4114" w:type="dxa"/>
            <w:vMerge w:val="continue"/>
            <w:noWrap/>
            <w:tcMar>
              <w:left w:w="28" w:type="dxa"/>
              <w:right w:w="28" w:type="dxa"/>
            </w:tcMar>
            <w:vAlign w:val="center"/>
          </w:tcPr>
          <w:p w14:paraId="694C2B7A">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71B415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38FC9FBE">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47301DC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亚硝酸盐</w:t>
            </w:r>
          </w:p>
        </w:tc>
        <w:tc>
          <w:tcPr>
            <w:tcW w:w="1220" w:type="dxa"/>
            <w:gridSpan w:val="2"/>
            <w:noWrap/>
            <w:tcMar>
              <w:left w:w="28" w:type="dxa"/>
              <w:right w:w="28" w:type="dxa"/>
            </w:tcMar>
            <w:vAlign w:val="center"/>
          </w:tcPr>
          <w:p w14:paraId="60F3D2F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1009" w:type="dxa"/>
            <w:vMerge w:val="restart"/>
            <w:noWrap/>
            <w:tcMar>
              <w:left w:w="28" w:type="dxa"/>
              <w:right w:w="28" w:type="dxa"/>
            </w:tcMar>
            <w:vAlign w:val="center"/>
          </w:tcPr>
          <w:p w14:paraId="74B2C191">
            <w:pPr>
              <w:pStyle w:val="136"/>
              <w:adjustRightInd w:val="0"/>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rPr>
              <w:t>mg/L</w:t>
            </w:r>
          </w:p>
        </w:tc>
        <w:tc>
          <w:tcPr>
            <w:tcW w:w="4114" w:type="dxa"/>
            <w:vMerge w:val="restart"/>
            <w:noWrap/>
            <w:tcMar>
              <w:left w:w="28" w:type="dxa"/>
              <w:right w:w="28" w:type="dxa"/>
            </w:tcMar>
            <w:vAlign w:val="center"/>
          </w:tcPr>
          <w:p w14:paraId="0817AA8B">
            <w:pPr>
              <w:pStyle w:val="136"/>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rPr>
              <w:t>《地下水质量标准》（GB/T14848-2017）表1毒理学指标中Ⅲ类</w:t>
            </w:r>
          </w:p>
        </w:tc>
      </w:tr>
      <w:tr w14:paraId="03529F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2CBCC32E">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2E415C8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硝酸盐</w:t>
            </w:r>
          </w:p>
        </w:tc>
        <w:tc>
          <w:tcPr>
            <w:tcW w:w="1220" w:type="dxa"/>
            <w:gridSpan w:val="2"/>
            <w:noWrap/>
            <w:tcMar>
              <w:left w:w="28" w:type="dxa"/>
              <w:right w:w="28" w:type="dxa"/>
            </w:tcMar>
            <w:vAlign w:val="center"/>
          </w:tcPr>
          <w:p w14:paraId="4A75773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≤20.0</w:t>
            </w:r>
          </w:p>
        </w:tc>
        <w:tc>
          <w:tcPr>
            <w:tcW w:w="1009" w:type="dxa"/>
            <w:vMerge w:val="continue"/>
            <w:noWrap/>
            <w:tcMar>
              <w:left w:w="28" w:type="dxa"/>
              <w:right w:w="28" w:type="dxa"/>
            </w:tcMar>
            <w:vAlign w:val="center"/>
          </w:tcPr>
          <w:p w14:paraId="68940616">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48C4B7AA">
            <w:pPr>
              <w:pStyle w:val="136"/>
              <w:adjustRightInd w:val="0"/>
              <w:spacing w:line="0" w:lineRule="atLeast"/>
              <w:ind w:firstLine="0" w:firstLineChars="0"/>
              <w:jc w:val="center"/>
              <w:rPr>
                <w:rFonts w:hint="eastAsia" w:hAnsi="宋体" w:cs="宋体"/>
                <w:color w:val="000000"/>
                <w:spacing w:val="-10"/>
                <w:sz w:val="21"/>
                <w:szCs w:val="21"/>
              </w:rPr>
            </w:pPr>
          </w:p>
        </w:tc>
      </w:tr>
      <w:tr w14:paraId="4BD750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72D565D6">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312E92F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氰化物</w:t>
            </w:r>
          </w:p>
        </w:tc>
        <w:tc>
          <w:tcPr>
            <w:tcW w:w="1220" w:type="dxa"/>
            <w:gridSpan w:val="2"/>
            <w:noWrap/>
            <w:tcMar>
              <w:left w:w="28" w:type="dxa"/>
              <w:right w:w="28" w:type="dxa"/>
            </w:tcMar>
            <w:vAlign w:val="center"/>
          </w:tcPr>
          <w:p w14:paraId="4C9DCD8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≤0.05</w:t>
            </w:r>
          </w:p>
        </w:tc>
        <w:tc>
          <w:tcPr>
            <w:tcW w:w="1009" w:type="dxa"/>
            <w:vMerge w:val="continue"/>
            <w:noWrap/>
            <w:tcMar>
              <w:left w:w="28" w:type="dxa"/>
              <w:right w:w="28" w:type="dxa"/>
            </w:tcMar>
            <w:vAlign w:val="center"/>
          </w:tcPr>
          <w:p w14:paraId="53844627">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585D05C9">
            <w:pPr>
              <w:pStyle w:val="136"/>
              <w:spacing w:line="0" w:lineRule="atLeast"/>
              <w:ind w:firstLine="0" w:firstLineChars="0"/>
              <w:jc w:val="center"/>
              <w:rPr>
                <w:rFonts w:hint="eastAsia" w:hAnsi="宋体" w:cs="宋体"/>
                <w:color w:val="000000"/>
                <w:spacing w:val="-10"/>
                <w:sz w:val="21"/>
                <w:szCs w:val="21"/>
              </w:rPr>
            </w:pPr>
          </w:p>
        </w:tc>
      </w:tr>
      <w:tr w14:paraId="70394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20A0AF8C">
            <w:pPr>
              <w:pStyle w:val="136"/>
              <w:spacing w:line="0" w:lineRule="atLeast"/>
              <w:ind w:firstLine="407"/>
              <w:jc w:val="center"/>
              <w:rPr>
                <w:rFonts w:hint="eastAsia" w:hAnsi="宋体" w:cs="宋体"/>
                <w:color w:val="000000"/>
                <w:spacing w:val="-10"/>
                <w:sz w:val="21"/>
                <w:szCs w:val="21"/>
              </w:rPr>
            </w:pPr>
          </w:p>
        </w:tc>
        <w:tc>
          <w:tcPr>
            <w:tcW w:w="2055" w:type="dxa"/>
            <w:noWrap/>
            <w:tcMar>
              <w:left w:w="28" w:type="dxa"/>
              <w:right w:w="28" w:type="dxa"/>
            </w:tcMar>
            <w:vAlign w:val="center"/>
          </w:tcPr>
          <w:p w14:paraId="6438B80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氟化物</w:t>
            </w:r>
          </w:p>
        </w:tc>
        <w:tc>
          <w:tcPr>
            <w:tcW w:w="1220" w:type="dxa"/>
            <w:gridSpan w:val="2"/>
            <w:noWrap/>
            <w:tcMar>
              <w:left w:w="28" w:type="dxa"/>
              <w:right w:w="28" w:type="dxa"/>
            </w:tcMar>
            <w:vAlign w:val="center"/>
          </w:tcPr>
          <w:p w14:paraId="00FCE76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1009" w:type="dxa"/>
            <w:vMerge w:val="continue"/>
            <w:noWrap/>
            <w:tcMar>
              <w:left w:w="28" w:type="dxa"/>
              <w:right w:w="28" w:type="dxa"/>
            </w:tcMar>
            <w:vAlign w:val="center"/>
          </w:tcPr>
          <w:p w14:paraId="7BCE4AE0">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10C3D2F4">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144E68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0F8615ED">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3418DA1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碘化物</w:t>
            </w:r>
          </w:p>
        </w:tc>
        <w:tc>
          <w:tcPr>
            <w:tcW w:w="1220" w:type="dxa"/>
            <w:gridSpan w:val="2"/>
            <w:noWrap/>
            <w:tcMar>
              <w:left w:w="28" w:type="dxa"/>
              <w:right w:w="28" w:type="dxa"/>
            </w:tcMar>
            <w:vAlign w:val="center"/>
          </w:tcPr>
          <w:p w14:paraId="5BC28C4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≤0.08</w:t>
            </w:r>
          </w:p>
        </w:tc>
        <w:tc>
          <w:tcPr>
            <w:tcW w:w="1009" w:type="dxa"/>
            <w:vMerge w:val="continue"/>
            <w:noWrap/>
            <w:tcMar>
              <w:left w:w="28" w:type="dxa"/>
              <w:right w:w="28" w:type="dxa"/>
            </w:tcMar>
            <w:vAlign w:val="center"/>
          </w:tcPr>
          <w:p w14:paraId="30A189F1">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67C4F9C9">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2B244A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4866D9FD">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62733CFF">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汞</w:t>
            </w:r>
          </w:p>
        </w:tc>
        <w:tc>
          <w:tcPr>
            <w:tcW w:w="1220" w:type="dxa"/>
            <w:gridSpan w:val="2"/>
            <w:noWrap/>
            <w:tcMar>
              <w:left w:w="28" w:type="dxa"/>
              <w:right w:w="28" w:type="dxa"/>
            </w:tcMar>
            <w:vAlign w:val="center"/>
          </w:tcPr>
          <w:p w14:paraId="22B9CDE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≤0.001</w:t>
            </w:r>
          </w:p>
        </w:tc>
        <w:tc>
          <w:tcPr>
            <w:tcW w:w="1009" w:type="dxa"/>
            <w:vMerge w:val="continue"/>
            <w:noWrap/>
            <w:tcMar>
              <w:left w:w="28" w:type="dxa"/>
              <w:right w:w="28" w:type="dxa"/>
            </w:tcMar>
            <w:vAlign w:val="center"/>
          </w:tcPr>
          <w:p w14:paraId="2F8FB939">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1B1EE802">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65DB2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667C5716">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06A0873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砷</w:t>
            </w:r>
          </w:p>
        </w:tc>
        <w:tc>
          <w:tcPr>
            <w:tcW w:w="1220" w:type="dxa"/>
            <w:gridSpan w:val="2"/>
            <w:noWrap/>
            <w:tcMar>
              <w:left w:w="28" w:type="dxa"/>
              <w:right w:w="28" w:type="dxa"/>
            </w:tcMar>
            <w:vAlign w:val="center"/>
          </w:tcPr>
          <w:p w14:paraId="37517A2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≤0.01</w:t>
            </w:r>
          </w:p>
        </w:tc>
        <w:tc>
          <w:tcPr>
            <w:tcW w:w="1009" w:type="dxa"/>
            <w:vMerge w:val="continue"/>
            <w:noWrap/>
            <w:tcMar>
              <w:left w:w="28" w:type="dxa"/>
              <w:right w:w="28" w:type="dxa"/>
            </w:tcMar>
            <w:vAlign w:val="center"/>
          </w:tcPr>
          <w:p w14:paraId="64F6522D">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41FF1420">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167B19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5CEA8D7D">
            <w:pPr>
              <w:pStyle w:val="136"/>
              <w:spacing w:line="0" w:lineRule="atLeast"/>
              <w:ind w:firstLine="407"/>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4F287E3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硒</w:t>
            </w:r>
          </w:p>
        </w:tc>
        <w:tc>
          <w:tcPr>
            <w:tcW w:w="1220" w:type="dxa"/>
            <w:gridSpan w:val="2"/>
            <w:noWrap/>
            <w:tcMar>
              <w:left w:w="28" w:type="dxa"/>
              <w:right w:w="28" w:type="dxa"/>
            </w:tcMar>
            <w:vAlign w:val="center"/>
          </w:tcPr>
          <w:p w14:paraId="02E28B3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≤0.01</w:t>
            </w:r>
          </w:p>
        </w:tc>
        <w:tc>
          <w:tcPr>
            <w:tcW w:w="1009" w:type="dxa"/>
            <w:vMerge w:val="continue"/>
            <w:noWrap/>
            <w:tcMar>
              <w:left w:w="28" w:type="dxa"/>
              <w:right w:w="28" w:type="dxa"/>
            </w:tcMar>
            <w:vAlign w:val="center"/>
          </w:tcPr>
          <w:p w14:paraId="254A19EA">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28615058">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2D95A1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4BFC00BB">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261BA84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镉</w:t>
            </w:r>
          </w:p>
        </w:tc>
        <w:tc>
          <w:tcPr>
            <w:tcW w:w="1220" w:type="dxa"/>
            <w:gridSpan w:val="2"/>
            <w:noWrap/>
            <w:tcMar>
              <w:left w:w="28" w:type="dxa"/>
              <w:right w:w="28" w:type="dxa"/>
            </w:tcMar>
            <w:vAlign w:val="center"/>
          </w:tcPr>
          <w:p w14:paraId="1D12A87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≤0.005</w:t>
            </w:r>
          </w:p>
        </w:tc>
        <w:tc>
          <w:tcPr>
            <w:tcW w:w="1009" w:type="dxa"/>
            <w:vMerge w:val="continue"/>
            <w:noWrap/>
            <w:tcMar>
              <w:left w:w="28" w:type="dxa"/>
              <w:right w:w="28" w:type="dxa"/>
            </w:tcMar>
            <w:vAlign w:val="center"/>
          </w:tcPr>
          <w:p w14:paraId="1541407B">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437C1F98">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60057C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54C60592">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26DA7E4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铬（六价）</w:t>
            </w:r>
          </w:p>
        </w:tc>
        <w:tc>
          <w:tcPr>
            <w:tcW w:w="1220" w:type="dxa"/>
            <w:gridSpan w:val="2"/>
            <w:noWrap/>
            <w:tcMar>
              <w:left w:w="28" w:type="dxa"/>
              <w:right w:w="28" w:type="dxa"/>
            </w:tcMar>
            <w:vAlign w:val="center"/>
          </w:tcPr>
          <w:p w14:paraId="4D9307E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≤0.05</w:t>
            </w:r>
          </w:p>
        </w:tc>
        <w:tc>
          <w:tcPr>
            <w:tcW w:w="1009" w:type="dxa"/>
            <w:vMerge w:val="continue"/>
            <w:noWrap/>
            <w:tcMar>
              <w:left w:w="28" w:type="dxa"/>
              <w:right w:w="28" w:type="dxa"/>
            </w:tcMar>
            <w:vAlign w:val="center"/>
          </w:tcPr>
          <w:p w14:paraId="39A9B111">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64414FC4">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373430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52AFA22F">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4ACA5F7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铅</w:t>
            </w:r>
          </w:p>
        </w:tc>
        <w:tc>
          <w:tcPr>
            <w:tcW w:w="1220" w:type="dxa"/>
            <w:gridSpan w:val="2"/>
            <w:noWrap/>
            <w:tcMar>
              <w:left w:w="28" w:type="dxa"/>
              <w:right w:w="28" w:type="dxa"/>
            </w:tcMar>
            <w:vAlign w:val="center"/>
          </w:tcPr>
          <w:p w14:paraId="2FB0C2B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≤0.01</w:t>
            </w:r>
          </w:p>
        </w:tc>
        <w:tc>
          <w:tcPr>
            <w:tcW w:w="1009" w:type="dxa"/>
            <w:vMerge w:val="continue"/>
            <w:noWrap/>
            <w:tcMar>
              <w:left w:w="28" w:type="dxa"/>
              <w:right w:w="28" w:type="dxa"/>
            </w:tcMar>
            <w:vAlign w:val="center"/>
          </w:tcPr>
          <w:p w14:paraId="6EF80709">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5F161EE6">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2331EC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750FEF7A">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73D6BA44">
            <w:pPr>
              <w:spacing w:line="0" w:lineRule="atLeast"/>
              <w:jc w:val="center"/>
              <w:rPr>
                <w:rFonts w:hint="eastAsia" w:hAnsi="宋体" w:cs="宋体"/>
                <w:color w:val="000000"/>
                <w:spacing w:val="-10"/>
                <w:sz w:val="21"/>
                <w:szCs w:val="21"/>
                <w:lang w:bidi="ar"/>
              </w:rPr>
            </w:pPr>
            <w:r>
              <w:rPr>
                <w:rFonts w:hint="eastAsia" w:hAnsi="宋体" w:cs="宋体"/>
                <w:bCs/>
                <w:color w:val="000000"/>
                <w:spacing w:val="-10"/>
                <w:sz w:val="21"/>
                <w:szCs w:val="21"/>
              </w:rPr>
              <w:t>三氯甲烷</w:t>
            </w:r>
          </w:p>
        </w:tc>
        <w:tc>
          <w:tcPr>
            <w:tcW w:w="1220" w:type="dxa"/>
            <w:gridSpan w:val="2"/>
            <w:noWrap/>
            <w:tcMar>
              <w:left w:w="28" w:type="dxa"/>
              <w:right w:w="28" w:type="dxa"/>
            </w:tcMar>
            <w:vAlign w:val="center"/>
          </w:tcPr>
          <w:p w14:paraId="722CDC4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≤0.06</w:t>
            </w:r>
          </w:p>
        </w:tc>
        <w:tc>
          <w:tcPr>
            <w:tcW w:w="1009" w:type="dxa"/>
            <w:vMerge w:val="continue"/>
            <w:noWrap/>
            <w:tcMar>
              <w:left w:w="28" w:type="dxa"/>
              <w:right w:w="28" w:type="dxa"/>
            </w:tcMar>
            <w:vAlign w:val="center"/>
          </w:tcPr>
          <w:p w14:paraId="164A2A0E">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37F5D91E">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0E39A5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45F7FF1A">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69766783">
            <w:pPr>
              <w:spacing w:line="0" w:lineRule="atLeast"/>
              <w:jc w:val="center"/>
              <w:rPr>
                <w:rFonts w:hint="eastAsia" w:hAnsi="宋体" w:cs="宋体"/>
                <w:color w:val="000000"/>
                <w:spacing w:val="-10"/>
                <w:sz w:val="21"/>
                <w:szCs w:val="21"/>
              </w:rPr>
            </w:pPr>
            <w:r>
              <w:rPr>
                <w:rFonts w:hint="eastAsia" w:hAnsi="宋体" w:cs="宋体"/>
                <w:bCs/>
                <w:color w:val="000000"/>
                <w:spacing w:val="-10"/>
                <w:sz w:val="21"/>
                <w:szCs w:val="21"/>
              </w:rPr>
              <w:t>四氯化碳</w:t>
            </w:r>
          </w:p>
        </w:tc>
        <w:tc>
          <w:tcPr>
            <w:tcW w:w="1220" w:type="dxa"/>
            <w:gridSpan w:val="2"/>
            <w:noWrap/>
            <w:tcMar>
              <w:left w:w="28" w:type="dxa"/>
              <w:right w:w="28" w:type="dxa"/>
            </w:tcMar>
            <w:vAlign w:val="center"/>
          </w:tcPr>
          <w:p w14:paraId="17F4BF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≤0.002</w:t>
            </w:r>
          </w:p>
        </w:tc>
        <w:tc>
          <w:tcPr>
            <w:tcW w:w="1009" w:type="dxa"/>
            <w:vMerge w:val="continue"/>
            <w:noWrap/>
            <w:tcMar>
              <w:left w:w="28" w:type="dxa"/>
              <w:right w:w="28" w:type="dxa"/>
            </w:tcMar>
            <w:vAlign w:val="center"/>
          </w:tcPr>
          <w:p w14:paraId="1607FADE">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33B91992">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4DB484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75F17BC7">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6C69E919">
            <w:pPr>
              <w:spacing w:line="0" w:lineRule="atLeast"/>
              <w:jc w:val="center"/>
              <w:rPr>
                <w:rFonts w:hint="eastAsia" w:hAnsi="宋体" w:cs="宋体"/>
                <w:color w:val="000000"/>
                <w:spacing w:val="-10"/>
                <w:sz w:val="21"/>
                <w:szCs w:val="21"/>
              </w:rPr>
            </w:pPr>
            <w:r>
              <w:rPr>
                <w:rFonts w:hint="eastAsia" w:hAnsi="宋体" w:cs="宋体"/>
                <w:bCs/>
                <w:color w:val="000000"/>
                <w:spacing w:val="-10"/>
                <w:sz w:val="21"/>
                <w:szCs w:val="21"/>
              </w:rPr>
              <w:t>苯</w:t>
            </w:r>
          </w:p>
        </w:tc>
        <w:tc>
          <w:tcPr>
            <w:tcW w:w="1220" w:type="dxa"/>
            <w:gridSpan w:val="2"/>
            <w:noWrap/>
            <w:tcMar>
              <w:left w:w="28" w:type="dxa"/>
              <w:right w:w="28" w:type="dxa"/>
            </w:tcMar>
            <w:vAlign w:val="center"/>
          </w:tcPr>
          <w:p w14:paraId="3FAD6B3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≤0.01</w:t>
            </w:r>
          </w:p>
        </w:tc>
        <w:tc>
          <w:tcPr>
            <w:tcW w:w="1009" w:type="dxa"/>
            <w:vMerge w:val="continue"/>
            <w:noWrap/>
            <w:tcMar>
              <w:left w:w="28" w:type="dxa"/>
              <w:right w:w="28" w:type="dxa"/>
            </w:tcMar>
            <w:vAlign w:val="center"/>
          </w:tcPr>
          <w:p w14:paraId="0395E787">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58BF42CB">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1D5048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6C56957F">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2A041F9C">
            <w:pPr>
              <w:spacing w:line="0" w:lineRule="atLeast"/>
              <w:jc w:val="center"/>
              <w:rPr>
                <w:rFonts w:hint="eastAsia" w:hAnsi="宋体" w:cs="宋体"/>
                <w:color w:val="000000"/>
                <w:spacing w:val="-10"/>
                <w:sz w:val="21"/>
                <w:szCs w:val="21"/>
                <w:lang w:bidi="ar"/>
              </w:rPr>
            </w:pPr>
            <w:r>
              <w:rPr>
                <w:rFonts w:hint="eastAsia" w:hAnsi="宋体" w:cs="宋体"/>
                <w:bCs/>
                <w:color w:val="000000"/>
                <w:spacing w:val="-10"/>
                <w:sz w:val="21"/>
                <w:szCs w:val="21"/>
              </w:rPr>
              <w:t>甲苯</w:t>
            </w:r>
          </w:p>
        </w:tc>
        <w:tc>
          <w:tcPr>
            <w:tcW w:w="1220" w:type="dxa"/>
            <w:gridSpan w:val="2"/>
            <w:noWrap/>
            <w:tcMar>
              <w:left w:w="28" w:type="dxa"/>
              <w:right w:w="28" w:type="dxa"/>
            </w:tcMar>
            <w:vAlign w:val="center"/>
          </w:tcPr>
          <w:p w14:paraId="40682BB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≤0.7</w:t>
            </w:r>
          </w:p>
        </w:tc>
        <w:tc>
          <w:tcPr>
            <w:tcW w:w="1009" w:type="dxa"/>
            <w:vMerge w:val="continue"/>
            <w:noWrap/>
            <w:tcMar>
              <w:left w:w="28" w:type="dxa"/>
              <w:right w:w="28" w:type="dxa"/>
            </w:tcMar>
            <w:vAlign w:val="center"/>
          </w:tcPr>
          <w:p w14:paraId="3AF8D511">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vMerge w:val="continue"/>
            <w:noWrap/>
            <w:tcMar>
              <w:left w:w="28" w:type="dxa"/>
              <w:right w:w="28" w:type="dxa"/>
            </w:tcMar>
            <w:vAlign w:val="center"/>
          </w:tcPr>
          <w:p w14:paraId="64724550">
            <w:pPr>
              <w:pStyle w:val="136"/>
              <w:adjustRightInd w:val="0"/>
              <w:spacing w:line="0" w:lineRule="atLeast"/>
              <w:ind w:firstLine="0" w:firstLineChars="0"/>
              <w:jc w:val="center"/>
              <w:rPr>
                <w:rFonts w:hint="eastAsia" w:hAnsi="宋体" w:cs="宋体"/>
                <w:color w:val="000000"/>
                <w:spacing w:val="-10"/>
                <w:sz w:val="21"/>
                <w:szCs w:val="21"/>
                <w:lang w:bidi="ar"/>
              </w:rPr>
            </w:pPr>
          </w:p>
        </w:tc>
      </w:tr>
      <w:tr w14:paraId="79038B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08113A99">
            <w:pPr>
              <w:pStyle w:val="136"/>
              <w:spacing w:line="0" w:lineRule="atLeast"/>
              <w:ind w:firstLine="0" w:firstLineChars="0"/>
              <w:jc w:val="center"/>
              <w:rPr>
                <w:rFonts w:hint="eastAsia" w:hAnsi="宋体" w:cs="宋体"/>
                <w:color w:val="000000"/>
                <w:spacing w:val="-10"/>
                <w:sz w:val="21"/>
                <w:szCs w:val="21"/>
                <w:lang w:bidi="ar"/>
              </w:rPr>
            </w:pPr>
          </w:p>
        </w:tc>
        <w:tc>
          <w:tcPr>
            <w:tcW w:w="2055" w:type="dxa"/>
            <w:noWrap/>
            <w:tcMar>
              <w:left w:w="28" w:type="dxa"/>
              <w:right w:w="28" w:type="dxa"/>
            </w:tcMar>
            <w:vAlign w:val="center"/>
          </w:tcPr>
          <w:p w14:paraId="3D1D8517">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石油类</w:t>
            </w:r>
          </w:p>
        </w:tc>
        <w:tc>
          <w:tcPr>
            <w:tcW w:w="1220" w:type="dxa"/>
            <w:gridSpan w:val="2"/>
            <w:noWrap/>
            <w:tcMar>
              <w:left w:w="28" w:type="dxa"/>
              <w:right w:w="28" w:type="dxa"/>
            </w:tcMar>
            <w:vAlign w:val="center"/>
          </w:tcPr>
          <w:p w14:paraId="006D9D7D">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≤0.05</w:t>
            </w:r>
          </w:p>
        </w:tc>
        <w:tc>
          <w:tcPr>
            <w:tcW w:w="1009" w:type="dxa"/>
            <w:vMerge w:val="continue"/>
            <w:noWrap/>
            <w:tcMar>
              <w:left w:w="28" w:type="dxa"/>
              <w:right w:w="28" w:type="dxa"/>
            </w:tcMar>
            <w:vAlign w:val="center"/>
          </w:tcPr>
          <w:p w14:paraId="3E5C2EFA">
            <w:pPr>
              <w:pStyle w:val="136"/>
              <w:adjustRightInd w:val="0"/>
              <w:spacing w:line="0" w:lineRule="atLeast"/>
              <w:ind w:firstLine="0" w:firstLineChars="0"/>
              <w:jc w:val="center"/>
              <w:rPr>
                <w:rFonts w:hint="eastAsia" w:hAnsi="宋体" w:cs="宋体"/>
                <w:color w:val="000000"/>
                <w:spacing w:val="-10"/>
                <w:sz w:val="21"/>
                <w:szCs w:val="21"/>
                <w:lang w:bidi="ar"/>
              </w:rPr>
            </w:pPr>
          </w:p>
        </w:tc>
        <w:tc>
          <w:tcPr>
            <w:tcW w:w="4114" w:type="dxa"/>
            <w:noWrap/>
            <w:tcMar>
              <w:left w:w="28" w:type="dxa"/>
              <w:right w:w="28" w:type="dxa"/>
            </w:tcMar>
            <w:vAlign w:val="center"/>
          </w:tcPr>
          <w:p w14:paraId="4D50A593">
            <w:pPr>
              <w:pStyle w:val="136"/>
              <w:adjustRightInd w:val="0"/>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参照执行《地表水环境质量标准》（GB3838-2002）</w:t>
            </w:r>
            <w:r>
              <w:rPr>
                <w:rFonts w:hint="eastAsia" w:hAnsi="宋体" w:cs="宋体"/>
                <w:color w:val="000000"/>
                <w:spacing w:val="-10"/>
                <w:sz w:val="21"/>
                <w:szCs w:val="21"/>
              </w:rPr>
              <w:t>Ⅲ类</w:t>
            </w:r>
            <w:r>
              <w:rPr>
                <w:rFonts w:hint="eastAsia" w:hAnsi="宋体" w:cs="宋体"/>
                <w:color w:val="000000"/>
                <w:spacing w:val="-10"/>
                <w:sz w:val="21"/>
                <w:szCs w:val="21"/>
                <w:lang w:bidi="ar"/>
              </w:rPr>
              <w:t>标准</w:t>
            </w:r>
          </w:p>
        </w:tc>
      </w:tr>
      <w:tr w14:paraId="1895CE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noWrap/>
            <w:tcMar>
              <w:left w:w="28" w:type="dxa"/>
              <w:right w:w="28" w:type="dxa"/>
            </w:tcMar>
            <w:vAlign w:val="center"/>
          </w:tcPr>
          <w:p w14:paraId="465FCC69">
            <w:pPr>
              <w:spacing w:line="0" w:lineRule="atLeast"/>
              <w:jc w:val="center"/>
              <w:rPr>
                <w:rFonts w:hAnsi="宋体" w:cs="宋体"/>
                <w:color w:val="000000"/>
                <w:spacing w:val="-10"/>
                <w:sz w:val="21"/>
                <w:szCs w:val="21"/>
              </w:rPr>
            </w:pPr>
            <w:r>
              <w:rPr>
                <w:rFonts w:hint="eastAsia" w:hAnsi="宋体" w:cs="宋体"/>
                <w:color w:val="000000"/>
                <w:spacing w:val="-10"/>
                <w:sz w:val="21"/>
                <w:szCs w:val="21"/>
              </w:rPr>
              <w:t>环境要素</w:t>
            </w:r>
          </w:p>
        </w:tc>
        <w:tc>
          <w:tcPr>
            <w:tcW w:w="2055" w:type="dxa"/>
            <w:noWrap/>
            <w:tcMar>
              <w:left w:w="28" w:type="dxa"/>
              <w:right w:w="28" w:type="dxa"/>
            </w:tcMar>
            <w:vAlign w:val="center"/>
          </w:tcPr>
          <w:p w14:paraId="63164D70">
            <w:pPr>
              <w:pStyle w:val="136"/>
              <w:spacing w:line="0" w:lineRule="atLeast"/>
              <w:ind w:firstLine="0" w:firstLineChars="0"/>
              <w:jc w:val="center"/>
              <w:rPr>
                <w:rFonts w:hAnsi="宋体" w:cs="宋体"/>
                <w:color w:val="000000"/>
                <w:spacing w:val="-10"/>
                <w:sz w:val="21"/>
                <w:szCs w:val="21"/>
              </w:rPr>
            </w:pPr>
            <w:r>
              <w:rPr>
                <w:rFonts w:hint="eastAsia" w:hAnsi="宋体" w:cs="宋体"/>
                <w:color w:val="000000"/>
                <w:spacing w:val="-10"/>
                <w:sz w:val="21"/>
                <w:szCs w:val="21"/>
              </w:rPr>
              <w:t>项目</w:t>
            </w:r>
          </w:p>
        </w:tc>
        <w:tc>
          <w:tcPr>
            <w:tcW w:w="1220" w:type="dxa"/>
            <w:gridSpan w:val="2"/>
            <w:noWrap/>
            <w:tcMar>
              <w:left w:w="28" w:type="dxa"/>
              <w:right w:w="28" w:type="dxa"/>
            </w:tcMar>
            <w:vAlign w:val="center"/>
          </w:tcPr>
          <w:p w14:paraId="451C9F29">
            <w:pPr>
              <w:pStyle w:val="136"/>
              <w:spacing w:line="0" w:lineRule="atLeast"/>
              <w:ind w:firstLine="0" w:firstLineChars="0"/>
              <w:jc w:val="center"/>
              <w:rPr>
                <w:rFonts w:hAnsi="宋体" w:cs="宋体"/>
                <w:color w:val="000000"/>
                <w:spacing w:val="-10"/>
                <w:sz w:val="21"/>
                <w:szCs w:val="21"/>
              </w:rPr>
            </w:pPr>
            <w:r>
              <w:rPr>
                <w:rFonts w:hint="eastAsia" w:hAnsi="宋体" w:cs="宋体"/>
                <w:color w:val="000000"/>
                <w:spacing w:val="-10"/>
                <w:sz w:val="21"/>
                <w:szCs w:val="21"/>
              </w:rPr>
              <w:t>标  准</w:t>
            </w:r>
          </w:p>
        </w:tc>
        <w:tc>
          <w:tcPr>
            <w:tcW w:w="1009" w:type="dxa"/>
            <w:noWrap/>
            <w:tcMar>
              <w:left w:w="28" w:type="dxa"/>
              <w:right w:w="28" w:type="dxa"/>
            </w:tcMar>
            <w:vAlign w:val="center"/>
          </w:tcPr>
          <w:p w14:paraId="4F1952F5">
            <w:pPr>
              <w:pStyle w:val="136"/>
              <w:spacing w:line="0" w:lineRule="atLeast"/>
              <w:ind w:firstLine="0" w:firstLineChars="0"/>
              <w:jc w:val="center"/>
              <w:rPr>
                <w:rFonts w:hAnsi="宋体" w:cs="宋体"/>
                <w:color w:val="000000"/>
                <w:spacing w:val="-10"/>
                <w:sz w:val="21"/>
                <w:szCs w:val="21"/>
              </w:rPr>
            </w:pPr>
            <w:r>
              <w:rPr>
                <w:rFonts w:hint="eastAsia" w:hAnsi="宋体" w:cs="宋体"/>
                <w:color w:val="000000"/>
                <w:spacing w:val="-10"/>
                <w:sz w:val="21"/>
                <w:szCs w:val="21"/>
              </w:rPr>
              <w:t>单位</w:t>
            </w:r>
          </w:p>
        </w:tc>
        <w:tc>
          <w:tcPr>
            <w:tcW w:w="4114" w:type="dxa"/>
            <w:noWrap/>
            <w:tcMar>
              <w:left w:w="28" w:type="dxa"/>
              <w:right w:w="28" w:type="dxa"/>
            </w:tcMar>
            <w:vAlign w:val="center"/>
          </w:tcPr>
          <w:p w14:paraId="39FAE709">
            <w:pPr>
              <w:pStyle w:val="136"/>
              <w:spacing w:line="0" w:lineRule="atLeast"/>
              <w:ind w:firstLine="0" w:firstLineChars="0"/>
              <w:jc w:val="center"/>
              <w:rPr>
                <w:rFonts w:hAnsi="宋体" w:cs="宋体"/>
                <w:color w:val="000000"/>
                <w:spacing w:val="-10"/>
                <w:sz w:val="21"/>
                <w:szCs w:val="21"/>
              </w:rPr>
            </w:pPr>
            <w:r>
              <w:rPr>
                <w:rFonts w:hint="eastAsia" w:hAnsi="宋体" w:cs="宋体"/>
                <w:color w:val="000000"/>
                <w:spacing w:val="-10"/>
                <w:sz w:val="21"/>
                <w:szCs w:val="21"/>
              </w:rPr>
              <w:t>标准来源</w:t>
            </w:r>
          </w:p>
        </w:tc>
      </w:tr>
      <w:tr w14:paraId="4D3F5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restart"/>
            <w:noWrap/>
            <w:tcMar>
              <w:left w:w="28" w:type="dxa"/>
              <w:right w:w="28" w:type="dxa"/>
            </w:tcMar>
            <w:vAlign w:val="center"/>
          </w:tcPr>
          <w:p w14:paraId="11351AE8">
            <w:pPr>
              <w:adjustRightInd w:val="0"/>
              <w:spacing w:line="0" w:lineRule="atLeast"/>
              <w:jc w:val="center"/>
              <w:rPr>
                <w:rFonts w:hAnsi="宋体" w:cs="宋体"/>
                <w:color w:val="000000"/>
                <w:spacing w:val="-10"/>
                <w:sz w:val="21"/>
                <w:szCs w:val="21"/>
                <w:lang w:bidi="ar"/>
              </w:rPr>
            </w:pPr>
            <w:r>
              <w:rPr>
                <w:rFonts w:hint="eastAsia" w:hAnsi="宋体" w:cs="宋体"/>
                <w:color w:val="000000"/>
                <w:spacing w:val="-10"/>
                <w:sz w:val="21"/>
                <w:szCs w:val="21"/>
                <w:lang w:bidi="ar"/>
              </w:rPr>
              <w:t>声环境</w:t>
            </w:r>
          </w:p>
        </w:tc>
        <w:tc>
          <w:tcPr>
            <w:tcW w:w="2055" w:type="dxa"/>
            <w:vMerge w:val="restart"/>
            <w:noWrap/>
            <w:tcMar>
              <w:left w:w="28" w:type="dxa"/>
              <w:right w:w="28" w:type="dxa"/>
            </w:tcMar>
            <w:vAlign w:val="center"/>
          </w:tcPr>
          <w:p w14:paraId="7F3F06BD">
            <w:pPr>
              <w:adjustRightInd w:val="0"/>
              <w:spacing w:line="0" w:lineRule="atLeast"/>
              <w:jc w:val="center"/>
              <w:rPr>
                <w:rFonts w:hAnsi="宋体" w:cs="宋体"/>
                <w:color w:val="000000"/>
                <w:spacing w:val="-10"/>
                <w:sz w:val="21"/>
                <w:szCs w:val="21"/>
                <w:lang w:bidi="ar"/>
              </w:rPr>
            </w:pPr>
            <w:r>
              <w:rPr>
                <w:rFonts w:hint="eastAsia" w:hAnsi="宋体"/>
                <w:color w:val="000000"/>
                <w:spacing w:val="-10"/>
                <w:sz w:val="21"/>
                <w:szCs w:val="21"/>
              </w:rPr>
              <w:t>L</w:t>
            </w:r>
            <w:r>
              <w:rPr>
                <w:rFonts w:hint="eastAsia" w:hAnsi="宋体"/>
                <w:color w:val="000000"/>
                <w:spacing w:val="-10"/>
                <w:sz w:val="21"/>
                <w:szCs w:val="21"/>
                <w:vertAlign w:val="subscript"/>
              </w:rPr>
              <w:t>Aeq，T</w:t>
            </w:r>
          </w:p>
        </w:tc>
        <w:tc>
          <w:tcPr>
            <w:tcW w:w="674" w:type="dxa"/>
            <w:noWrap/>
            <w:tcMar>
              <w:left w:w="28" w:type="dxa"/>
              <w:right w:w="28" w:type="dxa"/>
            </w:tcMar>
            <w:vAlign w:val="center"/>
          </w:tcPr>
          <w:p w14:paraId="303FA938">
            <w:pPr>
              <w:adjustRightInd w:val="0"/>
              <w:spacing w:line="0" w:lineRule="atLeast"/>
              <w:jc w:val="center"/>
              <w:rPr>
                <w:rFonts w:hAnsi="宋体" w:cs="宋体"/>
                <w:color w:val="000000"/>
                <w:spacing w:val="-10"/>
                <w:sz w:val="21"/>
                <w:szCs w:val="21"/>
                <w:lang w:bidi="ar"/>
              </w:rPr>
            </w:pPr>
            <w:r>
              <w:rPr>
                <w:rFonts w:hint="eastAsia" w:hAnsi="宋体" w:cs="宋体"/>
                <w:color w:val="000000"/>
                <w:spacing w:val="-10"/>
                <w:sz w:val="21"/>
                <w:szCs w:val="21"/>
                <w:lang w:bidi="ar"/>
              </w:rPr>
              <w:t>昼间</w:t>
            </w:r>
          </w:p>
        </w:tc>
        <w:tc>
          <w:tcPr>
            <w:tcW w:w="546" w:type="dxa"/>
            <w:noWrap/>
            <w:tcMar>
              <w:left w:w="28" w:type="dxa"/>
              <w:right w:w="28" w:type="dxa"/>
            </w:tcMar>
            <w:vAlign w:val="center"/>
          </w:tcPr>
          <w:p w14:paraId="03200944">
            <w:pPr>
              <w:adjustRightInd w:val="0"/>
              <w:spacing w:line="0" w:lineRule="atLeast"/>
              <w:jc w:val="center"/>
              <w:rPr>
                <w:rFonts w:hAnsi="宋体" w:cs="宋体"/>
                <w:color w:val="000000"/>
                <w:spacing w:val="-10"/>
                <w:sz w:val="21"/>
                <w:szCs w:val="21"/>
                <w:lang w:bidi="ar"/>
              </w:rPr>
            </w:pPr>
            <w:r>
              <w:rPr>
                <w:rFonts w:hint="eastAsia" w:hAnsi="宋体" w:cs="宋体"/>
                <w:color w:val="000000"/>
                <w:spacing w:val="-10"/>
                <w:sz w:val="21"/>
                <w:szCs w:val="21"/>
                <w:lang w:bidi="ar"/>
              </w:rPr>
              <w:t>60</w:t>
            </w:r>
          </w:p>
        </w:tc>
        <w:tc>
          <w:tcPr>
            <w:tcW w:w="1009" w:type="dxa"/>
            <w:vMerge w:val="restart"/>
            <w:noWrap/>
            <w:tcMar>
              <w:left w:w="28" w:type="dxa"/>
              <w:right w:w="28" w:type="dxa"/>
            </w:tcMar>
            <w:vAlign w:val="center"/>
          </w:tcPr>
          <w:p w14:paraId="4F101BA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dB（A）</w:t>
            </w:r>
          </w:p>
        </w:tc>
        <w:tc>
          <w:tcPr>
            <w:tcW w:w="4114" w:type="dxa"/>
            <w:vMerge w:val="restart"/>
            <w:noWrap/>
            <w:tcMar>
              <w:left w:w="28" w:type="dxa"/>
              <w:right w:w="28" w:type="dxa"/>
            </w:tcMar>
            <w:vAlign w:val="center"/>
          </w:tcPr>
          <w:p w14:paraId="0A3925AE">
            <w:pPr>
              <w:pStyle w:val="136"/>
              <w:adjustRightInd w:val="0"/>
              <w:spacing w:line="0" w:lineRule="atLeast"/>
              <w:ind w:firstLine="0" w:firstLineChars="0"/>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《声环境质量标准》（GB3096-2008）</w:t>
            </w:r>
          </w:p>
          <w:p w14:paraId="5A10DF01">
            <w:pPr>
              <w:pStyle w:val="136"/>
              <w:adjustRightInd w:val="0"/>
              <w:spacing w:line="0" w:lineRule="atLeast"/>
              <w:ind w:firstLine="0" w:firstLineChars="0"/>
              <w:jc w:val="center"/>
              <w:rPr>
                <w:rFonts w:hAnsi="宋体" w:cs="宋体"/>
                <w:color w:val="000000"/>
                <w:spacing w:val="-10"/>
                <w:sz w:val="21"/>
                <w:szCs w:val="21"/>
                <w:lang w:bidi="ar"/>
              </w:rPr>
            </w:pPr>
            <w:r>
              <w:rPr>
                <w:rFonts w:hint="eastAsia" w:hAnsi="宋体" w:cs="宋体"/>
                <w:color w:val="000000"/>
                <w:spacing w:val="-10"/>
                <w:sz w:val="21"/>
                <w:szCs w:val="21"/>
                <w:lang w:bidi="ar"/>
              </w:rPr>
              <w:t>2类区标准</w:t>
            </w:r>
          </w:p>
        </w:tc>
      </w:tr>
      <w:tr w14:paraId="2CD98E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617" w:type="dxa"/>
            <w:vMerge w:val="continue"/>
            <w:noWrap/>
            <w:tcMar>
              <w:left w:w="28" w:type="dxa"/>
              <w:right w:w="28" w:type="dxa"/>
            </w:tcMar>
            <w:vAlign w:val="center"/>
          </w:tcPr>
          <w:p w14:paraId="2FBD008B">
            <w:pPr>
              <w:adjustRightInd w:val="0"/>
              <w:spacing w:line="0" w:lineRule="atLeast"/>
              <w:jc w:val="center"/>
              <w:rPr>
                <w:rFonts w:hAnsi="宋体" w:cs="宋体"/>
                <w:color w:val="000000"/>
                <w:spacing w:val="-10"/>
                <w:sz w:val="21"/>
                <w:szCs w:val="21"/>
                <w:lang w:bidi="ar"/>
              </w:rPr>
            </w:pPr>
          </w:p>
        </w:tc>
        <w:tc>
          <w:tcPr>
            <w:tcW w:w="2055" w:type="dxa"/>
            <w:vMerge w:val="continue"/>
            <w:noWrap/>
            <w:tcMar>
              <w:left w:w="28" w:type="dxa"/>
              <w:right w:w="28" w:type="dxa"/>
            </w:tcMar>
            <w:vAlign w:val="center"/>
          </w:tcPr>
          <w:p w14:paraId="4DEAF4F2">
            <w:pPr>
              <w:adjustRightInd w:val="0"/>
              <w:spacing w:line="0" w:lineRule="atLeast"/>
              <w:jc w:val="center"/>
              <w:rPr>
                <w:rFonts w:hAnsi="宋体" w:cs="宋体"/>
                <w:color w:val="000000"/>
                <w:spacing w:val="-10"/>
                <w:sz w:val="21"/>
                <w:szCs w:val="21"/>
                <w:lang w:bidi="ar"/>
              </w:rPr>
            </w:pPr>
          </w:p>
        </w:tc>
        <w:tc>
          <w:tcPr>
            <w:tcW w:w="674" w:type="dxa"/>
            <w:noWrap/>
            <w:tcMar>
              <w:left w:w="28" w:type="dxa"/>
              <w:right w:w="28" w:type="dxa"/>
            </w:tcMar>
            <w:vAlign w:val="center"/>
          </w:tcPr>
          <w:p w14:paraId="12889D82">
            <w:pPr>
              <w:adjustRightInd w:val="0"/>
              <w:spacing w:line="0" w:lineRule="atLeast"/>
              <w:jc w:val="center"/>
              <w:rPr>
                <w:rFonts w:hAnsi="宋体" w:cs="宋体"/>
                <w:color w:val="000000"/>
                <w:spacing w:val="-10"/>
                <w:sz w:val="21"/>
                <w:szCs w:val="21"/>
                <w:lang w:bidi="ar"/>
              </w:rPr>
            </w:pPr>
            <w:r>
              <w:rPr>
                <w:rFonts w:hint="eastAsia" w:hAnsi="宋体" w:cs="宋体"/>
                <w:color w:val="000000"/>
                <w:spacing w:val="-10"/>
                <w:sz w:val="21"/>
                <w:szCs w:val="21"/>
                <w:lang w:bidi="ar"/>
              </w:rPr>
              <w:t>夜间</w:t>
            </w:r>
          </w:p>
        </w:tc>
        <w:tc>
          <w:tcPr>
            <w:tcW w:w="546" w:type="dxa"/>
            <w:noWrap/>
            <w:tcMar>
              <w:left w:w="28" w:type="dxa"/>
              <w:right w:w="28" w:type="dxa"/>
            </w:tcMar>
            <w:vAlign w:val="center"/>
          </w:tcPr>
          <w:p w14:paraId="44F91766">
            <w:pPr>
              <w:adjustRightInd w:val="0"/>
              <w:spacing w:line="0" w:lineRule="atLeast"/>
              <w:jc w:val="center"/>
              <w:rPr>
                <w:rFonts w:hAnsi="宋体" w:cs="宋体"/>
                <w:color w:val="000000"/>
                <w:spacing w:val="-10"/>
                <w:sz w:val="21"/>
                <w:szCs w:val="21"/>
                <w:lang w:bidi="ar"/>
              </w:rPr>
            </w:pPr>
            <w:r>
              <w:rPr>
                <w:rFonts w:hint="eastAsia" w:hAnsi="宋体" w:cs="宋体"/>
                <w:color w:val="000000"/>
                <w:spacing w:val="-10"/>
                <w:sz w:val="21"/>
                <w:szCs w:val="21"/>
                <w:lang w:bidi="ar"/>
              </w:rPr>
              <w:t>50</w:t>
            </w:r>
          </w:p>
        </w:tc>
        <w:tc>
          <w:tcPr>
            <w:tcW w:w="1009" w:type="dxa"/>
            <w:vMerge w:val="continue"/>
            <w:noWrap/>
            <w:tcMar>
              <w:left w:w="28" w:type="dxa"/>
              <w:right w:w="28" w:type="dxa"/>
            </w:tcMar>
            <w:vAlign w:val="center"/>
          </w:tcPr>
          <w:p w14:paraId="17B16573">
            <w:pPr>
              <w:spacing w:line="0" w:lineRule="atLeast"/>
              <w:jc w:val="center"/>
              <w:rPr>
                <w:rFonts w:hAnsi="宋体" w:cs="宋体"/>
                <w:color w:val="000000"/>
                <w:spacing w:val="-10"/>
                <w:sz w:val="21"/>
                <w:szCs w:val="21"/>
              </w:rPr>
            </w:pPr>
          </w:p>
        </w:tc>
        <w:tc>
          <w:tcPr>
            <w:tcW w:w="4114" w:type="dxa"/>
            <w:vMerge w:val="continue"/>
            <w:noWrap/>
            <w:tcMar>
              <w:left w:w="28" w:type="dxa"/>
              <w:right w:w="28" w:type="dxa"/>
            </w:tcMar>
            <w:vAlign w:val="center"/>
          </w:tcPr>
          <w:p w14:paraId="3A179472">
            <w:pPr>
              <w:pStyle w:val="136"/>
              <w:adjustRightInd w:val="0"/>
              <w:spacing w:line="0" w:lineRule="atLeast"/>
              <w:ind w:firstLine="0" w:firstLineChars="0"/>
              <w:jc w:val="center"/>
              <w:rPr>
                <w:rFonts w:hAnsi="宋体" w:cs="宋体"/>
                <w:color w:val="000000"/>
                <w:spacing w:val="-10"/>
                <w:sz w:val="21"/>
                <w:szCs w:val="21"/>
                <w:lang w:bidi="ar"/>
              </w:rPr>
            </w:pPr>
          </w:p>
        </w:tc>
      </w:tr>
    </w:tbl>
    <w:p w14:paraId="5B8D659B">
      <w:pPr>
        <w:spacing w:before="240"/>
        <w:ind w:firstLine="527"/>
        <w:rPr>
          <w:rFonts w:hint="eastAsia" w:ascii="黑体" w:hAnsi="黑体" w:eastAsia="黑体" w:cs="黑体"/>
          <w:color w:val="000000"/>
        </w:rPr>
      </w:pPr>
      <w:r>
        <w:rPr>
          <w:rFonts w:hint="eastAsia" w:ascii="黑体" w:hAnsi="黑体" w:eastAsia="黑体"/>
          <w:color w:val="000000"/>
        </w:rPr>
        <w:t>表2.4-2</w:t>
      </w:r>
      <w:r>
        <w:rPr>
          <w:rFonts w:hint="eastAsia" w:ascii="黑体" w:hAnsi="黑体" w:eastAsia="黑体" w:cs="黑体"/>
          <w:color w:val="000000"/>
        </w:rPr>
        <w:t xml:space="preserve">       土壤污染风险筛选值一览表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32"/>
        <w:gridCol w:w="1798"/>
        <w:gridCol w:w="1654"/>
        <w:gridCol w:w="732"/>
        <w:gridCol w:w="2471"/>
        <w:gridCol w:w="1723"/>
      </w:tblGrid>
      <w:tr w14:paraId="016CB6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0DDF31D">
            <w:pPr>
              <w:spacing w:line="0" w:lineRule="atLeast"/>
              <w:jc w:val="center"/>
              <w:rPr>
                <w:rFonts w:hint="eastAsia" w:hAnsi="宋体"/>
                <w:color w:val="000000"/>
                <w:spacing w:val="-10"/>
                <w:sz w:val="21"/>
                <w:szCs w:val="21"/>
              </w:rPr>
            </w:pPr>
            <w:r>
              <w:rPr>
                <w:rFonts w:hint="eastAsia" w:hAnsi="宋体"/>
                <w:color w:val="000000"/>
                <w:spacing w:val="-10"/>
                <w:sz w:val="21"/>
                <w:szCs w:val="21"/>
              </w:rPr>
              <w:t>序号</w:t>
            </w:r>
          </w:p>
        </w:tc>
        <w:tc>
          <w:tcPr>
            <w:tcW w:w="998" w:type="pct"/>
            <w:tcMar>
              <w:left w:w="28" w:type="dxa"/>
              <w:right w:w="28" w:type="dxa"/>
            </w:tcMar>
            <w:vAlign w:val="center"/>
          </w:tcPr>
          <w:p w14:paraId="4F1E389C">
            <w:pPr>
              <w:spacing w:line="0" w:lineRule="atLeast"/>
              <w:jc w:val="center"/>
              <w:rPr>
                <w:rFonts w:hint="eastAsia" w:hAnsi="宋体"/>
                <w:color w:val="000000"/>
                <w:spacing w:val="-10"/>
                <w:sz w:val="21"/>
                <w:szCs w:val="21"/>
              </w:rPr>
            </w:pPr>
            <w:r>
              <w:rPr>
                <w:rFonts w:hint="eastAsia" w:hAnsi="宋体"/>
                <w:color w:val="000000"/>
                <w:spacing w:val="-10"/>
                <w:sz w:val="21"/>
                <w:szCs w:val="21"/>
              </w:rPr>
              <w:t>检测项目</w:t>
            </w:r>
          </w:p>
        </w:tc>
        <w:tc>
          <w:tcPr>
            <w:tcW w:w="918" w:type="pct"/>
            <w:tcBorders>
              <w:right w:val="double" w:color="auto" w:sz="4" w:space="0"/>
            </w:tcBorders>
            <w:tcMar>
              <w:left w:w="28" w:type="dxa"/>
              <w:right w:w="28" w:type="dxa"/>
            </w:tcMar>
            <w:vAlign w:val="center"/>
          </w:tcPr>
          <w:p w14:paraId="2C92A5C9">
            <w:pPr>
              <w:spacing w:line="0" w:lineRule="atLeast"/>
              <w:jc w:val="center"/>
              <w:rPr>
                <w:rFonts w:hint="eastAsia" w:hAnsi="宋体"/>
                <w:color w:val="000000"/>
                <w:spacing w:val="-10"/>
                <w:sz w:val="21"/>
                <w:szCs w:val="21"/>
              </w:rPr>
            </w:pPr>
            <w:r>
              <w:rPr>
                <w:rFonts w:hint="eastAsia" w:hAnsi="宋体"/>
                <w:snapToGrid w:val="0"/>
                <w:color w:val="000000"/>
                <w:spacing w:val="-10"/>
                <w:kern w:val="0"/>
                <w:sz w:val="21"/>
                <w:szCs w:val="21"/>
                <w:lang w:bidi="ar"/>
              </w:rPr>
              <w:t>第二类用地</w:t>
            </w:r>
            <w:r>
              <w:rPr>
                <w:rFonts w:hint="eastAsia" w:hAnsi="宋体"/>
                <w:snapToGrid w:val="0"/>
                <w:color w:val="000000"/>
                <w:spacing w:val="-10"/>
                <w:kern w:val="0"/>
                <w:sz w:val="21"/>
                <w:szCs w:val="21"/>
              </w:rPr>
              <w:t>风险筛选值（mg/kg）</w:t>
            </w:r>
          </w:p>
        </w:tc>
        <w:tc>
          <w:tcPr>
            <w:tcW w:w="406" w:type="pct"/>
            <w:tcBorders>
              <w:left w:val="double" w:color="auto" w:sz="4" w:space="0"/>
            </w:tcBorders>
            <w:tcMar>
              <w:left w:w="28" w:type="dxa"/>
              <w:right w:w="28" w:type="dxa"/>
            </w:tcMar>
            <w:vAlign w:val="center"/>
          </w:tcPr>
          <w:p w14:paraId="55B4D1A4">
            <w:pPr>
              <w:spacing w:line="0" w:lineRule="atLeast"/>
              <w:jc w:val="center"/>
              <w:rPr>
                <w:rFonts w:hint="eastAsia" w:hAnsi="宋体"/>
                <w:snapToGrid w:val="0"/>
                <w:color w:val="000000"/>
                <w:spacing w:val="-10"/>
                <w:kern w:val="0"/>
                <w:sz w:val="21"/>
                <w:szCs w:val="21"/>
                <w:lang w:bidi="ar"/>
              </w:rPr>
            </w:pPr>
            <w:r>
              <w:rPr>
                <w:rFonts w:hint="eastAsia" w:hAnsi="宋体"/>
                <w:color w:val="000000"/>
                <w:spacing w:val="-10"/>
                <w:sz w:val="21"/>
                <w:szCs w:val="21"/>
              </w:rPr>
              <w:t>序号</w:t>
            </w:r>
          </w:p>
        </w:tc>
        <w:tc>
          <w:tcPr>
            <w:tcW w:w="1371" w:type="pct"/>
            <w:tcMar>
              <w:left w:w="28" w:type="dxa"/>
              <w:right w:w="28" w:type="dxa"/>
            </w:tcMar>
            <w:vAlign w:val="center"/>
          </w:tcPr>
          <w:p w14:paraId="4721039C">
            <w:pPr>
              <w:spacing w:line="0" w:lineRule="atLeast"/>
              <w:jc w:val="center"/>
              <w:rPr>
                <w:rFonts w:hint="eastAsia" w:hAnsi="宋体"/>
                <w:snapToGrid w:val="0"/>
                <w:color w:val="000000"/>
                <w:spacing w:val="-10"/>
                <w:kern w:val="0"/>
                <w:sz w:val="21"/>
                <w:szCs w:val="21"/>
                <w:lang w:bidi="ar"/>
              </w:rPr>
            </w:pPr>
            <w:r>
              <w:rPr>
                <w:rFonts w:hint="eastAsia" w:hAnsi="宋体"/>
                <w:color w:val="000000"/>
                <w:spacing w:val="-10"/>
                <w:sz w:val="21"/>
                <w:szCs w:val="21"/>
              </w:rPr>
              <w:t>检测项目</w:t>
            </w:r>
          </w:p>
        </w:tc>
        <w:tc>
          <w:tcPr>
            <w:tcW w:w="956" w:type="pct"/>
            <w:tcMar>
              <w:left w:w="28" w:type="dxa"/>
              <w:right w:w="28" w:type="dxa"/>
            </w:tcMar>
            <w:vAlign w:val="center"/>
          </w:tcPr>
          <w:p w14:paraId="3CBDBCD7">
            <w:pPr>
              <w:spacing w:line="0" w:lineRule="atLeast"/>
              <w:jc w:val="center"/>
              <w:rPr>
                <w:rFonts w:hint="eastAsia" w:hAnsi="宋体"/>
                <w:color w:val="000000"/>
                <w:spacing w:val="-10"/>
                <w:sz w:val="21"/>
                <w:szCs w:val="21"/>
              </w:rPr>
            </w:pPr>
            <w:r>
              <w:rPr>
                <w:rFonts w:hint="eastAsia" w:hAnsi="宋体"/>
                <w:snapToGrid w:val="0"/>
                <w:color w:val="000000"/>
                <w:spacing w:val="-10"/>
                <w:kern w:val="0"/>
                <w:sz w:val="21"/>
                <w:szCs w:val="21"/>
                <w:lang w:bidi="ar"/>
              </w:rPr>
              <w:t>第二类用地</w:t>
            </w:r>
            <w:r>
              <w:rPr>
                <w:rFonts w:hint="eastAsia" w:hAnsi="宋体"/>
                <w:snapToGrid w:val="0"/>
                <w:color w:val="000000"/>
                <w:spacing w:val="-10"/>
                <w:kern w:val="0"/>
                <w:sz w:val="21"/>
                <w:szCs w:val="21"/>
              </w:rPr>
              <w:t>风险筛选值（mg/kg）</w:t>
            </w:r>
          </w:p>
        </w:tc>
      </w:tr>
      <w:tr w14:paraId="2EB7F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4BF2BD78">
            <w:pPr>
              <w:spacing w:line="0" w:lineRule="atLeast"/>
              <w:jc w:val="center"/>
              <w:rPr>
                <w:rFonts w:hint="eastAsia" w:hAnsi="宋体"/>
                <w:color w:val="000000"/>
                <w:spacing w:val="-10"/>
                <w:sz w:val="21"/>
                <w:szCs w:val="21"/>
              </w:rPr>
            </w:pPr>
            <w:r>
              <w:rPr>
                <w:rFonts w:hint="eastAsia" w:hAnsi="宋体"/>
                <w:color w:val="000000"/>
                <w:spacing w:val="-10"/>
                <w:sz w:val="21"/>
                <w:szCs w:val="21"/>
              </w:rPr>
              <w:t>1</w:t>
            </w:r>
          </w:p>
        </w:tc>
        <w:tc>
          <w:tcPr>
            <w:tcW w:w="998" w:type="pct"/>
            <w:tcMar>
              <w:left w:w="28" w:type="dxa"/>
              <w:right w:w="28" w:type="dxa"/>
            </w:tcMar>
            <w:vAlign w:val="center"/>
          </w:tcPr>
          <w:p w14:paraId="238EE6AB">
            <w:pPr>
              <w:spacing w:line="0" w:lineRule="atLeast"/>
              <w:jc w:val="center"/>
              <w:rPr>
                <w:rFonts w:hint="eastAsia" w:hAnsi="宋体"/>
                <w:color w:val="000000"/>
                <w:spacing w:val="-10"/>
                <w:sz w:val="21"/>
                <w:szCs w:val="21"/>
              </w:rPr>
            </w:pPr>
            <w:r>
              <w:rPr>
                <w:rFonts w:hint="eastAsia" w:hAnsi="宋体"/>
                <w:color w:val="000000"/>
                <w:spacing w:val="-10"/>
                <w:sz w:val="21"/>
                <w:szCs w:val="21"/>
              </w:rPr>
              <w:t>砷</w:t>
            </w:r>
          </w:p>
        </w:tc>
        <w:tc>
          <w:tcPr>
            <w:tcW w:w="918" w:type="pct"/>
            <w:tcBorders>
              <w:right w:val="double" w:color="auto" w:sz="4" w:space="0"/>
            </w:tcBorders>
            <w:tcMar>
              <w:left w:w="28" w:type="dxa"/>
              <w:right w:w="28" w:type="dxa"/>
            </w:tcMar>
            <w:vAlign w:val="center"/>
          </w:tcPr>
          <w:p w14:paraId="48546D69">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60</w:t>
            </w:r>
          </w:p>
        </w:tc>
        <w:tc>
          <w:tcPr>
            <w:tcW w:w="406" w:type="pct"/>
            <w:tcBorders>
              <w:left w:val="double" w:color="auto" w:sz="4" w:space="0"/>
            </w:tcBorders>
            <w:tcMar>
              <w:left w:w="28" w:type="dxa"/>
              <w:right w:w="28" w:type="dxa"/>
            </w:tcMar>
            <w:vAlign w:val="center"/>
          </w:tcPr>
          <w:p w14:paraId="7E64F11F">
            <w:pPr>
              <w:spacing w:line="0" w:lineRule="atLeast"/>
              <w:jc w:val="center"/>
              <w:rPr>
                <w:rFonts w:hAnsi="宋体"/>
                <w:color w:val="000000"/>
                <w:spacing w:val="-10"/>
                <w:sz w:val="21"/>
                <w:szCs w:val="21"/>
              </w:rPr>
            </w:pPr>
            <w:r>
              <w:rPr>
                <w:rFonts w:hint="eastAsia" w:hAnsi="宋体"/>
                <w:color w:val="000000"/>
                <w:spacing w:val="-10"/>
                <w:sz w:val="21"/>
                <w:szCs w:val="21"/>
              </w:rPr>
              <w:t>23</w:t>
            </w:r>
          </w:p>
        </w:tc>
        <w:tc>
          <w:tcPr>
            <w:tcW w:w="1371" w:type="pct"/>
            <w:tcMar>
              <w:left w:w="28" w:type="dxa"/>
              <w:right w:w="28" w:type="dxa"/>
            </w:tcMar>
            <w:vAlign w:val="center"/>
          </w:tcPr>
          <w:p w14:paraId="1A42C017">
            <w:pPr>
              <w:spacing w:line="0" w:lineRule="atLeast"/>
              <w:jc w:val="center"/>
              <w:rPr>
                <w:rFonts w:hint="eastAsia" w:hAnsi="宋体"/>
                <w:color w:val="000000"/>
                <w:spacing w:val="-10"/>
                <w:sz w:val="21"/>
                <w:szCs w:val="21"/>
              </w:rPr>
            </w:pPr>
            <w:r>
              <w:rPr>
                <w:rFonts w:hint="eastAsia" w:hAnsi="宋体"/>
                <w:bCs/>
                <w:color w:val="000000"/>
                <w:spacing w:val="-10"/>
                <w:sz w:val="21"/>
                <w:szCs w:val="21"/>
              </w:rPr>
              <w:t>1，2，3-三氯丙烷</w:t>
            </w:r>
          </w:p>
        </w:tc>
        <w:tc>
          <w:tcPr>
            <w:tcW w:w="956" w:type="pct"/>
            <w:tcMar>
              <w:left w:w="28" w:type="dxa"/>
              <w:right w:w="28" w:type="dxa"/>
            </w:tcMar>
            <w:vAlign w:val="center"/>
          </w:tcPr>
          <w:p w14:paraId="0B0A4440">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0.5</w:t>
            </w:r>
          </w:p>
        </w:tc>
      </w:tr>
      <w:tr w14:paraId="4C9470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7B1307BD">
            <w:pPr>
              <w:spacing w:line="0" w:lineRule="atLeast"/>
              <w:jc w:val="center"/>
              <w:rPr>
                <w:rFonts w:hint="eastAsia" w:hAnsi="宋体"/>
                <w:color w:val="000000"/>
                <w:spacing w:val="-10"/>
                <w:sz w:val="21"/>
                <w:szCs w:val="21"/>
              </w:rPr>
            </w:pPr>
            <w:r>
              <w:rPr>
                <w:rFonts w:hint="eastAsia" w:hAnsi="宋体"/>
                <w:color w:val="000000"/>
                <w:spacing w:val="-10"/>
                <w:sz w:val="21"/>
                <w:szCs w:val="21"/>
              </w:rPr>
              <w:t>2</w:t>
            </w:r>
          </w:p>
        </w:tc>
        <w:tc>
          <w:tcPr>
            <w:tcW w:w="998" w:type="pct"/>
            <w:tcMar>
              <w:left w:w="28" w:type="dxa"/>
              <w:right w:w="28" w:type="dxa"/>
            </w:tcMar>
            <w:vAlign w:val="center"/>
          </w:tcPr>
          <w:p w14:paraId="00613E5B">
            <w:pPr>
              <w:spacing w:line="0" w:lineRule="atLeast"/>
              <w:jc w:val="center"/>
              <w:rPr>
                <w:rFonts w:hint="eastAsia" w:hAnsi="宋体"/>
                <w:color w:val="000000"/>
                <w:spacing w:val="-10"/>
                <w:sz w:val="21"/>
                <w:szCs w:val="21"/>
              </w:rPr>
            </w:pPr>
            <w:r>
              <w:rPr>
                <w:rFonts w:hint="eastAsia" w:hAnsi="宋体"/>
                <w:bCs/>
                <w:color w:val="000000"/>
                <w:spacing w:val="-10"/>
                <w:sz w:val="21"/>
                <w:szCs w:val="21"/>
              </w:rPr>
              <w:t>镉</w:t>
            </w:r>
          </w:p>
        </w:tc>
        <w:tc>
          <w:tcPr>
            <w:tcW w:w="918" w:type="pct"/>
            <w:tcBorders>
              <w:right w:val="double" w:color="auto" w:sz="4" w:space="0"/>
            </w:tcBorders>
            <w:tcMar>
              <w:left w:w="28" w:type="dxa"/>
              <w:right w:w="28" w:type="dxa"/>
            </w:tcMar>
            <w:vAlign w:val="center"/>
          </w:tcPr>
          <w:p w14:paraId="309D93A5">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65</w:t>
            </w:r>
          </w:p>
        </w:tc>
        <w:tc>
          <w:tcPr>
            <w:tcW w:w="406" w:type="pct"/>
            <w:tcBorders>
              <w:left w:val="double" w:color="auto" w:sz="4" w:space="0"/>
            </w:tcBorders>
            <w:tcMar>
              <w:left w:w="28" w:type="dxa"/>
              <w:right w:w="28" w:type="dxa"/>
            </w:tcMar>
            <w:vAlign w:val="center"/>
          </w:tcPr>
          <w:p w14:paraId="745C49CF">
            <w:pPr>
              <w:spacing w:line="0" w:lineRule="atLeast"/>
              <w:jc w:val="center"/>
              <w:rPr>
                <w:rFonts w:hint="eastAsia" w:hAnsi="宋体"/>
                <w:color w:val="000000"/>
                <w:spacing w:val="-10"/>
                <w:sz w:val="21"/>
                <w:szCs w:val="21"/>
              </w:rPr>
            </w:pPr>
            <w:r>
              <w:rPr>
                <w:rFonts w:hint="eastAsia" w:hAnsi="宋体"/>
                <w:color w:val="000000"/>
                <w:spacing w:val="-10"/>
                <w:sz w:val="21"/>
                <w:szCs w:val="21"/>
              </w:rPr>
              <w:t>24</w:t>
            </w:r>
          </w:p>
        </w:tc>
        <w:tc>
          <w:tcPr>
            <w:tcW w:w="1371" w:type="pct"/>
            <w:tcMar>
              <w:left w:w="28" w:type="dxa"/>
              <w:right w:w="28" w:type="dxa"/>
            </w:tcMar>
            <w:vAlign w:val="center"/>
          </w:tcPr>
          <w:p w14:paraId="5E2DE29C">
            <w:pPr>
              <w:spacing w:line="0" w:lineRule="atLeast"/>
              <w:jc w:val="center"/>
              <w:rPr>
                <w:rFonts w:hint="eastAsia" w:hAnsi="宋体"/>
                <w:color w:val="000000"/>
                <w:spacing w:val="-10"/>
                <w:sz w:val="21"/>
                <w:szCs w:val="21"/>
              </w:rPr>
            </w:pPr>
            <w:r>
              <w:rPr>
                <w:rFonts w:hint="eastAsia" w:hAnsi="宋体"/>
                <w:bCs/>
                <w:color w:val="000000"/>
                <w:spacing w:val="-10"/>
                <w:sz w:val="21"/>
                <w:szCs w:val="21"/>
              </w:rPr>
              <w:t>氯乙烯</w:t>
            </w:r>
          </w:p>
        </w:tc>
        <w:tc>
          <w:tcPr>
            <w:tcW w:w="956" w:type="pct"/>
            <w:tcMar>
              <w:left w:w="28" w:type="dxa"/>
              <w:right w:w="28" w:type="dxa"/>
            </w:tcMar>
            <w:vAlign w:val="center"/>
          </w:tcPr>
          <w:p w14:paraId="1ED35BAB">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0.43</w:t>
            </w:r>
          </w:p>
        </w:tc>
      </w:tr>
    </w:tbl>
    <w:p w14:paraId="4A0E7B0C">
      <w:pPr>
        <w:ind w:firstLine="527"/>
        <w:rPr>
          <w:rFonts w:hint="eastAsia" w:ascii="黑体" w:hAnsi="黑体" w:eastAsia="黑体" w:cs="黑体"/>
          <w:color w:val="000000"/>
        </w:rPr>
      </w:pPr>
      <w:r>
        <w:br w:type="page"/>
      </w:r>
      <w:r>
        <w:rPr>
          <w:rFonts w:hint="eastAsia" w:ascii="黑体" w:hAnsi="宋体" w:eastAsia="黑体"/>
          <w:color w:val="000000"/>
          <w:szCs w:val="24"/>
        </w:rPr>
        <w:t>续</w:t>
      </w:r>
      <w:r>
        <w:rPr>
          <w:rFonts w:hint="eastAsia" w:ascii="黑体" w:hAnsi="黑体" w:eastAsia="黑体"/>
          <w:color w:val="000000"/>
        </w:rPr>
        <w:t>表2.4-2</w:t>
      </w:r>
      <w:r>
        <w:rPr>
          <w:rFonts w:hint="eastAsia" w:ascii="黑体" w:hAnsi="黑体" w:eastAsia="黑体" w:cs="黑体"/>
          <w:color w:val="000000"/>
        </w:rPr>
        <w:t xml:space="preserve">       土壤污染风险筛选值一览表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32"/>
        <w:gridCol w:w="1798"/>
        <w:gridCol w:w="1654"/>
        <w:gridCol w:w="732"/>
        <w:gridCol w:w="2471"/>
        <w:gridCol w:w="1723"/>
      </w:tblGrid>
      <w:tr w14:paraId="0427D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62A02B82">
            <w:pPr>
              <w:spacing w:line="0" w:lineRule="atLeast"/>
              <w:jc w:val="center"/>
              <w:rPr>
                <w:rFonts w:hint="eastAsia" w:hAnsi="宋体"/>
                <w:color w:val="000000"/>
                <w:spacing w:val="-10"/>
                <w:sz w:val="21"/>
                <w:szCs w:val="21"/>
              </w:rPr>
            </w:pPr>
            <w:r>
              <w:rPr>
                <w:rFonts w:hint="eastAsia" w:hAnsi="宋体"/>
                <w:color w:val="000000"/>
                <w:spacing w:val="-10"/>
                <w:sz w:val="21"/>
                <w:szCs w:val="21"/>
              </w:rPr>
              <w:t>序号</w:t>
            </w:r>
          </w:p>
        </w:tc>
        <w:tc>
          <w:tcPr>
            <w:tcW w:w="998" w:type="pct"/>
            <w:tcMar>
              <w:left w:w="28" w:type="dxa"/>
              <w:right w:w="28" w:type="dxa"/>
            </w:tcMar>
            <w:vAlign w:val="center"/>
          </w:tcPr>
          <w:p w14:paraId="08D565EE">
            <w:pPr>
              <w:spacing w:line="0" w:lineRule="atLeast"/>
              <w:jc w:val="center"/>
              <w:rPr>
                <w:rFonts w:hint="eastAsia" w:hAnsi="宋体"/>
                <w:color w:val="000000"/>
                <w:spacing w:val="-10"/>
                <w:sz w:val="21"/>
                <w:szCs w:val="21"/>
              </w:rPr>
            </w:pPr>
            <w:r>
              <w:rPr>
                <w:rFonts w:hint="eastAsia" w:hAnsi="宋体"/>
                <w:color w:val="000000"/>
                <w:spacing w:val="-10"/>
                <w:sz w:val="21"/>
                <w:szCs w:val="21"/>
              </w:rPr>
              <w:t>检测项目</w:t>
            </w:r>
          </w:p>
        </w:tc>
        <w:tc>
          <w:tcPr>
            <w:tcW w:w="918" w:type="pct"/>
            <w:tcBorders>
              <w:right w:val="double" w:color="auto" w:sz="4" w:space="0"/>
            </w:tcBorders>
            <w:tcMar>
              <w:left w:w="28" w:type="dxa"/>
              <w:right w:w="28" w:type="dxa"/>
            </w:tcMar>
            <w:vAlign w:val="center"/>
          </w:tcPr>
          <w:p w14:paraId="20307B05">
            <w:pPr>
              <w:spacing w:line="0" w:lineRule="atLeast"/>
              <w:jc w:val="center"/>
              <w:rPr>
                <w:rFonts w:hint="eastAsia" w:hAnsi="宋体"/>
                <w:color w:val="000000"/>
                <w:spacing w:val="-10"/>
                <w:sz w:val="21"/>
                <w:szCs w:val="21"/>
              </w:rPr>
            </w:pPr>
            <w:r>
              <w:rPr>
                <w:rFonts w:hint="eastAsia" w:hAnsi="宋体"/>
                <w:snapToGrid w:val="0"/>
                <w:color w:val="000000"/>
                <w:spacing w:val="-10"/>
                <w:kern w:val="0"/>
                <w:sz w:val="21"/>
                <w:szCs w:val="21"/>
                <w:lang w:bidi="ar"/>
              </w:rPr>
              <w:t>第二类用地</w:t>
            </w:r>
            <w:r>
              <w:rPr>
                <w:rFonts w:hint="eastAsia" w:hAnsi="宋体"/>
                <w:snapToGrid w:val="0"/>
                <w:color w:val="000000"/>
                <w:spacing w:val="-10"/>
                <w:kern w:val="0"/>
                <w:sz w:val="21"/>
                <w:szCs w:val="21"/>
              </w:rPr>
              <w:t>风险筛选值（mg/kg）</w:t>
            </w:r>
          </w:p>
        </w:tc>
        <w:tc>
          <w:tcPr>
            <w:tcW w:w="406" w:type="pct"/>
            <w:tcBorders>
              <w:left w:val="double" w:color="auto" w:sz="4" w:space="0"/>
            </w:tcBorders>
            <w:tcMar>
              <w:left w:w="28" w:type="dxa"/>
              <w:right w:w="28" w:type="dxa"/>
            </w:tcMar>
            <w:vAlign w:val="center"/>
          </w:tcPr>
          <w:p w14:paraId="70DE3489">
            <w:pPr>
              <w:spacing w:line="0" w:lineRule="atLeast"/>
              <w:jc w:val="center"/>
              <w:rPr>
                <w:rFonts w:hint="eastAsia" w:hAnsi="宋体"/>
                <w:snapToGrid w:val="0"/>
                <w:color w:val="000000"/>
                <w:spacing w:val="-10"/>
                <w:kern w:val="0"/>
                <w:sz w:val="21"/>
                <w:szCs w:val="21"/>
                <w:lang w:bidi="ar"/>
              </w:rPr>
            </w:pPr>
            <w:r>
              <w:rPr>
                <w:rFonts w:hint="eastAsia" w:hAnsi="宋体"/>
                <w:color w:val="000000"/>
                <w:spacing w:val="-10"/>
                <w:sz w:val="21"/>
                <w:szCs w:val="21"/>
              </w:rPr>
              <w:t>序号</w:t>
            </w:r>
          </w:p>
        </w:tc>
        <w:tc>
          <w:tcPr>
            <w:tcW w:w="1371" w:type="pct"/>
            <w:tcMar>
              <w:left w:w="28" w:type="dxa"/>
              <w:right w:w="28" w:type="dxa"/>
            </w:tcMar>
            <w:vAlign w:val="center"/>
          </w:tcPr>
          <w:p w14:paraId="4E554844">
            <w:pPr>
              <w:spacing w:line="0" w:lineRule="atLeast"/>
              <w:jc w:val="center"/>
              <w:rPr>
                <w:rFonts w:hint="eastAsia" w:hAnsi="宋体"/>
                <w:snapToGrid w:val="0"/>
                <w:color w:val="000000"/>
                <w:spacing w:val="-10"/>
                <w:kern w:val="0"/>
                <w:sz w:val="21"/>
                <w:szCs w:val="21"/>
                <w:lang w:bidi="ar"/>
              </w:rPr>
            </w:pPr>
            <w:r>
              <w:rPr>
                <w:rFonts w:hint="eastAsia" w:hAnsi="宋体"/>
                <w:color w:val="000000"/>
                <w:spacing w:val="-10"/>
                <w:sz w:val="21"/>
                <w:szCs w:val="21"/>
              </w:rPr>
              <w:t>检测项目</w:t>
            </w:r>
          </w:p>
        </w:tc>
        <w:tc>
          <w:tcPr>
            <w:tcW w:w="956" w:type="pct"/>
            <w:tcMar>
              <w:left w:w="28" w:type="dxa"/>
              <w:right w:w="28" w:type="dxa"/>
            </w:tcMar>
            <w:vAlign w:val="center"/>
          </w:tcPr>
          <w:p w14:paraId="571C22AB">
            <w:pPr>
              <w:spacing w:line="0" w:lineRule="atLeast"/>
              <w:jc w:val="center"/>
              <w:rPr>
                <w:rFonts w:hint="eastAsia" w:hAnsi="宋体"/>
                <w:color w:val="000000"/>
                <w:spacing w:val="-10"/>
                <w:sz w:val="21"/>
                <w:szCs w:val="21"/>
              </w:rPr>
            </w:pPr>
            <w:r>
              <w:rPr>
                <w:rFonts w:hint="eastAsia" w:hAnsi="宋体"/>
                <w:snapToGrid w:val="0"/>
                <w:color w:val="000000"/>
                <w:spacing w:val="-10"/>
                <w:kern w:val="0"/>
                <w:sz w:val="21"/>
                <w:szCs w:val="21"/>
                <w:lang w:bidi="ar"/>
              </w:rPr>
              <w:t>第二类用地</w:t>
            </w:r>
            <w:r>
              <w:rPr>
                <w:rFonts w:hint="eastAsia" w:hAnsi="宋体"/>
                <w:snapToGrid w:val="0"/>
                <w:color w:val="000000"/>
                <w:spacing w:val="-10"/>
                <w:kern w:val="0"/>
                <w:sz w:val="21"/>
                <w:szCs w:val="21"/>
              </w:rPr>
              <w:t>风险筛选值（mg/kg）</w:t>
            </w:r>
          </w:p>
        </w:tc>
      </w:tr>
      <w:tr w14:paraId="643177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7D76EE7E">
            <w:pPr>
              <w:spacing w:line="0" w:lineRule="atLeast"/>
              <w:jc w:val="center"/>
              <w:rPr>
                <w:rFonts w:hint="eastAsia" w:hAnsi="宋体"/>
                <w:color w:val="000000"/>
                <w:spacing w:val="-10"/>
                <w:sz w:val="21"/>
                <w:szCs w:val="21"/>
              </w:rPr>
            </w:pPr>
            <w:r>
              <w:rPr>
                <w:rFonts w:hint="eastAsia" w:hAnsi="宋体"/>
                <w:color w:val="000000"/>
                <w:spacing w:val="-10"/>
                <w:sz w:val="21"/>
                <w:szCs w:val="21"/>
              </w:rPr>
              <w:t>3</w:t>
            </w:r>
          </w:p>
        </w:tc>
        <w:tc>
          <w:tcPr>
            <w:tcW w:w="998" w:type="pct"/>
            <w:tcMar>
              <w:left w:w="28" w:type="dxa"/>
              <w:right w:w="28" w:type="dxa"/>
            </w:tcMar>
            <w:vAlign w:val="center"/>
          </w:tcPr>
          <w:p w14:paraId="76D1638C">
            <w:pPr>
              <w:spacing w:line="0" w:lineRule="atLeast"/>
              <w:jc w:val="center"/>
              <w:rPr>
                <w:rFonts w:hint="eastAsia" w:hAnsi="宋体"/>
                <w:color w:val="000000"/>
                <w:spacing w:val="-10"/>
                <w:sz w:val="21"/>
                <w:szCs w:val="21"/>
              </w:rPr>
            </w:pPr>
            <w:r>
              <w:rPr>
                <w:rFonts w:hint="eastAsia" w:hAnsi="宋体"/>
                <w:color w:val="000000"/>
                <w:spacing w:val="-10"/>
                <w:sz w:val="21"/>
                <w:szCs w:val="21"/>
              </w:rPr>
              <w:t>六价铬</w:t>
            </w:r>
          </w:p>
        </w:tc>
        <w:tc>
          <w:tcPr>
            <w:tcW w:w="918" w:type="pct"/>
            <w:tcBorders>
              <w:right w:val="double" w:color="auto" w:sz="4" w:space="0"/>
            </w:tcBorders>
            <w:tcMar>
              <w:left w:w="28" w:type="dxa"/>
              <w:right w:w="28" w:type="dxa"/>
            </w:tcMar>
            <w:vAlign w:val="center"/>
          </w:tcPr>
          <w:p w14:paraId="2AE72A8B">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5.7</w:t>
            </w:r>
          </w:p>
        </w:tc>
        <w:tc>
          <w:tcPr>
            <w:tcW w:w="406" w:type="pct"/>
            <w:tcBorders>
              <w:left w:val="double" w:color="auto" w:sz="4" w:space="0"/>
            </w:tcBorders>
            <w:tcMar>
              <w:left w:w="28" w:type="dxa"/>
              <w:right w:w="28" w:type="dxa"/>
            </w:tcMar>
            <w:vAlign w:val="center"/>
          </w:tcPr>
          <w:p w14:paraId="4A48CA52">
            <w:pPr>
              <w:spacing w:line="0" w:lineRule="atLeast"/>
              <w:jc w:val="center"/>
              <w:rPr>
                <w:rFonts w:hint="eastAsia" w:hAnsi="宋体"/>
                <w:color w:val="000000"/>
                <w:spacing w:val="-10"/>
                <w:sz w:val="21"/>
                <w:szCs w:val="21"/>
              </w:rPr>
            </w:pPr>
            <w:r>
              <w:rPr>
                <w:rFonts w:hint="eastAsia" w:hAnsi="宋体"/>
                <w:color w:val="000000"/>
                <w:spacing w:val="-10"/>
                <w:sz w:val="21"/>
                <w:szCs w:val="21"/>
              </w:rPr>
              <w:t>25</w:t>
            </w:r>
          </w:p>
        </w:tc>
        <w:tc>
          <w:tcPr>
            <w:tcW w:w="1371" w:type="pct"/>
            <w:tcMar>
              <w:left w:w="28" w:type="dxa"/>
              <w:right w:w="28" w:type="dxa"/>
            </w:tcMar>
            <w:vAlign w:val="center"/>
          </w:tcPr>
          <w:p w14:paraId="285CB068">
            <w:pPr>
              <w:spacing w:line="0" w:lineRule="atLeast"/>
              <w:jc w:val="center"/>
              <w:rPr>
                <w:rFonts w:hint="eastAsia" w:hAnsi="宋体"/>
                <w:color w:val="000000"/>
                <w:spacing w:val="-10"/>
                <w:sz w:val="21"/>
                <w:szCs w:val="21"/>
              </w:rPr>
            </w:pPr>
            <w:r>
              <w:rPr>
                <w:rFonts w:hint="eastAsia" w:hAnsi="宋体"/>
                <w:bCs/>
                <w:color w:val="000000"/>
                <w:spacing w:val="-10"/>
                <w:sz w:val="21"/>
                <w:szCs w:val="21"/>
              </w:rPr>
              <w:t>苯</w:t>
            </w:r>
          </w:p>
        </w:tc>
        <w:tc>
          <w:tcPr>
            <w:tcW w:w="956" w:type="pct"/>
            <w:tcMar>
              <w:left w:w="28" w:type="dxa"/>
              <w:right w:w="28" w:type="dxa"/>
            </w:tcMar>
            <w:vAlign w:val="center"/>
          </w:tcPr>
          <w:p w14:paraId="1A2A879D">
            <w:pPr>
              <w:spacing w:line="0" w:lineRule="atLeast"/>
              <w:jc w:val="center"/>
              <w:textAlignment w:val="center"/>
              <w:rPr>
                <w:rFonts w:hint="eastAsia" w:hAnsi="宋体"/>
                <w:color w:val="000000"/>
                <w:spacing w:val="-10"/>
                <w:sz w:val="21"/>
                <w:szCs w:val="21"/>
              </w:rPr>
            </w:pPr>
            <w:r>
              <w:rPr>
                <w:rFonts w:hint="eastAsia" w:hAnsi="宋体"/>
                <w:color w:val="000000"/>
                <w:spacing w:val="-10"/>
                <w:kern w:val="0"/>
                <w:sz w:val="21"/>
                <w:szCs w:val="21"/>
                <w:lang w:bidi="ar"/>
              </w:rPr>
              <w:t>4</w:t>
            </w:r>
          </w:p>
        </w:tc>
      </w:tr>
      <w:tr w14:paraId="77EC07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7F14A4B">
            <w:pPr>
              <w:spacing w:line="0" w:lineRule="atLeast"/>
              <w:jc w:val="center"/>
              <w:rPr>
                <w:rFonts w:hint="eastAsia" w:hAnsi="宋体"/>
                <w:color w:val="000000"/>
                <w:spacing w:val="-10"/>
                <w:sz w:val="21"/>
                <w:szCs w:val="21"/>
              </w:rPr>
            </w:pPr>
            <w:r>
              <w:rPr>
                <w:rFonts w:hint="eastAsia" w:hAnsi="宋体"/>
                <w:color w:val="000000"/>
                <w:spacing w:val="-10"/>
                <w:sz w:val="21"/>
                <w:szCs w:val="21"/>
              </w:rPr>
              <w:t>4</w:t>
            </w:r>
          </w:p>
        </w:tc>
        <w:tc>
          <w:tcPr>
            <w:tcW w:w="998" w:type="pct"/>
            <w:tcMar>
              <w:left w:w="28" w:type="dxa"/>
              <w:right w:w="28" w:type="dxa"/>
            </w:tcMar>
            <w:vAlign w:val="center"/>
          </w:tcPr>
          <w:p w14:paraId="634E6503">
            <w:pPr>
              <w:spacing w:line="0" w:lineRule="atLeast"/>
              <w:jc w:val="center"/>
              <w:rPr>
                <w:rFonts w:hint="eastAsia" w:hAnsi="宋体"/>
                <w:color w:val="000000"/>
                <w:spacing w:val="-10"/>
                <w:sz w:val="21"/>
                <w:szCs w:val="21"/>
              </w:rPr>
            </w:pPr>
            <w:r>
              <w:rPr>
                <w:rFonts w:hint="eastAsia" w:hAnsi="宋体"/>
                <w:bCs/>
                <w:color w:val="000000"/>
                <w:spacing w:val="-10"/>
                <w:sz w:val="21"/>
                <w:szCs w:val="21"/>
              </w:rPr>
              <w:t>铜</w:t>
            </w:r>
          </w:p>
        </w:tc>
        <w:tc>
          <w:tcPr>
            <w:tcW w:w="918" w:type="pct"/>
            <w:tcBorders>
              <w:right w:val="double" w:color="auto" w:sz="4" w:space="0"/>
            </w:tcBorders>
            <w:tcMar>
              <w:left w:w="28" w:type="dxa"/>
              <w:right w:w="28" w:type="dxa"/>
            </w:tcMar>
            <w:vAlign w:val="center"/>
          </w:tcPr>
          <w:p w14:paraId="219DCADE">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18000</w:t>
            </w:r>
          </w:p>
        </w:tc>
        <w:tc>
          <w:tcPr>
            <w:tcW w:w="406" w:type="pct"/>
            <w:tcBorders>
              <w:left w:val="double" w:color="auto" w:sz="4" w:space="0"/>
            </w:tcBorders>
            <w:tcMar>
              <w:left w:w="28" w:type="dxa"/>
              <w:right w:w="28" w:type="dxa"/>
            </w:tcMar>
            <w:vAlign w:val="center"/>
          </w:tcPr>
          <w:p w14:paraId="102EC781">
            <w:pPr>
              <w:spacing w:line="0" w:lineRule="atLeast"/>
              <w:jc w:val="center"/>
              <w:rPr>
                <w:rFonts w:hint="eastAsia" w:hAnsi="宋体"/>
                <w:color w:val="000000"/>
                <w:spacing w:val="-10"/>
                <w:sz w:val="21"/>
                <w:szCs w:val="21"/>
              </w:rPr>
            </w:pPr>
            <w:r>
              <w:rPr>
                <w:rFonts w:hint="eastAsia" w:hAnsi="宋体"/>
                <w:color w:val="000000"/>
                <w:spacing w:val="-10"/>
                <w:sz w:val="21"/>
                <w:szCs w:val="21"/>
              </w:rPr>
              <w:t>26</w:t>
            </w:r>
          </w:p>
        </w:tc>
        <w:tc>
          <w:tcPr>
            <w:tcW w:w="1371" w:type="pct"/>
            <w:tcMar>
              <w:left w:w="28" w:type="dxa"/>
              <w:right w:w="28" w:type="dxa"/>
            </w:tcMar>
            <w:vAlign w:val="center"/>
          </w:tcPr>
          <w:p w14:paraId="19AF2008">
            <w:pPr>
              <w:spacing w:line="0" w:lineRule="atLeast"/>
              <w:jc w:val="center"/>
              <w:rPr>
                <w:rFonts w:hint="eastAsia" w:hAnsi="宋体"/>
                <w:color w:val="000000"/>
                <w:spacing w:val="-10"/>
                <w:sz w:val="21"/>
                <w:szCs w:val="21"/>
              </w:rPr>
            </w:pPr>
            <w:r>
              <w:rPr>
                <w:rFonts w:hint="eastAsia" w:hAnsi="宋体"/>
                <w:bCs/>
                <w:color w:val="000000"/>
                <w:spacing w:val="-10"/>
                <w:sz w:val="21"/>
                <w:szCs w:val="21"/>
              </w:rPr>
              <w:t>氯苯</w:t>
            </w:r>
          </w:p>
        </w:tc>
        <w:tc>
          <w:tcPr>
            <w:tcW w:w="956" w:type="pct"/>
            <w:tcMar>
              <w:left w:w="28" w:type="dxa"/>
              <w:right w:w="28" w:type="dxa"/>
            </w:tcMar>
            <w:vAlign w:val="center"/>
          </w:tcPr>
          <w:p w14:paraId="18E6E3DC">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270</w:t>
            </w:r>
          </w:p>
        </w:tc>
      </w:tr>
      <w:tr w14:paraId="080F66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61E3E9DD">
            <w:pPr>
              <w:spacing w:line="0" w:lineRule="atLeast"/>
              <w:jc w:val="center"/>
              <w:rPr>
                <w:rFonts w:hint="eastAsia" w:hAnsi="宋体"/>
                <w:color w:val="000000"/>
                <w:spacing w:val="-10"/>
                <w:sz w:val="21"/>
                <w:szCs w:val="21"/>
              </w:rPr>
            </w:pPr>
            <w:r>
              <w:rPr>
                <w:rFonts w:hint="eastAsia" w:hAnsi="宋体"/>
                <w:color w:val="000000"/>
                <w:spacing w:val="-10"/>
                <w:sz w:val="21"/>
                <w:szCs w:val="21"/>
              </w:rPr>
              <w:t>5</w:t>
            </w:r>
          </w:p>
        </w:tc>
        <w:tc>
          <w:tcPr>
            <w:tcW w:w="998" w:type="pct"/>
            <w:tcMar>
              <w:left w:w="28" w:type="dxa"/>
              <w:right w:w="28" w:type="dxa"/>
            </w:tcMar>
            <w:vAlign w:val="center"/>
          </w:tcPr>
          <w:p w14:paraId="07C25ED7">
            <w:pPr>
              <w:spacing w:line="0" w:lineRule="atLeast"/>
              <w:jc w:val="center"/>
              <w:rPr>
                <w:rFonts w:hint="eastAsia" w:hAnsi="宋体"/>
                <w:color w:val="000000"/>
                <w:spacing w:val="-10"/>
                <w:sz w:val="21"/>
                <w:szCs w:val="21"/>
              </w:rPr>
            </w:pPr>
            <w:r>
              <w:rPr>
                <w:rFonts w:hint="eastAsia" w:hAnsi="宋体"/>
                <w:color w:val="000000"/>
                <w:spacing w:val="-10"/>
                <w:sz w:val="21"/>
                <w:szCs w:val="21"/>
              </w:rPr>
              <w:t>铅</w:t>
            </w:r>
          </w:p>
        </w:tc>
        <w:tc>
          <w:tcPr>
            <w:tcW w:w="918" w:type="pct"/>
            <w:tcBorders>
              <w:right w:val="double" w:color="auto" w:sz="4" w:space="0"/>
            </w:tcBorders>
            <w:tcMar>
              <w:left w:w="28" w:type="dxa"/>
              <w:right w:w="28" w:type="dxa"/>
            </w:tcMar>
            <w:vAlign w:val="center"/>
          </w:tcPr>
          <w:p w14:paraId="65CE67A4">
            <w:pPr>
              <w:spacing w:line="0" w:lineRule="atLeast"/>
              <w:jc w:val="center"/>
              <w:textAlignment w:val="center"/>
              <w:rPr>
                <w:rFonts w:hint="eastAsia" w:hAnsi="宋体"/>
                <w:color w:val="000000"/>
                <w:spacing w:val="-10"/>
                <w:kern w:val="0"/>
                <w:sz w:val="21"/>
                <w:szCs w:val="21"/>
                <w:lang w:bidi="ar"/>
              </w:rPr>
            </w:pPr>
            <w:r>
              <w:rPr>
                <w:rFonts w:hint="eastAsia" w:hAnsi="宋体"/>
                <w:color w:val="000000"/>
                <w:spacing w:val="-10"/>
                <w:kern w:val="0"/>
                <w:sz w:val="21"/>
                <w:szCs w:val="21"/>
                <w:lang w:bidi="ar"/>
              </w:rPr>
              <w:t>800</w:t>
            </w:r>
          </w:p>
        </w:tc>
        <w:tc>
          <w:tcPr>
            <w:tcW w:w="406" w:type="pct"/>
            <w:tcBorders>
              <w:left w:val="double" w:color="auto" w:sz="4" w:space="0"/>
            </w:tcBorders>
            <w:tcMar>
              <w:left w:w="28" w:type="dxa"/>
              <w:right w:w="28" w:type="dxa"/>
            </w:tcMar>
            <w:vAlign w:val="center"/>
          </w:tcPr>
          <w:p w14:paraId="58F75613">
            <w:pPr>
              <w:spacing w:line="0" w:lineRule="atLeast"/>
              <w:jc w:val="center"/>
              <w:rPr>
                <w:rFonts w:hint="eastAsia" w:hAnsi="宋体"/>
                <w:color w:val="000000"/>
                <w:spacing w:val="-10"/>
                <w:sz w:val="21"/>
                <w:szCs w:val="21"/>
              </w:rPr>
            </w:pPr>
            <w:r>
              <w:rPr>
                <w:rFonts w:hint="eastAsia" w:hAnsi="宋体"/>
                <w:color w:val="000000"/>
                <w:spacing w:val="-10"/>
                <w:sz w:val="21"/>
                <w:szCs w:val="21"/>
              </w:rPr>
              <w:t>27</w:t>
            </w:r>
          </w:p>
        </w:tc>
        <w:tc>
          <w:tcPr>
            <w:tcW w:w="1371" w:type="pct"/>
            <w:tcMar>
              <w:left w:w="28" w:type="dxa"/>
              <w:right w:w="28" w:type="dxa"/>
            </w:tcMar>
            <w:vAlign w:val="center"/>
          </w:tcPr>
          <w:p w14:paraId="68056C39">
            <w:pPr>
              <w:spacing w:line="0" w:lineRule="atLeast"/>
              <w:jc w:val="center"/>
              <w:rPr>
                <w:rFonts w:hint="eastAsia" w:hAnsi="宋体"/>
                <w:color w:val="000000"/>
                <w:spacing w:val="-10"/>
                <w:sz w:val="21"/>
                <w:szCs w:val="21"/>
              </w:rPr>
            </w:pPr>
            <w:r>
              <w:rPr>
                <w:rFonts w:hint="eastAsia" w:hAnsi="宋体"/>
                <w:color w:val="000000"/>
                <w:spacing w:val="-10"/>
                <w:sz w:val="21"/>
                <w:szCs w:val="21"/>
              </w:rPr>
              <w:t>1，2-二氯苯</w:t>
            </w:r>
          </w:p>
        </w:tc>
        <w:tc>
          <w:tcPr>
            <w:tcW w:w="956" w:type="pct"/>
            <w:tcMar>
              <w:left w:w="28" w:type="dxa"/>
              <w:right w:w="28" w:type="dxa"/>
            </w:tcMar>
            <w:vAlign w:val="center"/>
          </w:tcPr>
          <w:p w14:paraId="44C61E3D">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560</w:t>
            </w:r>
          </w:p>
        </w:tc>
      </w:tr>
      <w:tr w14:paraId="451AF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2C094CDC">
            <w:pPr>
              <w:spacing w:line="0" w:lineRule="atLeast"/>
              <w:jc w:val="center"/>
              <w:rPr>
                <w:rFonts w:hint="eastAsia" w:hAnsi="宋体"/>
                <w:color w:val="000000"/>
                <w:spacing w:val="-10"/>
                <w:sz w:val="21"/>
                <w:szCs w:val="21"/>
              </w:rPr>
            </w:pPr>
            <w:r>
              <w:rPr>
                <w:rFonts w:hint="eastAsia" w:hAnsi="宋体"/>
                <w:color w:val="000000"/>
                <w:spacing w:val="-10"/>
                <w:sz w:val="21"/>
                <w:szCs w:val="21"/>
              </w:rPr>
              <w:t>6</w:t>
            </w:r>
          </w:p>
        </w:tc>
        <w:tc>
          <w:tcPr>
            <w:tcW w:w="998" w:type="pct"/>
            <w:tcMar>
              <w:left w:w="28" w:type="dxa"/>
              <w:right w:w="28" w:type="dxa"/>
            </w:tcMar>
            <w:vAlign w:val="center"/>
          </w:tcPr>
          <w:p w14:paraId="76F8BD89">
            <w:pPr>
              <w:spacing w:line="0" w:lineRule="atLeast"/>
              <w:jc w:val="center"/>
              <w:rPr>
                <w:rFonts w:hint="eastAsia" w:hAnsi="宋体"/>
                <w:color w:val="000000"/>
                <w:spacing w:val="-10"/>
                <w:sz w:val="21"/>
                <w:szCs w:val="21"/>
              </w:rPr>
            </w:pPr>
            <w:r>
              <w:rPr>
                <w:rFonts w:hint="eastAsia" w:hAnsi="宋体"/>
                <w:color w:val="000000"/>
                <w:spacing w:val="-10"/>
                <w:sz w:val="21"/>
                <w:szCs w:val="21"/>
              </w:rPr>
              <w:t>汞</w:t>
            </w:r>
          </w:p>
        </w:tc>
        <w:tc>
          <w:tcPr>
            <w:tcW w:w="918" w:type="pct"/>
            <w:tcBorders>
              <w:right w:val="double" w:color="auto" w:sz="4" w:space="0"/>
            </w:tcBorders>
            <w:tcMar>
              <w:left w:w="28" w:type="dxa"/>
              <w:right w:w="28" w:type="dxa"/>
            </w:tcMar>
            <w:vAlign w:val="center"/>
          </w:tcPr>
          <w:p w14:paraId="7A97986F">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38</w:t>
            </w:r>
          </w:p>
        </w:tc>
        <w:tc>
          <w:tcPr>
            <w:tcW w:w="406" w:type="pct"/>
            <w:tcBorders>
              <w:left w:val="double" w:color="auto" w:sz="4" w:space="0"/>
            </w:tcBorders>
            <w:tcMar>
              <w:left w:w="28" w:type="dxa"/>
              <w:right w:w="28" w:type="dxa"/>
            </w:tcMar>
            <w:vAlign w:val="center"/>
          </w:tcPr>
          <w:p w14:paraId="068BCB42">
            <w:pPr>
              <w:spacing w:line="0" w:lineRule="atLeast"/>
              <w:jc w:val="center"/>
              <w:rPr>
                <w:rFonts w:hint="eastAsia" w:hAnsi="宋体"/>
                <w:color w:val="000000"/>
                <w:spacing w:val="-10"/>
                <w:sz w:val="21"/>
                <w:szCs w:val="21"/>
              </w:rPr>
            </w:pPr>
            <w:r>
              <w:rPr>
                <w:rFonts w:hint="eastAsia" w:hAnsi="宋体"/>
                <w:color w:val="000000"/>
                <w:spacing w:val="-10"/>
                <w:sz w:val="21"/>
                <w:szCs w:val="21"/>
              </w:rPr>
              <w:t>28</w:t>
            </w:r>
          </w:p>
        </w:tc>
        <w:tc>
          <w:tcPr>
            <w:tcW w:w="1371" w:type="pct"/>
            <w:tcMar>
              <w:left w:w="28" w:type="dxa"/>
              <w:right w:w="28" w:type="dxa"/>
            </w:tcMar>
            <w:vAlign w:val="center"/>
          </w:tcPr>
          <w:p w14:paraId="3F5BEE47">
            <w:pPr>
              <w:spacing w:line="0" w:lineRule="atLeast"/>
              <w:jc w:val="center"/>
              <w:rPr>
                <w:rFonts w:hint="eastAsia" w:hAnsi="宋体"/>
                <w:color w:val="000000"/>
                <w:spacing w:val="-10"/>
                <w:kern w:val="0"/>
                <w:sz w:val="21"/>
                <w:szCs w:val="21"/>
                <w:lang w:bidi="ar"/>
              </w:rPr>
            </w:pPr>
            <w:r>
              <w:rPr>
                <w:rFonts w:hint="eastAsia" w:hAnsi="宋体"/>
                <w:bCs/>
                <w:color w:val="000000"/>
                <w:spacing w:val="-10"/>
                <w:sz w:val="21"/>
                <w:szCs w:val="21"/>
              </w:rPr>
              <w:t>1，4-二氯苯</w:t>
            </w:r>
          </w:p>
        </w:tc>
        <w:tc>
          <w:tcPr>
            <w:tcW w:w="956" w:type="pct"/>
            <w:tcMar>
              <w:left w:w="28" w:type="dxa"/>
              <w:right w:w="28" w:type="dxa"/>
            </w:tcMar>
            <w:vAlign w:val="center"/>
          </w:tcPr>
          <w:p w14:paraId="37A3641E">
            <w:pPr>
              <w:spacing w:line="0" w:lineRule="atLeast"/>
              <w:jc w:val="center"/>
              <w:textAlignment w:val="center"/>
              <w:rPr>
                <w:rFonts w:hint="eastAsia" w:hAnsi="宋体"/>
                <w:color w:val="000000"/>
                <w:spacing w:val="-10"/>
                <w:kern w:val="0"/>
                <w:sz w:val="21"/>
                <w:szCs w:val="21"/>
                <w:lang w:bidi="ar"/>
              </w:rPr>
            </w:pPr>
            <w:r>
              <w:rPr>
                <w:rFonts w:hint="eastAsia" w:hAnsi="宋体"/>
                <w:color w:val="000000"/>
                <w:spacing w:val="-10"/>
                <w:sz w:val="21"/>
                <w:szCs w:val="21"/>
              </w:rPr>
              <w:t>20</w:t>
            </w:r>
          </w:p>
        </w:tc>
      </w:tr>
      <w:tr w14:paraId="2BCEEB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57E9E7F4">
            <w:pPr>
              <w:spacing w:line="0" w:lineRule="atLeast"/>
              <w:jc w:val="center"/>
              <w:rPr>
                <w:rFonts w:hint="eastAsia" w:hAnsi="宋体"/>
                <w:color w:val="000000"/>
                <w:spacing w:val="-10"/>
                <w:sz w:val="21"/>
                <w:szCs w:val="21"/>
              </w:rPr>
            </w:pPr>
            <w:r>
              <w:rPr>
                <w:rFonts w:hint="eastAsia" w:hAnsi="宋体"/>
                <w:color w:val="000000"/>
                <w:spacing w:val="-10"/>
                <w:sz w:val="21"/>
                <w:szCs w:val="21"/>
              </w:rPr>
              <w:t>7</w:t>
            </w:r>
          </w:p>
        </w:tc>
        <w:tc>
          <w:tcPr>
            <w:tcW w:w="998" w:type="pct"/>
            <w:tcMar>
              <w:left w:w="28" w:type="dxa"/>
              <w:right w:w="28" w:type="dxa"/>
            </w:tcMar>
            <w:vAlign w:val="center"/>
          </w:tcPr>
          <w:p w14:paraId="13E24B7E">
            <w:pPr>
              <w:spacing w:line="0" w:lineRule="atLeast"/>
              <w:jc w:val="center"/>
              <w:rPr>
                <w:rFonts w:hint="eastAsia" w:hAnsi="宋体"/>
                <w:color w:val="000000"/>
                <w:spacing w:val="-10"/>
                <w:sz w:val="21"/>
                <w:szCs w:val="21"/>
              </w:rPr>
            </w:pPr>
            <w:r>
              <w:rPr>
                <w:rFonts w:hint="eastAsia" w:hAnsi="宋体"/>
                <w:bCs/>
                <w:color w:val="000000"/>
                <w:spacing w:val="-10"/>
                <w:sz w:val="21"/>
                <w:szCs w:val="21"/>
              </w:rPr>
              <w:t>镍</w:t>
            </w:r>
          </w:p>
        </w:tc>
        <w:tc>
          <w:tcPr>
            <w:tcW w:w="918" w:type="pct"/>
            <w:tcBorders>
              <w:right w:val="double" w:color="auto" w:sz="4" w:space="0"/>
            </w:tcBorders>
            <w:tcMar>
              <w:left w:w="28" w:type="dxa"/>
              <w:right w:w="28" w:type="dxa"/>
            </w:tcMar>
            <w:vAlign w:val="center"/>
          </w:tcPr>
          <w:p w14:paraId="5691E3E9">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900</w:t>
            </w:r>
          </w:p>
        </w:tc>
        <w:tc>
          <w:tcPr>
            <w:tcW w:w="406" w:type="pct"/>
            <w:tcBorders>
              <w:left w:val="double" w:color="auto" w:sz="4" w:space="0"/>
            </w:tcBorders>
            <w:tcMar>
              <w:left w:w="28" w:type="dxa"/>
              <w:right w:w="28" w:type="dxa"/>
            </w:tcMar>
            <w:vAlign w:val="center"/>
          </w:tcPr>
          <w:p w14:paraId="4C64126F">
            <w:pPr>
              <w:spacing w:line="0" w:lineRule="atLeast"/>
              <w:jc w:val="center"/>
              <w:rPr>
                <w:rFonts w:hint="eastAsia" w:hAnsi="宋体"/>
                <w:color w:val="000000"/>
                <w:spacing w:val="-10"/>
                <w:kern w:val="0"/>
                <w:sz w:val="21"/>
                <w:szCs w:val="21"/>
                <w:lang w:bidi="ar"/>
              </w:rPr>
            </w:pPr>
            <w:r>
              <w:rPr>
                <w:rFonts w:hint="eastAsia" w:hAnsi="宋体"/>
                <w:color w:val="000000"/>
                <w:spacing w:val="-10"/>
                <w:sz w:val="21"/>
                <w:szCs w:val="21"/>
              </w:rPr>
              <w:t>29</w:t>
            </w:r>
          </w:p>
        </w:tc>
        <w:tc>
          <w:tcPr>
            <w:tcW w:w="1371" w:type="pct"/>
            <w:tcMar>
              <w:left w:w="28" w:type="dxa"/>
              <w:right w:w="28" w:type="dxa"/>
            </w:tcMar>
            <w:vAlign w:val="center"/>
          </w:tcPr>
          <w:p w14:paraId="526F28B4">
            <w:pPr>
              <w:spacing w:line="0" w:lineRule="atLeast"/>
              <w:jc w:val="center"/>
              <w:rPr>
                <w:rFonts w:hint="eastAsia" w:hAnsi="宋体"/>
                <w:color w:val="000000"/>
                <w:spacing w:val="-10"/>
                <w:sz w:val="21"/>
                <w:szCs w:val="21"/>
              </w:rPr>
            </w:pPr>
            <w:r>
              <w:rPr>
                <w:rFonts w:hint="eastAsia" w:hAnsi="宋体"/>
                <w:color w:val="000000"/>
                <w:spacing w:val="-10"/>
                <w:sz w:val="21"/>
                <w:szCs w:val="21"/>
              </w:rPr>
              <w:t>乙苯</w:t>
            </w:r>
          </w:p>
        </w:tc>
        <w:tc>
          <w:tcPr>
            <w:tcW w:w="956" w:type="pct"/>
            <w:tcMar>
              <w:left w:w="28" w:type="dxa"/>
              <w:right w:w="28" w:type="dxa"/>
            </w:tcMar>
            <w:vAlign w:val="center"/>
          </w:tcPr>
          <w:p w14:paraId="6CF5FC34">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28</w:t>
            </w:r>
          </w:p>
        </w:tc>
      </w:tr>
      <w:tr w14:paraId="1D608C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3AD3AA69">
            <w:pPr>
              <w:spacing w:line="0" w:lineRule="atLeast"/>
              <w:jc w:val="center"/>
              <w:rPr>
                <w:rFonts w:hint="eastAsia" w:hAnsi="宋体"/>
                <w:color w:val="000000"/>
                <w:spacing w:val="-10"/>
                <w:sz w:val="21"/>
                <w:szCs w:val="21"/>
              </w:rPr>
            </w:pPr>
            <w:r>
              <w:rPr>
                <w:rFonts w:hint="eastAsia" w:hAnsi="宋体"/>
                <w:color w:val="000000"/>
                <w:spacing w:val="-10"/>
                <w:sz w:val="21"/>
                <w:szCs w:val="21"/>
              </w:rPr>
              <w:t>8</w:t>
            </w:r>
          </w:p>
        </w:tc>
        <w:tc>
          <w:tcPr>
            <w:tcW w:w="998" w:type="pct"/>
            <w:tcMar>
              <w:left w:w="28" w:type="dxa"/>
              <w:right w:w="28" w:type="dxa"/>
            </w:tcMar>
            <w:vAlign w:val="center"/>
          </w:tcPr>
          <w:p w14:paraId="64CFFF7A">
            <w:pPr>
              <w:spacing w:line="0" w:lineRule="atLeast"/>
              <w:jc w:val="center"/>
              <w:rPr>
                <w:rFonts w:hint="eastAsia" w:hAnsi="宋体"/>
                <w:color w:val="000000"/>
                <w:spacing w:val="-10"/>
                <w:sz w:val="21"/>
                <w:szCs w:val="21"/>
              </w:rPr>
            </w:pPr>
            <w:r>
              <w:rPr>
                <w:rFonts w:hint="eastAsia" w:hAnsi="宋体"/>
                <w:color w:val="000000"/>
                <w:spacing w:val="-10"/>
                <w:sz w:val="21"/>
                <w:szCs w:val="21"/>
              </w:rPr>
              <w:t>四氯化碳</w:t>
            </w:r>
          </w:p>
        </w:tc>
        <w:tc>
          <w:tcPr>
            <w:tcW w:w="918" w:type="pct"/>
            <w:tcBorders>
              <w:right w:val="double" w:color="auto" w:sz="4" w:space="0"/>
            </w:tcBorders>
            <w:tcMar>
              <w:left w:w="28" w:type="dxa"/>
              <w:right w:w="28" w:type="dxa"/>
            </w:tcMar>
            <w:vAlign w:val="center"/>
          </w:tcPr>
          <w:p w14:paraId="69DC8A80">
            <w:pPr>
              <w:spacing w:line="0" w:lineRule="atLeast"/>
              <w:jc w:val="center"/>
              <w:rPr>
                <w:rFonts w:hint="eastAsia" w:hAnsi="宋体"/>
                <w:color w:val="000000"/>
                <w:spacing w:val="-10"/>
                <w:sz w:val="21"/>
                <w:szCs w:val="21"/>
              </w:rPr>
            </w:pPr>
            <w:r>
              <w:rPr>
                <w:rFonts w:hint="eastAsia" w:hAnsi="宋体"/>
                <w:color w:val="000000"/>
                <w:spacing w:val="-10"/>
                <w:sz w:val="21"/>
                <w:szCs w:val="21"/>
              </w:rPr>
              <w:t>2.8</w:t>
            </w:r>
          </w:p>
        </w:tc>
        <w:tc>
          <w:tcPr>
            <w:tcW w:w="406" w:type="pct"/>
            <w:tcBorders>
              <w:left w:val="double" w:color="auto" w:sz="4" w:space="0"/>
            </w:tcBorders>
            <w:tcMar>
              <w:left w:w="28" w:type="dxa"/>
              <w:right w:w="28" w:type="dxa"/>
            </w:tcMar>
            <w:vAlign w:val="center"/>
          </w:tcPr>
          <w:p w14:paraId="29F794F1">
            <w:pPr>
              <w:spacing w:line="0" w:lineRule="atLeast"/>
              <w:jc w:val="center"/>
              <w:rPr>
                <w:rFonts w:hint="eastAsia" w:hAnsi="宋体"/>
                <w:color w:val="000000"/>
                <w:spacing w:val="-10"/>
                <w:sz w:val="21"/>
                <w:szCs w:val="21"/>
              </w:rPr>
            </w:pPr>
            <w:r>
              <w:rPr>
                <w:rFonts w:hint="eastAsia" w:hAnsi="宋体"/>
                <w:color w:val="000000"/>
                <w:spacing w:val="-10"/>
                <w:sz w:val="21"/>
                <w:szCs w:val="21"/>
              </w:rPr>
              <w:t>30</w:t>
            </w:r>
          </w:p>
        </w:tc>
        <w:tc>
          <w:tcPr>
            <w:tcW w:w="1371" w:type="pct"/>
            <w:tcMar>
              <w:left w:w="28" w:type="dxa"/>
              <w:right w:w="28" w:type="dxa"/>
            </w:tcMar>
            <w:vAlign w:val="center"/>
          </w:tcPr>
          <w:p w14:paraId="4C49C0EB">
            <w:pPr>
              <w:spacing w:line="0" w:lineRule="atLeast"/>
              <w:jc w:val="center"/>
              <w:rPr>
                <w:rFonts w:hint="eastAsia" w:hAnsi="宋体"/>
                <w:color w:val="000000"/>
                <w:spacing w:val="-10"/>
                <w:sz w:val="21"/>
                <w:szCs w:val="21"/>
              </w:rPr>
            </w:pPr>
            <w:r>
              <w:rPr>
                <w:rFonts w:hint="eastAsia" w:hAnsi="宋体"/>
                <w:bCs/>
                <w:color w:val="000000"/>
                <w:spacing w:val="-10"/>
                <w:sz w:val="21"/>
                <w:szCs w:val="21"/>
              </w:rPr>
              <w:t>苯乙烯</w:t>
            </w:r>
          </w:p>
        </w:tc>
        <w:tc>
          <w:tcPr>
            <w:tcW w:w="956" w:type="pct"/>
            <w:tcMar>
              <w:left w:w="28" w:type="dxa"/>
              <w:right w:w="28" w:type="dxa"/>
            </w:tcMar>
            <w:vAlign w:val="center"/>
          </w:tcPr>
          <w:p w14:paraId="0B6E3877">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1290</w:t>
            </w:r>
          </w:p>
        </w:tc>
      </w:tr>
      <w:tr w14:paraId="4F8A8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4B89149">
            <w:pPr>
              <w:spacing w:line="0" w:lineRule="atLeast"/>
              <w:jc w:val="center"/>
              <w:rPr>
                <w:rFonts w:hint="eastAsia" w:hAnsi="宋体"/>
                <w:color w:val="000000"/>
                <w:spacing w:val="-10"/>
                <w:sz w:val="21"/>
                <w:szCs w:val="21"/>
              </w:rPr>
            </w:pPr>
            <w:r>
              <w:rPr>
                <w:rFonts w:hint="eastAsia" w:hAnsi="宋体"/>
                <w:color w:val="000000"/>
                <w:spacing w:val="-10"/>
                <w:sz w:val="21"/>
                <w:szCs w:val="21"/>
              </w:rPr>
              <w:t>9</w:t>
            </w:r>
          </w:p>
        </w:tc>
        <w:tc>
          <w:tcPr>
            <w:tcW w:w="998" w:type="pct"/>
            <w:tcMar>
              <w:left w:w="28" w:type="dxa"/>
              <w:right w:w="28" w:type="dxa"/>
            </w:tcMar>
            <w:vAlign w:val="center"/>
          </w:tcPr>
          <w:p w14:paraId="388ABE53">
            <w:pPr>
              <w:spacing w:line="0" w:lineRule="atLeast"/>
              <w:jc w:val="center"/>
              <w:rPr>
                <w:rFonts w:hint="eastAsia" w:hAnsi="宋体"/>
                <w:color w:val="000000"/>
                <w:spacing w:val="-10"/>
                <w:sz w:val="21"/>
                <w:szCs w:val="21"/>
              </w:rPr>
            </w:pPr>
            <w:r>
              <w:rPr>
                <w:rFonts w:hint="eastAsia" w:hAnsi="宋体"/>
                <w:bCs/>
                <w:color w:val="000000"/>
                <w:spacing w:val="-10"/>
                <w:sz w:val="21"/>
                <w:szCs w:val="21"/>
              </w:rPr>
              <w:t>氯仿</w:t>
            </w:r>
          </w:p>
        </w:tc>
        <w:tc>
          <w:tcPr>
            <w:tcW w:w="918" w:type="pct"/>
            <w:tcBorders>
              <w:right w:val="double" w:color="auto" w:sz="4" w:space="0"/>
            </w:tcBorders>
            <w:tcMar>
              <w:left w:w="28" w:type="dxa"/>
              <w:right w:w="28" w:type="dxa"/>
            </w:tcMar>
            <w:vAlign w:val="center"/>
          </w:tcPr>
          <w:p w14:paraId="4F728597">
            <w:pPr>
              <w:spacing w:line="0" w:lineRule="atLeast"/>
              <w:jc w:val="center"/>
              <w:rPr>
                <w:rFonts w:hint="eastAsia" w:hAnsi="宋体"/>
                <w:color w:val="000000"/>
                <w:spacing w:val="-10"/>
                <w:sz w:val="21"/>
                <w:szCs w:val="21"/>
              </w:rPr>
            </w:pPr>
            <w:r>
              <w:rPr>
                <w:rFonts w:hint="eastAsia" w:hAnsi="宋体"/>
                <w:color w:val="000000"/>
                <w:spacing w:val="-10"/>
                <w:sz w:val="21"/>
                <w:szCs w:val="21"/>
              </w:rPr>
              <w:t>0.9</w:t>
            </w:r>
          </w:p>
        </w:tc>
        <w:tc>
          <w:tcPr>
            <w:tcW w:w="406" w:type="pct"/>
            <w:tcBorders>
              <w:left w:val="double" w:color="auto" w:sz="4" w:space="0"/>
            </w:tcBorders>
            <w:tcMar>
              <w:left w:w="28" w:type="dxa"/>
              <w:right w:w="28" w:type="dxa"/>
            </w:tcMar>
            <w:vAlign w:val="center"/>
          </w:tcPr>
          <w:p w14:paraId="52E67B63">
            <w:pPr>
              <w:spacing w:line="0" w:lineRule="atLeast"/>
              <w:jc w:val="center"/>
              <w:rPr>
                <w:rFonts w:hint="eastAsia" w:hAnsi="宋体"/>
                <w:color w:val="000000"/>
                <w:spacing w:val="-10"/>
                <w:sz w:val="21"/>
                <w:szCs w:val="21"/>
              </w:rPr>
            </w:pPr>
            <w:r>
              <w:rPr>
                <w:rFonts w:hint="eastAsia" w:hAnsi="宋体"/>
                <w:color w:val="000000"/>
                <w:spacing w:val="-10"/>
                <w:sz w:val="21"/>
                <w:szCs w:val="21"/>
              </w:rPr>
              <w:t>31</w:t>
            </w:r>
          </w:p>
        </w:tc>
        <w:tc>
          <w:tcPr>
            <w:tcW w:w="1371" w:type="pct"/>
            <w:tcMar>
              <w:left w:w="28" w:type="dxa"/>
              <w:right w:w="28" w:type="dxa"/>
            </w:tcMar>
            <w:vAlign w:val="center"/>
          </w:tcPr>
          <w:p w14:paraId="2B867710">
            <w:pPr>
              <w:spacing w:line="0" w:lineRule="atLeast"/>
              <w:jc w:val="center"/>
              <w:rPr>
                <w:rFonts w:hint="eastAsia" w:hAnsi="宋体"/>
                <w:color w:val="000000"/>
                <w:spacing w:val="-10"/>
                <w:sz w:val="21"/>
                <w:szCs w:val="21"/>
              </w:rPr>
            </w:pPr>
            <w:r>
              <w:rPr>
                <w:rFonts w:hint="eastAsia" w:hAnsi="宋体"/>
                <w:color w:val="000000"/>
                <w:spacing w:val="-10"/>
                <w:sz w:val="21"/>
                <w:szCs w:val="21"/>
              </w:rPr>
              <w:t>甲苯</w:t>
            </w:r>
          </w:p>
        </w:tc>
        <w:tc>
          <w:tcPr>
            <w:tcW w:w="956" w:type="pct"/>
            <w:tcMar>
              <w:left w:w="28" w:type="dxa"/>
              <w:right w:w="28" w:type="dxa"/>
            </w:tcMar>
            <w:vAlign w:val="center"/>
          </w:tcPr>
          <w:p w14:paraId="5C7906C0">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1200</w:t>
            </w:r>
          </w:p>
        </w:tc>
      </w:tr>
      <w:tr w14:paraId="79975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2D1E2B20">
            <w:pPr>
              <w:spacing w:line="0" w:lineRule="atLeast"/>
              <w:jc w:val="center"/>
              <w:rPr>
                <w:rFonts w:hint="eastAsia" w:hAnsi="宋体"/>
                <w:color w:val="000000"/>
                <w:spacing w:val="-10"/>
                <w:sz w:val="21"/>
                <w:szCs w:val="21"/>
              </w:rPr>
            </w:pPr>
            <w:r>
              <w:rPr>
                <w:rFonts w:hint="eastAsia" w:hAnsi="宋体"/>
                <w:color w:val="000000"/>
                <w:spacing w:val="-10"/>
                <w:sz w:val="21"/>
                <w:szCs w:val="21"/>
              </w:rPr>
              <w:t>10</w:t>
            </w:r>
          </w:p>
        </w:tc>
        <w:tc>
          <w:tcPr>
            <w:tcW w:w="998" w:type="pct"/>
            <w:tcMar>
              <w:left w:w="28" w:type="dxa"/>
              <w:right w:w="28" w:type="dxa"/>
            </w:tcMar>
            <w:vAlign w:val="center"/>
          </w:tcPr>
          <w:p w14:paraId="2D81ABFB">
            <w:pPr>
              <w:spacing w:line="0" w:lineRule="atLeast"/>
              <w:jc w:val="center"/>
              <w:rPr>
                <w:rFonts w:hint="eastAsia" w:hAnsi="宋体"/>
                <w:color w:val="000000"/>
                <w:spacing w:val="-10"/>
                <w:sz w:val="21"/>
                <w:szCs w:val="21"/>
              </w:rPr>
            </w:pPr>
            <w:r>
              <w:rPr>
                <w:rFonts w:hint="eastAsia" w:hAnsi="宋体"/>
                <w:color w:val="000000"/>
                <w:spacing w:val="-10"/>
                <w:sz w:val="21"/>
                <w:szCs w:val="21"/>
              </w:rPr>
              <w:t>氯甲烷</w:t>
            </w:r>
          </w:p>
        </w:tc>
        <w:tc>
          <w:tcPr>
            <w:tcW w:w="918" w:type="pct"/>
            <w:tcBorders>
              <w:right w:val="double" w:color="auto" w:sz="4" w:space="0"/>
            </w:tcBorders>
            <w:tcMar>
              <w:left w:w="28" w:type="dxa"/>
              <w:right w:w="28" w:type="dxa"/>
            </w:tcMar>
            <w:vAlign w:val="center"/>
          </w:tcPr>
          <w:p w14:paraId="52416D0D">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37</w:t>
            </w:r>
          </w:p>
        </w:tc>
        <w:tc>
          <w:tcPr>
            <w:tcW w:w="406" w:type="pct"/>
            <w:tcBorders>
              <w:left w:val="double" w:color="auto" w:sz="4" w:space="0"/>
            </w:tcBorders>
            <w:tcMar>
              <w:left w:w="28" w:type="dxa"/>
              <w:right w:w="28" w:type="dxa"/>
            </w:tcMar>
            <w:vAlign w:val="center"/>
          </w:tcPr>
          <w:p w14:paraId="1AE48511">
            <w:pPr>
              <w:spacing w:line="0" w:lineRule="atLeast"/>
              <w:jc w:val="center"/>
              <w:rPr>
                <w:rFonts w:hint="eastAsia" w:hAnsi="宋体"/>
                <w:color w:val="000000"/>
                <w:spacing w:val="-10"/>
                <w:sz w:val="21"/>
                <w:szCs w:val="21"/>
              </w:rPr>
            </w:pPr>
            <w:r>
              <w:rPr>
                <w:rFonts w:hint="eastAsia" w:hAnsi="宋体"/>
                <w:color w:val="000000"/>
                <w:spacing w:val="-10"/>
                <w:sz w:val="21"/>
                <w:szCs w:val="21"/>
              </w:rPr>
              <w:t>32</w:t>
            </w:r>
          </w:p>
        </w:tc>
        <w:tc>
          <w:tcPr>
            <w:tcW w:w="1371" w:type="pct"/>
            <w:tcMar>
              <w:left w:w="28" w:type="dxa"/>
              <w:right w:w="28" w:type="dxa"/>
            </w:tcMar>
            <w:vAlign w:val="center"/>
          </w:tcPr>
          <w:p w14:paraId="4F3540E2">
            <w:pPr>
              <w:spacing w:line="0" w:lineRule="atLeast"/>
              <w:jc w:val="center"/>
              <w:rPr>
                <w:rFonts w:hint="eastAsia" w:hAnsi="宋体"/>
                <w:color w:val="000000"/>
                <w:spacing w:val="-10"/>
                <w:sz w:val="21"/>
                <w:szCs w:val="21"/>
              </w:rPr>
            </w:pPr>
            <w:r>
              <w:rPr>
                <w:rFonts w:hint="eastAsia" w:hAnsi="宋体"/>
                <w:color w:val="000000"/>
                <w:spacing w:val="-10"/>
                <w:sz w:val="21"/>
                <w:szCs w:val="21"/>
              </w:rPr>
              <w:t>间/对二甲苯</w:t>
            </w:r>
          </w:p>
        </w:tc>
        <w:tc>
          <w:tcPr>
            <w:tcW w:w="956" w:type="pct"/>
            <w:tcMar>
              <w:left w:w="28" w:type="dxa"/>
              <w:right w:w="28" w:type="dxa"/>
            </w:tcMar>
            <w:vAlign w:val="center"/>
          </w:tcPr>
          <w:p w14:paraId="223723A5">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570</w:t>
            </w:r>
          </w:p>
        </w:tc>
      </w:tr>
      <w:tr w14:paraId="01409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3AEA4443">
            <w:pPr>
              <w:spacing w:line="0" w:lineRule="atLeast"/>
              <w:jc w:val="center"/>
              <w:rPr>
                <w:rFonts w:hint="eastAsia" w:hAnsi="宋体"/>
                <w:color w:val="000000"/>
                <w:spacing w:val="-10"/>
                <w:sz w:val="21"/>
                <w:szCs w:val="21"/>
              </w:rPr>
            </w:pPr>
            <w:r>
              <w:rPr>
                <w:rFonts w:hint="eastAsia" w:hAnsi="宋体"/>
                <w:color w:val="000000"/>
                <w:spacing w:val="-10"/>
                <w:sz w:val="21"/>
                <w:szCs w:val="21"/>
              </w:rPr>
              <w:t>11</w:t>
            </w:r>
          </w:p>
        </w:tc>
        <w:tc>
          <w:tcPr>
            <w:tcW w:w="998" w:type="pct"/>
            <w:tcMar>
              <w:left w:w="28" w:type="dxa"/>
              <w:right w:w="28" w:type="dxa"/>
            </w:tcMar>
            <w:vAlign w:val="center"/>
          </w:tcPr>
          <w:p w14:paraId="3A8A759E">
            <w:pPr>
              <w:spacing w:line="0" w:lineRule="atLeast"/>
              <w:jc w:val="center"/>
              <w:rPr>
                <w:rFonts w:hint="eastAsia" w:hAnsi="宋体"/>
                <w:color w:val="000000"/>
                <w:spacing w:val="-10"/>
                <w:sz w:val="21"/>
                <w:szCs w:val="21"/>
              </w:rPr>
            </w:pPr>
            <w:r>
              <w:rPr>
                <w:rFonts w:hint="eastAsia" w:hAnsi="宋体"/>
                <w:bCs/>
                <w:color w:val="000000"/>
                <w:spacing w:val="-10"/>
                <w:sz w:val="21"/>
                <w:szCs w:val="21"/>
              </w:rPr>
              <w:t>1，1-二氯乙烷</w:t>
            </w:r>
          </w:p>
        </w:tc>
        <w:tc>
          <w:tcPr>
            <w:tcW w:w="918" w:type="pct"/>
            <w:tcBorders>
              <w:right w:val="double" w:color="auto" w:sz="4" w:space="0"/>
            </w:tcBorders>
            <w:tcMar>
              <w:left w:w="28" w:type="dxa"/>
              <w:right w:w="28" w:type="dxa"/>
            </w:tcMar>
            <w:vAlign w:val="center"/>
          </w:tcPr>
          <w:p w14:paraId="2C609BA1">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9</w:t>
            </w:r>
          </w:p>
        </w:tc>
        <w:tc>
          <w:tcPr>
            <w:tcW w:w="406" w:type="pct"/>
            <w:tcBorders>
              <w:left w:val="double" w:color="auto" w:sz="4" w:space="0"/>
            </w:tcBorders>
            <w:tcMar>
              <w:left w:w="28" w:type="dxa"/>
              <w:right w:w="28" w:type="dxa"/>
            </w:tcMar>
            <w:vAlign w:val="center"/>
          </w:tcPr>
          <w:p w14:paraId="4A1B2DA1">
            <w:pPr>
              <w:spacing w:line="0" w:lineRule="atLeast"/>
              <w:jc w:val="center"/>
              <w:rPr>
                <w:rFonts w:hint="eastAsia" w:hAnsi="宋体"/>
                <w:color w:val="000000"/>
                <w:spacing w:val="-10"/>
                <w:sz w:val="21"/>
                <w:szCs w:val="21"/>
              </w:rPr>
            </w:pPr>
            <w:r>
              <w:rPr>
                <w:rFonts w:hint="eastAsia" w:hAnsi="宋体"/>
                <w:color w:val="000000"/>
                <w:spacing w:val="-10"/>
                <w:sz w:val="21"/>
                <w:szCs w:val="21"/>
              </w:rPr>
              <w:t>33</w:t>
            </w:r>
          </w:p>
        </w:tc>
        <w:tc>
          <w:tcPr>
            <w:tcW w:w="1371" w:type="pct"/>
            <w:tcMar>
              <w:left w:w="28" w:type="dxa"/>
              <w:right w:w="28" w:type="dxa"/>
            </w:tcMar>
            <w:vAlign w:val="center"/>
          </w:tcPr>
          <w:p w14:paraId="11B139BF">
            <w:pPr>
              <w:spacing w:line="0" w:lineRule="atLeast"/>
              <w:jc w:val="center"/>
              <w:rPr>
                <w:rFonts w:hint="eastAsia" w:hAnsi="宋体"/>
                <w:color w:val="000000"/>
                <w:spacing w:val="-10"/>
                <w:sz w:val="21"/>
                <w:szCs w:val="21"/>
              </w:rPr>
            </w:pPr>
            <w:r>
              <w:rPr>
                <w:rFonts w:hint="eastAsia" w:hAnsi="宋体"/>
                <w:color w:val="000000"/>
                <w:spacing w:val="-10"/>
                <w:sz w:val="21"/>
                <w:szCs w:val="21"/>
              </w:rPr>
              <w:t>邻二甲苯</w:t>
            </w:r>
          </w:p>
        </w:tc>
        <w:tc>
          <w:tcPr>
            <w:tcW w:w="956" w:type="pct"/>
            <w:tcMar>
              <w:left w:w="28" w:type="dxa"/>
              <w:right w:w="28" w:type="dxa"/>
            </w:tcMar>
            <w:vAlign w:val="center"/>
          </w:tcPr>
          <w:p w14:paraId="2DBA7C81">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640</w:t>
            </w:r>
          </w:p>
        </w:tc>
      </w:tr>
      <w:tr w14:paraId="6D1B87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610920D4">
            <w:pPr>
              <w:spacing w:line="0" w:lineRule="atLeast"/>
              <w:jc w:val="center"/>
              <w:rPr>
                <w:rFonts w:hint="eastAsia" w:hAnsi="宋体"/>
                <w:color w:val="000000"/>
                <w:spacing w:val="-10"/>
                <w:sz w:val="21"/>
                <w:szCs w:val="21"/>
              </w:rPr>
            </w:pPr>
            <w:r>
              <w:rPr>
                <w:rFonts w:hint="eastAsia" w:hAnsi="宋体"/>
                <w:color w:val="000000"/>
                <w:spacing w:val="-10"/>
                <w:sz w:val="21"/>
                <w:szCs w:val="21"/>
              </w:rPr>
              <w:t>12</w:t>
            </w:r>
          </w:p>
        </w:tc>
        <w:tc>
          <w:tcPr>
            <w:tcW w:w="998" w:type="pct"/>
            <w:tcMar>
              <w:left w:w="28" w:type="dxa"/>
              <w:right w:w="28" w:type="dxa"/>
            </w:tcMar>
            <w:vAlign w:val="center"/>
          </w:tcPr>
          <w:p w14:paraId="74BB3B66">
            <w:pPr>
              <w:spacing w:line="0" w:lineRule="atLeast"/>
              <w:jc w:val="center"/>
              <w:rPr>
                <w:rFonts w:hint="eastAsia" w:hAnsi="宋体"/>
                <w:color w:val="000000"/>
                <w:spacing w:val="-10"/>
                <w:sz w:val="21"/>
                <w:szCs w:val="21"/>
              </w:rPr>
            </w:pPr>
            <w:r>
              <w:rPr>
                <w:rFonts w:hint="eastAsia" w:hAnsi="宋体"/>
                <w:bCs/>
                <w:color w:val="000000"/>
                <w:spacing w:val="-10"/>
                <w:sz w:val="21"/>
                <w:szCs w:val="21"/>
              </w:rPr>
              <w:t>1，2-二氯乙烷</w:t>
            </w:r>
          </w:p>
        </w:tc>
        <w:tc>
          <w:tcPr>
            <w:tcW w:w="918" w:type="pct"/>
            <w:tcBorders>
              <w:right w:val="double" w:color="auto" w:sz="4" w:space="0"/>
            </w:tcBorders>
            <w:tcMar>
              <w:left w:w="28" w:type="dxa"/>
              <w:right w:w="28" w:type="dxa"/>
            </w:tcMar>
            <w:vAlign w:val="center"/>
          </w:tcPr>
          <w:p w14:paraId="7E54D3D1">
            <w:pPr>
              <w:spacing w:line="0" w:lineRule="atLeast"/>
              <w:jc w:val="center"/>
              <w:rPr>
                <w:rFonts w:hint="eastAsia" w:hAnsi="宋体"/>
                <w:color w:val="000000"/>
                <w:spacing w:val="-10"/>
                <w:sz w:val="21"/>
                <w:szCs w:val="21"/>
              </w:rPr>
            </w:pPr>
            <w:r>
              <w:rPr>
                <w:rFonts w:hint="eastAsia" w:hAnsi="宋体"/>
                <w:color w:val="000000"/>
                <w:spacing w:val="-10"/>
                <w:sz w:val="21"/>
                <w:szCs w:val="21"/>
              </w:rPr>
              <w:t>5</w:t>
            </w:r>
          </w:p>
        </w:tc>
        <w:tc>
          <w:tcPr>
            <w:tcW w:w="406" w:type="pct"/>
            <w:tcBorders>
              <w:left w:val="double" w:color="auto" w:sz="4" w:space="0"/>
            </w:tcBorders>
            <w:tcMar>
              <w:left w:w="28" w:type="dxa"/>
              <w:right w:w="28" w:type="dxa"/>
            </w:tcMar>
            <w:vAlign w:val="center"/>
          </w:tcPr>
          <w:p w14:paraId="0A23D797">
            <w:pPr>
              <w:spacing w:line="0" w:lineRule="atLeast"/>
              <w:jc w:val="center"/>
              <w:rPr>
                <w:rFonts w:hint="eastAsia" w:hAnsi="宋体"/>
                <w:color w:val="000000"/>
                <w:spacing w:val="-10"/>
                <w:sz w:val="21"/>
                <w:szCs w:val="21"/>
              </w:rPr>
            </w:pPr>
            <w:r>
              <w:rPr>
                <w:rFonts w:hint="eastAsia" w:hAnsi="宋体"/>
                <w:color w:val="000000"/>
                <w:spacing w:val="-10"/>
                <w:sz w:val="21"/>
                <w:szCs w:val="21"/>
              </w:rPr>
              <w:t>34</w:t>
            </w:r>
          </w:p>
        </w:tc>
        <w:tc>
          <w:tcPr>
            <w:tcW w:w="1371" w:type="pct"/>
            <w:tcMar>
              <w:left w:w="28" w:type="dxa"/>
              <w:right w:w="28" w:type="dxa"/>
            </w:tcMar>
            <w:vAlign w:val="center"/>
          </w:tcPr>
          <w:p w14:paraId="6C39B88A">
            <w:pPr>
              <w:spacing w:line="0" w:lineRule="atLeast"/>
              <w:jc w:val="center"/>
              <w:rPr>
                <w:rFonts w:hint="eastAsia" w:hAnsi="宋体"/>
                <w:color w:val="000000"/>
                <w:spacing w:val="-10"/>
                <w:sz w:val="21"/>
                <w:szCs w:val="21"/>
              </w:rPr>
            </w:pPr>
            <w:r>
              <w:rPr>
                <w:rFonts w:hint="eastAsia" w:hAnsi="宋体"/>
                <w:color w:val="000000"/>
                <w:spacing w:val="-10"/>
                <w:sz w:val="21"/>
                <w:szCs w:val="21"/>
              </w:rPr>
              <w:t>硝基苯</w:t>
            </w:r>
          </w:p>
        </w:tc>
        <w:tc>
          <w:tcPr>
            <w:tcW w:w="956" w:type="pct"/>
            <w:tcMar>
              <w:left w:w="28" w:type="dxa"/>
              <w:right w:w="28" w:type="dxa"/>
            </w:tcMar>
            <w:vAlign w:val="center"/>
          </w:tcPr>
          <w:p w14:paraId="195D5687">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76</w:t>
            </w:r>
          </w:p>
        </w:tc>
      </w:tr>
      <w:tr w14:paraId="22D7B5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718468BD">
            <w:pPr>
              <w:spacing w:line="0" w:lineRule="atLeast"/>
              <w:jc w:val="center"/>
              <w:rPr>
                <w:rFonts w:hint="eastAsia" w:hAnsi="宋体"/>
                <w:color w:val="000000"/>
                <w:spacing w:val="-10"/>
                <w:sz w:val="21"/>
                <w:szCs w:val="21"/>
              </w:rPr>
            </w:pPr>
            <w:r>
              <w:rPr>
                <w:rFonts w:hint="eastAsia" w:hAnsi="宋体"/>
                <w:color w:val="000000"/>
                <w:spacing w:val="-10"/>
                <w:sz w:val="21"/>
                <w:szCs w:val="21"/>
              </w:rPr>
              <w:t>13</w:t>
            </w:r>
          </w:p>
        </w:tc>
        <w:tc>
          <w:tcPr>
            <w:tcW w:w="998" w:type="pct"/>
            <w:tcMar>
              <w:left w:w="28" w:type="dxa"/>
              <w:right w:w="28" w:type="dxa"/>
            </w:tcMar>
            <w:vAlign w:val="center"/>
          </w:tcPr>
          <w:p w14:paraId="531CE5C4">
            <w:pPr>
              <w:spacing w:line="0" w:lineRule="atLeast"/>
              <w:jc w:val="center"/>
              <w:rPr>
                <w:rFonts w:hint="eastAsia" w:hAnsi="宋体"/>
                <w:color w:val="000000"/>
                <w:spacing w:val="-10"/>
                <w:sz w:val="21"/>
                <w:szCs w:val="21"/>
              </w:rPr>
            </w:pPr>
            <w:r>
              <w:rPr>
                <w:rFonts w:hint="eastAsia" w:hAnsi="宋体"/>
                <w:bCs/>
                <w:color w:val="000000"/>
                <w:spacing w:val="-10"/>
                <w:sz w:val="21"/>
                <w:szCs w:val="21"/>
              </w:rPr>
              <w:t>1，1-二氯乙烯</w:t>
            </w:r>
          </w:p>
        </w:tc>
        <w:tc>
          <w:tcPr>
            <w:tcW w:w="918" w:type="pct"/>
            <w:tcBorders>
              <w:right w:val="double" w:color="auto" w:sz="4" w:space="0"/>
            </w:tcBorders>
            <w:tcMar>
              <w:left w:w="28" w:type="dxa"/>
              <w:right w:w="28" w:type="dxa"/>
            </w:tcMar>
            <w:vAlign w:val="center"/>
          </w:tcPr>
          <w:p w14:paraId="055B03C5">
            <w:pPr>
              <w:spacing w:line="0" w:lineRule="atLeast"/>
              <w:jc w:val="center"/>
              <w:rPr>
                <w:rFonts w:hint="eastAsia" w:hAnsi="宋体"/>
                <w:color w:val="000000"/>
                <w:spacing w:val="-10"/>
                <w:sz w:val="21"/>
                <w:szCs w:val="21"/>
              </w:rPr>
            </w:pPr>
            <w:r>
              <w:rPr>
                <w:rFonts w:hint="eastAsia" w:hAnsi="宋体"/>
                <w:color w:val="000000"/>
                <w:spacing w:val="-10"/>
                <w:sz w:val="21"/>
                <w:szCs w:val="21"/>
              </w:rPr>
              <w:t>66</w:t>
            </w:r>
          </w:p>
        </w:tc>
        <w:tc>
          <w:tcPr>
            <w:tcW w:w="406" w:type="pct"/>
            <w:tcBorders>
              <w:left w:val="double" w:color="auto" w:sz="4" w:space="0"/>
            </w:tcBorders>
            <w:tcMar>
              <w:left w:w="28" w:type="dxa"/>
              <w:right w:w="28" w:type="dxa"/>
            </w:tcMar>
            <w:vAlign w:val="center"/>
          </w:tcPr>
          <w:p w14:paraId="45D1BC09">
            <w:pPr>
              <w:spacing w:line="0" w:lineRule="atLeast"/>
              <w:jc w:val="center"/>
              <w:rPr>
                <w:rFonts w:hint="eastAsia" w:hAnsi="宋体"/>
                <w:color w:val="000000"/>
                <w:spacing w:val="-10"/>
                <w:sz w:val="21"/>
                <w:szCs w:val="21"/>
              </w:rPr>
            </w:pPr>
            <w:r>
              <w:rPr>
                <w:rFonts w:hint="eastAsia" w:hAnsi="宋体"/>
                <w:color w:val="000000"/>
                <w:spacing w:val="-10"/>
                <w:sz w:val="21"/>
                <w:szCs w:val="21"/>
              </w:rPr>
              <w:t>35</w:t>
            </w:r>
          </w:p>
        </w:tc>
        <w:tc>
          <w:tcPr>
            <w:tcW w:w="1371" w:type="pct"/>
            <w:tcMar>
              <w:left w:w="28" w:type="dxa"/>
              <w:right w:w="28" w:type="dxa"/>
            </w:tcMar>
            <w:vAlign w:val="center"/>
          </w:tcPr>
          <w:p w14:paraId="7C0ACC0D">
            <w:pPr>
              <w:spacing w:line="0" w:lineRule="atLeast"/>
              <w:jc w:val="center"/>
              <w:rPr>
                <w:rFonts w:hint="eastAsia" w:hAnsi="宋体"/>
                <w:color w:val="000000"/>
                <w:spacing w:val="-10"/>
                <w:sz w:val="21"/>
                <w:szCs w:val="21"/>
              </w:rPr>
            </w:pPr>
            <w:r>
              <w:rPr>
                <w:rFonts w:hint="eastAsia" w:hAnsi="宋体"/>
                <w:color w:val="000000"/>
                <w:spacing w:val="-10"/>
                <w:sz w:val="21"/>
                <w:szCs w:val="21"/>
              </w:rPr>
              <w:t>苯胺</w:t>
            </w:r>
          </w:p>
        </w:tc>
        <w:tc>
          <w:tcPr>
            <w:tcW w:w="956" w:type="pct"/>
            <w:tcMar>
              <w:left w:w="28" w:type="dxa"/>
              <w:right w:w="28" w:type="dxa"/>
            </w:tcMar>
            <w:vAlign w:val="center"/>
          </w:tcPr>
          <w:p w14:paraId="063DE4F3">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260</w:t>
            </w:r>
          </w:p>
        </w:tc>
      </w:tr>
      <w:tr w14:paraId="4FC74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591C6D9E">
            <w:pPr>
              <w:spacing w:line="0" w:lineRule="atLeast"/>
              <w:jc w:val="center"/>
              <w:rPr>
                <w:rFonts w:hint="eastAsia" w:hAnsi="宋体"/>
                <w:color w:val="000000"/>
                <w:spacing w:val="-10"/>
                <w:sz w:val="21"/>
                <w:szCs w:val="21"/>
              </w:rPr>
            </w:pPr>
            <w:r>
              <w:rPr>
                <w:rFonts w:hint="eastAsia" w:hAnsi="宋体"/>
                <w:color w:val="000000"/>
                <w:spacing w:val="-10"/>
                <w:sz w:val="21"/>
                <w:szCs w:val="21"/>
              </w:rPr>
              <w:t>14</w:t>
            </w:r>
          </w:p>
        </w:tc>
        <w:tc>
          <w:tcPr>
            <w:tcW w:w="998" w:type="pct"/>
            <w:tcMar>
              <w:left w:w="28" w:type="dxa"/>
              <w:right w:w="28" w:type="dxa"/>
            </w:tcMar>
            <w:vAlign w:val="center"/>
          </w:tcPr>
          <w:p w14:paraId="35133CDC">
            <w:pPr>
              <w:spacing w:line="0" w:lineRule="atLeast"/>
              <w:jc w:val="center"/>
              <w:rPr>
                <w:rFonts w:hint="eastAsia" w:hAnsi="宋体"/>
                <w:color w:val="000000"/>
                <w:spacing w:val="-10"/>
                <w:sz w:val="21"/>
                <w:szCs w:val="21"/>
              </w:rPr>
            </w:pPr>
            <w:r>
              <w:rPr>
                <w:rFonts w:hint="eastAsia" w:hAnsi="宋体"/>
                <w:bCs/>
                <w:color w:val="000000"/>
                <w:spacing w:val="-10"/>
                <w:sz w:val="21"/>
                <w:szCs w:val="21"/>
              </w:rPr>
              <w:t>顺1，2-二氯乙烯</w:t>
            </w:r>
          </w:p>
        </w:tc>
        <w:tc>
          <w:tcPr>
            <w:tcW w:w="918" w:type="pct"/>
            <w:tcBorders>
              <w:right w:val="double" w:color="auto" w:sz="4" w:space="0"/>
            </w:tcBorders>
            <w:tcMar>
              <w:left w:w="28" w:type="dxa"/>
              <w:right w:w="28" w:type="dxa"/>
            </w:tcMar>
            <w:vAlign w:val="center"/>
          </w:tcPr>
          <w:p w14:paraId="24568BA2">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596</w:t>
            </w:r>
          </w:p>
        </w:tc>
        <w:tc>
          <w:tcPr>
            <w:tcW w:w="406" w:type="pct"/>
            <w:tcBorders>
              <w:left w:val="double" w:color="auto" w:sz="4" w:space="0"/>
            </w:tcBorders>
            <w:tcMar>
              <w:left w:w="28" w:type="dxa"/>
              <w:right w:w="28" w:type="dxa"/>
            </w:tcMar>
            <w:vAlign w:val="center"/>
          </w:tcPr>
          <w:p w14:paraId="3804F8B3">
            <w:pPr>
              <w:spacing w:line="0" w:lineRule="atLeast"/>
              <w:jc w:val="center"/>
              <w:rPr>
                <w:rFonts w:hint="eastAsia" w:hAnsi="宋体"/>
                <w:color w:val="000000"/>
                <w:spacing w:val="-10"/>
                <w:sz w:val="21"/>
                <w:szCs w:val="21"/>
              </w:rPr>
            </w:pPr>
            <w:r>
              <w:rPr>
                <w:rFonts w:hint="eastAsia" w:hAnsi="宋体"/>
                <w:color w:val="000000"/>
                <w:spacing w:val="-10"/>
                <w:sz w:val="21"/>
                <w:szCs w:val="21"/>
              </w:rPr>
              <w:t>36</w:t>
            </w:r>
          </w:p>
        </w:tc>
        <w:tc>
          <w:tcPr>
            <w:tcW w:w="1371" w:type="pct"/>
            <w:tcMar>
              <w:left w:w="28" w:type="dxa"/>
              <w:right w:w="28" w:type="dxa"/>
            </w:tcMar>
            <w:vAlign w:val="center"/>
          </w:tcPr>
          <w:p w14:paraId="79A0A464">
            <w:pPr>
              <w:spacing w:line="0" w:lineRule="atLeast"/>
              <w:jc w:val="center"/>
              <w:rPr>
                <w:rFonts w:hint="eastAsia" w:hAnsi="宋体"/>
                <w:color w:val="000000"/>
                <w:spacing w:val="-10"/>
                <w:sz w:val="21"/>
                <w:szCs w:val="21"/>
              </w:rPr>
            </w:pPr>
            <w:r>
              <w:rPr>
                <w:rFonts w:hint="eastAsia" w:hAnsi="宋体"/>
                <w:color w:val="000000"/>
                <w:spacing w:val="-10"/>
                <w:sz w:val="21"/>
                <w:szCs w:val="21"/>
              </w:rPr>
              <w:t>2-氯酚</w:t>
            </w:r>
          </w:p>
        </w:tc>
        <w:tc>
          <w:tcPr>
            <w:tcW w:w="956" w:type="pct"/>
            <w:tcMar>
              <w:left w:w="28" w:type="dxa"/>
              <w:right w:w="28" w:type="dxa"/>
            </w:tcMar>
            <w:vAlign w:val="center"/>
          </w:tcPr>
          <w:p w14:paraId="5F3C5109">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2256</w:t>
            </w:r>
          </w:p>
        </w:tc>
      </w:tr>
      <w:tr w14:paraId="6D280D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5ACC99C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98" w:type="pct"/>
            <w:tcMar>
              <w:left w:w="28" w:type="dxa"/>
              <w:right w:w="28" w:type="dxa"/>
            </w:tcMar>
            <w:vAlign w:val="center"/>
          </w:tcPr>
          <w:p w14:paraId="6521320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反-1，2-二氯乙烯</w:t>
            </w:r>
          </w:p>
        </w:tc>
        <w:tc>
          <w:tcPr>
            <w:tcW w:w="918" w:type="pct"/>
            <w:tcBorders>
              <w:right w:val="double" w:color="auto" w:sz="4" w:space="0"/>
            </w:tcBorders>
            <w:tcMar>
              <w:left w:w="28" w:type="dxa"/>
              <w:right w:w="28" w:type="dxa"/>
            </w:tcMar>
            <w:vAlign w:val="center"/>
          </w:tcPr>
          <w:p w14:paraId="6A7CCA2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54</w:t>
            </w:r>
          </w:p>
        </w:tc>
        <w:tc>
          <w:tcPr>
            <w:tcW w:w="406" w:type="pct"/>
            <w:tcBorders>
              <w:left w:val="double" w:color="auto" w:sz="4" w:space="0"/>
            </w:tcBorders>
            <w:tcMar>
              <w:left w:w="28" w:type="dxa"/>
              <w:right w:w="28" w:type="dxa"/>
            </w:tcMar>
            <w:vAlign w:val="center"/>
          </w:tcPr>
          <w:p w14:paraId="551B43E0">
            <w:pPr>
              <w:spacing w:line="0" w:lineRule="atLeast"/>
              <w:jc w:val="center"/>
              <w:rPr>
                <w:rFonts w:hint="eastAsia" w:hAnsi="宋体"/>
                <w:color w:val="000000"/>
                <w:spacing w:val="-10"/>
                <w:sz w:val="21"/>
                <w:szCs w:val="21"/>
              </w:rPr>
            </w:pPr>
            <w:r>
              <w:rPr>
                <w:rFonts w:hint="eastAsia" w:hAnsi="宋体"/>
                <w:color w:val="000000"/>
                <w:spacing w:val="-10"/>
                <w:sz w:val="21"/>
                <w:szCs w:val="21"/>
              </w:rPr>
              <w:t>37</w:t>
            </w:r>
          </w:p>
        </w:tc>
        <w:tc>
          <w:tcPr>
            <w:tcW w:w="1371" w:type="pct"/>
            <w:tcMar>
              <w:left w:w="28" w:type="dxa"/>
              <w:right w:w="28" w:type="dxa"/>
            </w:tcMar>
            <w:vAlign w:val="center"/>
          </w:tcPr>
          <w:p w14:paraId="30A50C9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苯并〔a〕蒽</w:t>
            </w:r>
          </w:p>
        </w:tc>
        <w:tc>
          <w:tcPr>
            <w:tcW w:w="956" w:type="pct"/>
            <w:tcMar>
              <w:left w:w="28" w:type="dxa"/>
              <w:right w:w="28" w:type="dxa"/>
            </w:tcMar>
            <w:vAlign w:val="center"/>
          </w:tcPr>
          <w:p w14:paraId="1A4F483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r>
      <w:tr w14:paraId="6FDCD8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22A751E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16</w:t>
            </w:r>
          </w:p>
        </w:tc>
        <w:tc>
          <w:tcPr>
            <w:tcW w:w="998" w:type="pct"/>
            <w:tcMar>
              <w:left w:w="28" w:type="dxa"/>
              <w:right w:w="28" w:type="dxa"/>
            </w:tcMar>
            <w:vAlign w:val="center"/>
          </w:tcPr>
          <w:p w14:paraId="29F1A1E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二氯甲烷</w:t>
            </w:r>
          </w:p>
        </w:tc>
        <w:tc>
          <w:tcPr>
            <w:tcW w:w="918" w:type="pct"/>
            <w:tcBorders>
              <w:right w:val="double" w:color="auto" w:sz="4" w:space="0"/>
            </w:tcBorders>
            <w:tcMar>
              <w:left w:w="28" w:type="dxa"/>
              <w:right w:w="28" w:type="dxa"/>
            </w:tcMar>
            <w:vAlign w:val="center"/>
          </w:tcPr>
          <w:p w14:paraId="4367C75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616</w:t>
            </w:r>
          </w:p>
        </w:tc>
        <w:tc>
          <w:tcPr>
            <w:tcW w:w="406" w:type="pct"/>
            <w:tcBorders>
              <w:left w:val="double" w:color="auto" w:sz="4" w:space="0"/>
            </w:tcBorders>
            <w:tcMar>
              <w:left w:w="28" w:type="dxa"/>
              <w:right w:w="28" w:type="dxa"/>
            </w:tcMar>
            <w:vAlign w:val="center"/>
          </w:tcPr>
          <w:p w14:paraId="496205D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39</w:t>
            </w:r>
          </w:p>
        </w:tc>
        <w:tc>
          <w:tcPr>
            <w:tcW w:w="1371" w:type="pct"/>
            <w:tcMar>
              <w:left w:w="28" w:type="dxa"/>
              <w:right w:w="28" w:type="dxa"/>
            </w:tcMar>
            <w:vAlign w:val="center"/>
          </w:tcPr>
          <w:p w14:paraId="04726F8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苯并〔a〕芘</w:t>
            </w:r>
          </w:p>
        </w:tc>
        <w:tc>
          <w:tcPr>
            <w:tcW w:w="956" w:type="pct"/>
            <w:tcMar>
              <w:left w:w="28" w:type="dxa"/>
              <w:right w:w="28" w:type="dxa"/>
            </w:tcMar>
            <w:vAlign w:val="center"/>
          </w:tcPr>
          <w:p w14:paraId="0EF797A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r>
      <w:tr w14:paraId="6D98A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2A40B78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br w:type="page"/>
            </w:r>
            <w:r>
              <w:rPr>
                <w:rFonts w:hint="eastAsia" w:hAnsi="宋体" w:cs="宋体"/>
                <w:color w:val="000000"/>
                <w:spacing w:val="-10"/>
                <w:sz w:val="21"/>
                <w:szCs w:val="21"/>
              </w:rPr>
              <w:t>17</w:t>
            </w:r>
          </w:p>
        </w:tc>
        <w:tc>
          <w:tcPr>
            <w:tcW w:w="998" w:type="pct"/>
            <w:tcMar>
              <w:left w:w="28" w:type="dxa"/>
              <w:right w:w="28" w:type="dxa"/>
            </w:tcMar>
            <w:vAlign w:val="center"/>
          </w:tcPr>
          <w:p w14:paraId="3478457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1，2-二氯丙烷</w:t>
            </w:r>
          </w:p>
        </w:tc>
        <w:tc>
          <w:tcPr>
            <w:tcW w:w="918" w:type="pct"/>
            <w:tcBorders>
              <w:right w:val="double" w:color="auto" w:sz="4" w:space="0"/>
            </w:tcBorders>
            <w:tcMar>
              <w:left w:w="28" w:type="dxa"/>
              <w:right w:w="28" w:type="dxa"/>
            </w:tcMar>
            <w:vAlign w:val="center"/>
          </w:tcPr>
          <w:p w14:paraId="4C87241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406" w:type="pct"/>
            <w:tcBorders>
              <w:left w:val="double" w:color="auto" w:sz="4" w:space="0"/>
            </w:tcBorders>
            <w:tcMar>
              <w:left w:w="28" w:type="dxa"/>
              <w:right w:w="28" w:type="dxa"/>
            </w:tcMar>
            <w:vAlign w:val="center"/>
          </w:tcPr>
          <w:p w14:paraId="3BB48BF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1371" w:type="pct"/>
            <w:tcMar>
              <w:left w:w="28" w:type="dxa"/>
              <w:right w:w="28" w:type="dxa"/>
            </w:tcMar>
            <w:vAlign w:val="center"/>
          </w:tcPr>
          <w:p w14:paraId="79A9072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苯并〔b〕荧蒽</w:t>
            </w:r>
          </w:p>
        </w:tc>
        <w:tc>
          <w:tcPr>
            <w:tcW w:w="956" w:type="pct"/>
            <w:tcMar>
              <w:left w:w="28" w:type="dxa"/>
              <w:right w:w="28" w:type="dxa"/>
            </w:tcMar>
            <w:vAlign w:val="center"/>
          </w:tcPr>
          <w:p w14:paraId="0D3E2F2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r>
      <w:tr w14:paraId="099FE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64" w:hRule="atLeast"/>
          <w:jc w:val="center"/>
        </w:trPr>
        <w:tc>
          <w:tcPr>
            <w:tcW w:w="351" w:type="pct"/>
            <w:tcMar>
              <w:left w:w="28" w:type="dxa"/>
              <w:right w:w="28" w:type="dxa"/>
            </w:tcMar>
            <w:vAlign w:val="center"/>
          </w:tcPr>
          <w:p w14:paraId="1B9E43C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18</w:t>
            </w:r>
          </w:p>
        </w:tc>
        <w:tc>
          <w:tcPr>
            <w:tcW w:w="998" w:type="pct"/>
            <w:tcMar>
              <w:left w:w="28" w:type="dxa"/>
              <w:right w:w="28" w:type="dxa"/>
            </w:tcMar>
            <w:vAlign w:val="center"/>
          </w:tcPr>
          <w:p w14:paraId="1955A3B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1，1，1，2-四氯乙烷</w:t>
            </w:r>
          </w:p>
        </w:tc>
        <w:tc>
          <w:tcPr>
            <w:tcW w:w="918" w:type="pct"/>
            <w:tcBorders>
              <w:right w:val="double" w:color="auto" w:sz="4" w:space="0"/>
            </w:tcBorders>
            <w:tcMar>
              <w:left w:w="28" w:type="dxa"/>
              <w:right w:w="28" w:type="dxa"/>
            </w:tcMar>
            <w:vAlign w:val="center"/>
          </w:tcPr>
          <w:p w14:paraId="59B9F0B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406" w:type="pct"/>
            <w:tcBorders>
              <w:left w:val="double" w:color="auto" w:sz="4" w:space="0"/>
            </w:tcBorders>
            <w:tcMar>
              <w:left w:w="28" w:type="dxa"/>
              <w:right w:w="28" w:type="dxa"/>
            </w:tcMar>
            <w:vAlign w:val="center"/>
          </w:tcPr>
          <w:p w14:paraId="1D742DC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41</w:t>
            </w:r>
          </w:p>
        </w:tc>
        <w:tc>
          <w:tcPr>
            <w:tcW w:w="1371" w:type="pct"/>
            <w:tcMar>
              <w:left w:w="28" w:type="dxa"/>
              <w:right w:w="28" w:type="dxa"/>
            </w:tcMar>
            <w:vAlign w:val="center"/>
          </w:tcPr>
          <w:p w14:paraId="2A5E881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苯并〔k〕荧蒽</w:t>
            </w:r>
          </w:p>
        </w:tc>
        <w:tc>
          <w:tcPr>
            <w:tcW w:w="956" w:type="pct"/>
            <w:tcMar>
              <w:left w:w="28" w:type="dxa"/>
              <w:right w:w="28" w:type="dxa"/>
            </w:tcMar>
            <w:vAlign w:val="center"/>
          </w:tcPr>
          <w:p w14:paraId="4F9EF2D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151</w:t>
            </w:r>
          </w:p>
        </w:tc>
      </w:tr>
      <w:tr w14:paraId="50E4B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78" w:hRule="atLeast"/>
          <w:jc w:val="center"/>
        </w:trPr>
        <w:tc>
          <w:tcPr>
            <w:tcW w:w="351" w:type="pct"/>
            <w:tcMar>
              <w:left w:w="28" w:type="dxa"/>
              <w:right w:w="28" w:type="dxa"/>
            </w:tcMar>
            <w:vAlign w:val="center"/>
          </w:tcPr>
          <w:p w14:paraId="34696555">
            <w:pPr>
              <w:pStyle w:val="136"/>
              <w:spacing w:line="0" w:lineRule="atLeast"/>
              <w:ind w:firstLine="0" w:firstLineChars="0"/>
              <w:jc w:val="center"/>
              <w:rPr>
                <w:rFonts w:hint="eastAsia" w:hAnsi="宋体" w:cs="宋体"/>
                <w:color w:val="000000"/>
                <w:spacing w:val="-10"/>
                <w:sz w:val="21"/>
                <w:szCs w:val="21"/>
              </w:rPr>
            </w:pPr>
            <w:r>
              <w:rPr>
                <w:color w:val="000000"/>
              </w:rPr>
              <w:br w:type="page"/>
            </w:r>
            <w:r>
              <w:rPr>
                <w:rFonts w:hint="eastAsia" w:hAnsi="宋体" w:cs="宋体"/>
                <w:color w:val="000000"/>
                <w:spacing w:val="-10"/>
                <w:sz w:val="21"/>
                <w:szCs w:val="21"/>
              </w:rPr>
              <w:t>19</w:t>
            </w:r>
          </w:p>
        </w:tc>
        <w:tc>
          <w:tcPr>
            <w:tcW w:w="998" w:type="pct"/>
            <w:tcMar>
              <w:left w:w="28" w:type="dxa"/>
              <w:right w:w="28" w:type="dxa"/>
            </w:tcMar>
            <w:vAlign w:val="center"/>
          </w:tcPr>
          <w:p w14:paraId="644135F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1，1，2，2-四氯乙烷</w:t>
            </w:r>
          </w:p>
        </w:tc>
        <w:tc>
          <w:tcPr>
            <w:tcW w:w="918" w:type="pct"/>
            <w:tcBorders>
              <w:right w:val="double" w:color="auto" w:sz="4" w:space="0"/>
            </w:tcBorders>
            <w:tcMar>
              <w:left w:w="28" w:type="dxa"/>
              <w:right w:w="28" w:type="dxa"/>
            </w:tcMar>
            <w:vAlign w:val="center"/>
          </w:tcPr>
          <w:p w14:paraId="734C9DF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6.8</w:t>
            </w:r>
          </w:p>
        </w:tc>
        <w:tc>
          <w:tcPr>
            <w:tcW w:w="406" w:type="pct"/>
            <w:tcBorders>
              <w:left w:val="double" w:color="auto" w:sz="4" w:space="0"/>
            </w:tcBorders>
            <w:tcMar>
              <w:left w:w="28" w:type="dxa"/>
              <w:right w:w="28" w:type="dxa"/>
            </w:tcMar>
            <w:vAlign w:val="center"/>
          </w:tcPr>
          <w:p w14:paraId="7032C6EF">
            <w:pPr>
              <w:pStyle w:val="136"/>
              <w:spacing w:line="0" w:lineRule="atLeast"/>
              <w:ind w:firstLine="0" w:firstLineChars="0"/>
              <w:jc w:val="center"/>
              <w:rPr>
                <w:rFonts w:hAnsi="宋体" w:cs="宋体"/>
                <w:color w:val="000000"/>
                <w:spacing w:val="-10"/>
                <w:sz w:val="21"/>
                <w:szCs w:val="21"/>
              </w:rPr>
            </w:pPr>
            <w:r>
              <w:rPr>
                <w:rFonts w:hint="eastAsia" w:hAnsi="宋体" w:cs="宋体"/>
                <w:color w:val="000000"/>
                <w:spacing w:val="-10"/>
                <w:sz w:val="21"/>
                <w:szCs w:val="21"/>
              </w:rPr>
              <w:t>42</w:t>
            </w:r>
          </w:p>
        </w:tc>
        <w:tc>
          <w:tcPr>
            <w:tcW w:w="1371" w:type="pct"/>
            <w:tcMar>
              <w:left w:w="28" w:type="dxa"/>
              <w:right w:w="28" w:type="dxa"/>
            </w:tcMar>
            <w:vAlign w:val="center"/>
          </w:tcPr>
          <w:p w14:paraId="1E75D4C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䓛</w:t>
            </w:r>
          </w:p>
        </w:tc>
        <w:tc>
          <w:tcPr>
            <w:tcW w:w="956" w:type="pct"/>
            <w:tcMar>
              <w:left w:w="28" w:type="dxa"/>
              <w:right w:w="28" w:type="dxa"/>
            </w:tcMar>
            <w:vAlign w:val="center"/>
          </w:tcPr>
          <w:p w14:paraId="5E05E19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1293</w:t>
            </w:r>
          </w:p>
        </w:tc>
      </w:tr>
      <w:tr w14:paraId="7F064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3EFB0B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998" w:type="pct"/>
            <w:tcMar>
              <w:left w:w="28" w:type="dxa"/>
              <w:right w:w="28" w:type="dxa"/>
            </w:tcMar>
            <w:vAlign w:val="center"/>
          </w:tcPr>
          <w:p w14:paraId="27413CF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四氯乙烯</w:t>
            </w:r>
          </w:p>
        </w:tc>
        <w:tc>
          <w:tcPr>
            <w:tcW w:w="918" w:type="pct"/>
            <w:tcBorders>
              <w:right w:val="double" w:color="auto" w:sz="4" w:space="0"/>
            </w:tcBorders>
            <w:tcMar>
              <w:left w:w="28" w:type="dxa"/>
              <w:right w:w="28" w:type="dxa"/>
            </w:tcMar>
            <w:vAlign w:val="center"/>
          </w:tcPr>
          <w:p w14:paraId="4D5739E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53</w:t>
            </w:r>
          </w:p>
        </w:tc>
        <w:tc>
          <w:tcPr>
            <w:tcW w:w="406" w:type="pct"/>
            <w:tcBorders>
              <w:left w:val="double" w:color="auto" w:sz="4" w:space="0"/>
            </w:tcBorders>
            <w:tcMar>
              <w:left w:w="28" w:type="dxa"/>
              <w:right w:w="28" w:type="dxa"/>
            </w:tcMar>
            <w:vAlign w:val="center"/>
          </w:tcPr>
          <w:p w14:paraId="7478E11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43</w:t>
            </w:r>
          </w:p>
        </w:tc>
        <w:tc>
          <w:tcPr>
            <w:tcW w:w="1371" w:type="pct"/>
            <w:tcMar>
              <w:left w:w="28" w:type="dxa"/>
              <w:right w:w="28" w:type="dxa"/>
            </w:tcMar>
            <w:vAlign w:val="center"/>
          </w:tcPr>
          <w:p w14:paraId="24B6EE2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二苯并〔a，h〕蒽</w:t>
            </w:r>
          </w:p>
        </w:tc>
        <w:tc>
          <w:tcPr>
            <w:tcW w:w="956" w:type="pct"/>
            <w:tcMar>
              <w:left w:w="28" w:type="dxa"/>
              <w:right w:w="28" w:type="dxa"/>
            </w:tcMar>
            <w:vAlign w:val="center"/>
          </w:tcPr>
          <w:p w14:paraId="481516A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r>
      <w:tr w14:paraId="3E602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699F631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21</w:t>
            </w:r>
          </w:p>
        </w:tc>
        <w:tc>
          <w:tcPr>
            <w:tcW w:w="998" w:type="pct"/>
            <w:tcMar>
              <w:left w:w="28" w:type="dxa"/>
              <w:right w:w="28" w:type="dxa"/>
            </w:tcMar>
            <w:vAlign w:val="center"/>
          </w:tcPr>
          <w:p w14:paraId="119B0DA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1，1，1-三氯乙烷</w:t>
            </w:r>
          </w:p>
        </w:tc>
        <w:tc>
          <w:tcPr>
            <w:tcW w:w="918" w:type="pct"/>
            <w:tcBorders>
              <w:right w:val="double" w:color="auto" w:sz="4" w:space="0"/>
            </w:tcBorders>
            <w:tcMar>
              <w:left w:w="28" w:type="dxa"/>
              <w:right w:w="28" w:type="dxa"/>
            </w:tcMar>
            <w:vAlign w:val="center"/>
          </w:tcPr>
          <w:p w14:paraId="5FE2633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840</w:t>
            </w:r>
          </w:p>
        </w:tc>
        <w:tc>
          <w:tcPr>
            <w:tcW w:w="406" w:type="pct"/>
            <w:tcBorders>
              <w:left w:val="double" w:color="auto" w:sz="4" w:space="0"/>
            </w:tcBorders>
            <w:tcMar>
              <w:left w:w="28" w:type="dxa"/>
              <w:right w:w="28" w:type="dxa"/>
            </w:tcMar>
            <w:vAlign w:val="center"/>
          </w:tcPr>
          <w:p w14:paraId="204C832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44</w:t>
            </w:r>
          </w:p>
        </w:tc>
        <w:tc>
          <w:tcPr>
            <w:tcW w:w="1371" w:type="pct"/>
            <w:tcMar>
              <w:left w:w="28" w:type="dxa"/>
              <w:right w:w="28" w:type="dxa"/>
            </w:tcMar>
            <w:vAlign w:val="center"/>
          </w:tcPr>
          <w:p w14:paraId="4F0007F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茚并（1，2，3-c，d）芘</w:t>
            </w:r>
          </w:p>
        </w:tc>
        <w:tc>
          <w:tcPr>
            <w:tcW w:w="956" w:type="pct"/>
            <w:tcMar>
              <w:left w:w="28" w:type="dxa"/>
              <w:right w:w="28" w:type="dxa"/>
            </w:tcMar>
            <w:vAlign w:val="center"/>
          </w:tcPr>
          <w:p w14:paraId="52F6CFD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15</w:t>
            </w:r>
          </w:p>
        </w:tc>
      </w:tr>
      <w:tr w14:paraId="44198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E5CF23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22</w:t>
            </w:r>
          </w:p>
        </w:tc>
        <w:tc>
          <w:tcPr>
            <w:tcW w:w="998" w:type="pct"/>
            <w:tcMar>
              <w:left w:w="28" w:type="dxa"/>
              <w:right w:w="28" w:type="dxa"/>
            </w:tcMar>
            <w:vAlign w:val="center"/>
          </w:tcPr>
          <w:p w14:paraId="7F51CA3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1，1，2-三氯乙烷</w:t>
            </w:r>
          </w:p>
        </w:tc>
        <w:tc>
          <w:tcPr>
            <w:tcW w:w="918" w:type="pct"/>
            <w:tcBorders>
              <w:right w:val="double" w:color="auto" w:sz="4" w:space="0"/>
            </w:tcBorders>
            <w:tcMar>
              <w:left w:w="28" w:type="dxa"/>
              <w:right w:w="28" w:type="dxa"/>
            </w:tcMar>
            <w:vAlign w:val="center"/>
          </w:tcPr>
          <w:p w14:paraId="46D3418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406" w:type="pct"/>
            <w:tcBorders>
              <w:left w:val="double" w:color="auto" w:sz="4" w:space="0"/>
            </w:tcBorders>
            <w:tcMar>
              <w:left w:w="28" w:type="dxa"/>
              <w:right w:w="28" w:type="dxa"/>
            </w:tcMar>
            <w:vAlign w:val="center"/>
          </w:tcPr>
          <w:p w14:paraId="5848577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45</w:t>
            </w:r>
          </w:p>
        </w:tc>
        <w:tc>
          <w:tcPr>
            <w:tcW w:w="1371" w:type="pct"/>
            <w:tcMar>
              <w:left w:w="28" w:type="dxa"/>
              <w:right w:w="28" w:type="dxa"/>
            </w:tcMar>
            <w:vAlign w:val="center"/>
          </w:tcPr>
          <w:p w14:paraId="074BE70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萘</w:t>
            </w:r>
          </w:p>
        </w:tc>
        <w:tc>
          <w:tcPr>
            <w:tcW w:w="956" w:type="pct"/>
            <w:tcMar>
              <w:left w:w="28" w:type="dxa"/>
              <w:right w:w="28" w:type="dxa"/>
            </w:tcMar>
            <w:vAlign w:val="center"/>
          </w:tcPr>
          <w:p w14:paraId="2BDABFD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70</w:t>
            </w:r>
          </w:p>
        </w:tc>
      </w:tr>
      <w:tr w14:paraId="3208A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51" w:type="pct"/>
            <w:tcMar>
              <w:left w:w="28" w:type="dxa"/>
              <w:right w:w="28" w:type="dxa"/>
            </w:tcMar>
            <w:vAlign w:val="center"/>
          </w:tcPr>
          <w:p w14:paraId="013E488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23</w:t>
            </w:r>
          </w:p>
        </w:tc>
        <w:tc>
          <w:tcPr>
            <w:tcW w:w="998" w:type="pct"/>
            <w:tcMar>
              <w:left w:w="28" w:type="dxa"/>
              <w:right w:w="28" w:type="dxa"/>
            </w:tcMar>
            <w:vAlign w:val="center"/>
          </w:tcPr>
          <w:p w14:paraId="371A3E8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三氯乙烯</w:t>
            </w:r>
          </w:p>
        </w:tc>
        <w:tc>
          <w:tcPr>
            <w:tcW w:w="918" w:type="pct"/>
            <w:tcBorders>
              <w:right w:val="double" w:color="auto" w:sz="4" w:space="0"/>
            </w:tcBorders>
            <w:tcMar>
              <w:left w:w="28" w:type="dxa"/>
              <w:right w:w="28" w:type="dxa"/>
            </w:tcMar>
            <w:vAlign w:val="center"/>
          </w:tcPr>
          <w:p w14:paraId="0C2EA52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406" w:type="pct"/>
            <w:tcBorders>
              <w:left w:val="double" w:color="auto" w:sz="4" w:space="0"/>
            </w:tcBorders>
            <w:tcMar>
              <w:left w:w="28" w:type="dxa"/>
              <w:right w:w="28" w:type="dxa"/>
            </w:tcMar>
            <w:vAlign w:val="center"/>
          </w:tcPr>
          <w:p w14:paraId="687AF081">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46</w:t>
            </w:r>
          </w:p>
        </w:tc>
        <w:tc>
          <w:tcPr>
            <w:tcW w:w="1371" w:type="pct"/>
            <w:tcMar>
              <w:left w:w="28" w:type="dxa"/>
              <w:right w:w="28" w:type="dxa"/>
            </w:tcMar>
            <w:vAlign w:val="center"/>
          </w:tcPr>
          <w:p w14:paraId="5F878FB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956" w:type="pct"/>
            <w:tcMar>
              <w:left w:w="28" w:type="dxa"/>
              <w:right w:w="28" w:type="dxa"/>
            </w:tcMar>
            <w:vAlign w:val="center"/>
          </w:tcPr>
          <w:p w14:paraId="2C77997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4500</w:t>
            </w:r>
          </w:p>
        </w:tc>
      </w:tr>
    </w:tbl>
    <w:p w14:paraId="120579E8">
      <w:pPr>
        <w:spacing w:before="240" w:line="500" w:lineRule="exact"/>
        <w:outlineLvl w:val="2"/>
        <w:rPr>
          <w:rFonts w:hAnsi="宋体" w:cs="宋体"/>
          <w:color w:val="000000"/>
          <w:szCs w:val="24"/>
        </w:rPr>
      </w:pPr>
      <w:r>
        <w:rPr>
          <w:rFonts w:hint="eastAsia" w:hAnsi="宋体"/>
          <w:color w:val="000000"/>
          <w:szCs w:val="24"/>
        </w:rPr>
        <w:t xml:space="preserve">2.4.3 </w:t>
      </w:r>
      <w:r>
        <w:rPr>
          <w:rFonts w:hint="eastAsia" w:hAnsi="宋体" w:cs="宋体"/>
          <w:color w:val="000000"/>
          <w:szCs w:val="24"/>
        </w:rPr>
        <w:t>污染物排放标准</w:t>
      </w:r>
    </w:p>
    <w:p w14:paraId="082C1C43">
      <w:pPr>
        <w:spacing w:line="500" w:lineRule="exact"/>
        <w:ind w:firstLine="526" w:firstLineChars="200"/>
        <w:rPr>
          <w:rFonts w:hAnsi="宋体" w:cs="宋体"/>
          <w:color w:val="000000"/>
          <w:szCs w:val="24"/>
        </w:rPr>
      </w:pPr>
      <w:r>
        <w:rPr>
          <w:rFonts w:hint="eastAsia" w:hAnsi="宋体" w:cs="宋体"/>
          <w:color w:val="000000"/>
          <w:szCs w:val="24"/>
        </w:rPr>
        <w:t>废气：施工扬尘执行《大气污染物综合排放标准》（GB 16297-1996）表2无组织排放监控浓度限值；燃油机械设备废气</w:t>
      </w:r>
      <w:r>
        <w:rPr>
          <w:rFonts w:hint="eastAsia" w:hAnsi="宋体" w:cs="宋体"/>
          <w:color w:val="000000"/>
          <w:szCs w:val="21"/>
          <w:lang w:bidi="ar"/>
        </w:rPr>
        <w:t>执行《大气污染物综合排放标准》(GB16297-1996)表2新污染源大气污染物无组织排放监控浓度限值要求</w:t>
      </w:r>
      <w:r>
        <w:rPr>
          <w:rFonts w:hint="eastAsia" w:hAnsi="宋体" w:cs="宋体"/>
          <w:color w:val="000000"/>
          <w:szCs w:val="24"/>
        </w:rPr>
        <w:t>。</w:t>
      </w:r>
    </w:p>
    <w:p w14:paraId="73366062">
      <w:pPr>
        <w:spacing w:line="500" w:lineRule="exact"/>
        <w:ind w:firstLine="526" w:firstLineChars="200"/>
        <w:rPr>
          <w:rFonts w:hAnsi="宋体" w:cs="宋体"/>
          <w:color w:val="000000"/>
          <w:szCs w:val="24"/>
        </w:rPr>
      </w:pPr>
      <w:r>
        <w:rPr>
          <w:rFonts w:hint="eastAsia" w:hAnsi="宋体" w:cs="宋体"/>
          <w:color w:val="000000"/>
          <w:szCs w:val="24"/>
        </w:rPr>
        <w:t>噪声：施工噪声执行《建筑施工噪声排放标准》（GB12523-2025）中相应限值。</w:t>
      </w:r>
    </w:p>
    <w:p w14:paraId="61D51C66">
      <w:pPr>
        <w:spacing w:line="480" w:lineRule="exact"/>
        <w:ind w:firstLine="526" w:firstLineChars="200"/>
        <w:rPr>
          <w:rFonts w:hAnsi="宋体" w:cs="宋体"/>
          <w:color w:val="000000"/>
          <w:szCs w:val="24"/>
        </w:rPr>
      </w:pPr>
      <w:r>
        <w:rPr>
          <w:rFonts w:hint="eastAsia" w:hAnsi="宋体" w:cs="宋体"/>
          <w:color w:val="000000"/>
          <w:szCs w:val="24"/>
        </w:rPr>
        <w:t>固体废物：</w:t>
      </w:r>
      <w:r>
        <w:rPr>
          <w:rFonts w:hint="eastAsia" w:hAnsi="宋体"/>
          <w:color w:val="000000"/>
          <w:szCs w:val="24"/>
        </w:rPr>
        <w:t>一般工业固体废物贮存执行《一般工业固体废物贮存和填埋污染控制标准》（GB18599-2020）；危险废物贮存执行《危险废物贮存污染控制标准》（GB18597-2023）；危险废物转移执行</w:t>
      </w:r>
      <w:r>
        <w:rPr>
          <w:rFonts w:hint="eastAsia" w:hAnsi="宋体" w:cs="宋体"/>
          <w:color w:val="000000"/>
          <w:szCs w:val="24"/>
        </w:rPr>
        <w:t>《</w:t>
      </w:r>
      <w:r>
        <w:rPr>
          <w:rFonts w:hint="eastAsia" w:hAnsi="宋体" w:cs="宋体"/>
          <w:color w:val="000000"/>
          <w:kern w:val="0"/>
          <w:szCs w:val="24"/>
        </w:rPr>
        <w:t>危险废物转移管理办法</w:t>
      </w:r>
      <w:r>
        <w:rPr>
          <w:rFonts w:hint="eastAsia" w:hAnsi="宋体" w:cs="宋体"/>
          <w:color w:val="000000"/>
          <w:szCs w:val="24"/>
        </w:rPr>
        <w:t>》</w:t>
      </w:r>
      <w:r>
        <w:rPr>
          <w:rFonts w:hint="eastAsia" w:hAnsi="宋体" w:cs="宋体"/>
          <w:color w:val="000000"/>
          <w:szCs w:val="24"/>
          <w:lang w:bidi="ar"/>
        </w:rPr>
        <w:t>（生态环境部令 第23号）</w:t>
      </w:r>
      <w:r>
        <w:rPr>
          <w:rFonts w:hint="eastAsia" w:hAnsi="宋体" w:cs="宋体"/>
          <w:color w:val="000000"/>
          <w:szCs w:val="24"/>
        </w:rPr>
        <w:t>。</w:t>
      </w:r>
    </w:p>
    <w:p w14:paraId="3EC4F76C">
      <w:pPr>
        <w:pStyle w:val="23"/>
        <w:spacing w:line="480" w:lineRule="exact"/>
        <w:ind w:firstLine="527"/>
        <w:rPr>
          <w:rFonts w:ascii="黑体" w:hAnsi="宋体" w:eastAsia="黑体"/>
          <w:color w:val="000000"/>
          <w:sz w:val="24"/>
          <w:szCs w:val="24"/>
        </w:rPr>
      </w:pPr>
      <w:r>
        <w:rPr>
          <w:rFonts w:hint="eastAsia" w:ascii="黑体" w:hAnsi="宋体" w:eastAsia="黑体"/>
          <w:color w:val="000000"/>
          <w:sz w:val="24"/>
          <w:szCs w:val="24"/>
        </w:rPr>
        <w:t>表2.4-3           污染物排放标准一览表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48"/>
        <w:gridCol w:w="887"/>
        <w:gridCol w:w="1838"/>
        <w:gridCol w:w="956"/>
        <w:gridCol w:w="1042"/>
        <w:gridCol w:w="3744"/>
      </w:tblGrid>
      <w:tr w14:paraId="63D124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Align w:val="center"/>
          </w:tcPr>
          <w:p w14:paraId="64CD861C">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887" w:type="dxa"/>
            <w:vAlign w:val="center"/>
          </w:tcPr>
          <w:p w14:paraId="2A8032FF">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污染源</w:t>
            </w:r>
          </w:p>
        </w:tc>
        <w:tc>
          <w:tcPr>
            <w:tcW w:w="1838" w:type="dxa"/>
            <w:vAlign w:val="center"/>
          </w:tcPr>
          <w:p w14:paraId="6468436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    目</w:t>
            </w:r>
          </w:p>
        </w:tc>
        <w:tc>
          <w:tcPr>
            <w:tcW w:w="956" w:type="dxa"/>
            <w:vAlign w:val="center"/>
          </w:tcPr>
          <w:p w14:paraId="1BDBDF6C">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排放限值</w:t>
            </w:r>
          </w:p>
        </w:tc>
        <w:tc>
          <w:tcPr>
            <w:tcW w:w="1042" w:type="dxa"/>
            <w:vAlign w:val="center"/>
          </w:tcPr>
          <w:p w14:paraId="56750E85">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3744" w:type="dxa"/>
            <w:vAlign w:val="center"/>
          </w:tcPr>
          <w:p w14:paraId="2D45C6F1">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 准 来 源</w:t>
            </w:r>
          </w:p>
        </w:tc>
      </w:tr>
      <w:tr w14:paraId="7CEC39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restart"/>
            <w:vAlign w:val="center"/>
          </w:tcPr>
          <w:p w14:paraId="7F8486A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废气</w:t>
            </w:r>
          </w:p>
        </w:tc>
        <w:tc>
          <w:tcPr>
            <w:tcW w:w="887" w:type="dxa"/>
            <w:vAlign w:val="center"/>
          </w:tcPr>
          <w:p w14:paraId="24FFC46E">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施工</w:t>
            </w:r>
          </w:p>
          <w:p w14:paraId="5B5A420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扬尘</w:t>
            </w:r>
          </w:p>
        </w:tc>
        <w:tc>
          <w:tcPr>
            <w:tcW w:w="1838" w:type="dxa"/>
            <w:vAlign w:val="center"/>
          </w:tcPr>
          <w:p w14:paraId="616E54F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颗粒物</w:t>
            </w:r>
          </w:p>
        </w:tc>
        <w:tc>
          <w:tcPr>
            <w:tcW w:w="956" w:type="dxa"/>
            <w:vAlign w:val="center"/>
          </w:tcPr>
          <w:p w14:paraId="1744037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1.0</w:t>
            </w:r>
          </w:p>
        </w:tc>
        <w:tc>
          <w:tcPr>
            <w:tcW w:w="1042" w:type="dxa"/>
            <w:vMerge w:val="restart"/>
            <w:vAlign w:val="center"/>
          </w:tcPr>
          <w:p w14:paraId="16F297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mg/m</w:t>
            </w:r>
            <w:r>
              <w:rPr>
                <w:rFonts w:hint="eastAsia" w:hAnsi="宋体" w:cs="宋体"/>
                <w:color w:val="000000"/>
                <w:spacing w:val="-10"/>
                <w:sz w:val="21"/>
                <w:szCs w:val="21"/>
                <w:vertAlign w:val="superscript"/>
                <w:lang w:bidi="ar"/>
              </w:rPr>
              <w:t>3</w:t>
            </w:r>
          </w:p>
        </w:tc>
        <w:tc>
          <w:tcPr>
            <w:tcW w:w="3744" w:type="dxa"/>
            <w:vMerge w:val="restart"/>
            <w:vAlign w:val="center"/>
          </w:tcPr>
          <w:p w14:paraId="091FD1D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《大气污染物综合排放标准》（GB16297-1996）中无组织排放监控浓度限值</w:t>
            </w:r>
          </w:p>
        </w:tc>
      </w:tr>
      <w:tr w14:paraId="59288E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continue"/>
            <w:vAlign w:val="center"/>
          </w:tcPr>
          <w:p w14:paraId="659C77DA">
            <w:pPr>
              <w:topLinePunct/>
              <w:spacing w:line="0" w:lineRule="atLeast"/>
              <w:jc w:val="center"/>
              <w:rPr>
                <w:rFonts w:hint="eastAsia" w:hAnsi="宋体" w:cs="宋体"/>
                <w:color w:val="000000"/>
                <w:spacing w:val="-10"/>
                <w:sz w:val="21"/>
                <w:szCs w:val="21"/>
              </w:rPr>
            </w:pPr>
          </w:p>
        </w:tc>
        <w:tc>
          <w:tcPr>
            <w:tcW w:w="887" w:type="dxa"/>
            <w:vMerge w:val="restart"/>
            <w:vAlign w:val="center"/>
          </w:tcPr>
          <w:p w14:paraId="54D1F27B">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燃油机械设备废气</w:t>
            </w:r>
          </w:p>
        </w:tc>
        <w:tc>
          <w:tcPr>
            <w:tcW w:w="1838" w:type="dxa"/>
            <w:vAlign w:val="center"/>
          </w:tcPr>
          <w:p w14:paraId="31730984">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颗粒物</w:t>
            </w:r>
          </w:p>
        </w:tc>
        <w:tc>
          <w:tcPr>
            <w:tcW w:w="956" w:type="dxa"/>
            <w:vAlign w:val="center"/>
          </w:tcPr>
          <w:p w14:paraId="1D753865">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1.0</w:t>
            </w:r>
          </w:p>
        </w:tc>
        <w:tc>
          <w:tcPr>
            <w:tcW w:w="1042" w:type="dxa"/>
            <w:vMerge w:val="continue"/>
            <w:vAlign w:val="center"/>
          </w:tcPr>
          <w:p w14:paraId="67FB364D">
            <w:pPr>
              <w:topLinePunct/>
              <w:spacing w:line="0" w:lineRule="atLeast"/>
              <w:jc w:val="center"/>
              <w:rPr>
                <w:rFonts w:hint="eastAsia" w:hAnsi="宋体" w:cs="宋体"/>
                <w:color w:val="000000"/>
                <w:spacing w:val="-10"/>
                <w:sz w:val="21"/>
                <w:szCs w:val="21"/>
              </w:rPr>
            </w:pPr>
          </w:p>
        </w:tc>
        <w:tc>
          <w:tcPr>
            <w:tcW w:w="3744" w:type="dxa"/>
            <w:vMerge w:val="continue"/>
            <w:vAlign w:val="center"/>
          </w:tcPr>
          <w:p w14:paraId="6DFE4910">
            <w:pPr>
              <w:topLinePunct/>
              <w:spacing w:line="0" w:lineRule="atLeast"/>
              <w:jc w:val="center"/>
              <w:rPr>
                <w:rFonts w:hint="eastAsia" w:hAnsi="宋体" w:cs="宋体"/>
                <w:color w:val="000000"/>
                <w:spacing w:val="-10"/>
                <w:sz w:val="21"/>
                <w:szCs w:val="21"/>
              </w:rPr>
            </w:pPr>
          </w:p>
        </w:tc>
      </w:tr>
      <w:tr w14:paraId="1C866A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continue"/>
            <w:vAlign w:val="center"/>
          </w:tcPr>
          <w:p w14:paraId="201C5D21">
            <w:pPr>
              <w:topLinePunct/>
              <w:spacing w:line="0" w:lineRule="atLeast"/>
              <w:jc w:val="center"/>
              <w:rPr>
                <w:rFonts w:hint="eastAsia" w:hAnsi="宋体" w:cs="宋体"/>
                <w:color w:val="000000"/>
                <w:spacing w:val="-10"/>
                <w:sz w:val="21"/>
                <w:szCs w:val="21"/>
              </w:rPr>
            </w:pPr>
          </w:p>
        </w:tc>
        <w:tc>
          <w:tcPr>
            <w:tcW w:w="887" w:type="dxa"/>
            <w:vMerge w:val="continue"/>
            <w:vAlign w:val="center"/>
          </w:tcPr>
          <w:p w14:paraId="3854EE29">
            <w:pPr>
              <w:topLinePunct/>
              <w:spacing w:line="0" w:lineRule="atLeast"/>
              <w:jc w:val="center"/>
              <w:rPr>
                <w:rFonts w:hint="eastAsia" w:hAnsi="宋体" w:cs="宋体"/>
                <w:color w:val="000000"/>
                <w:spacing w:val="-10"/>
                <w:sz w:val="21"/>
                <w:szCs w:val="21"/>
              </w:rPr>
            </w:pPr>
          </w:p>
        </w:tc>
        <w:tc>
          <w:tcPr>
            <w:tcW w:w="1838" w:type="dxa"/>
            <w:vAlign w:val="center"/>
          </w:tcPr>
          <w:p w14:paraId="1F58DA01">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二氧化硫</w:t>
            </w:r>
          </w:p>
        </w:tc>
        <w:tc>
          <w:tcPr>
            <w:tcW w:w="956" w:type="dxa"/>
            <w:vAlign w:val="center"/>
          </w:tcPr>
          <w:p w14:paraId="0F9591C6">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0.40</w:t>
            </w:r>
          </w:p>
        </w:tc>
        <w:tc>
          <w:tcPr>
            <w:tcW w:w="1042" w:type="dxa"/>
            <w:vMerge w:val="continue"/>
            <w:vAlign w:val="center"/>
          </w:tcPr>
          <w:p w14:paraId="673F83CB">
            <w:pPr>
              <w:topLinePunct/>
              <w:spacing w:line="0" w:lineRule="atLeast"/>
              <w:jc w:val="center"/>
              <w:rPr>
                <w:rFonts w:hint="eastAsia" w:hAnsi="宋体" w:cs="宋体"/>
                <w:color w:val="000000"/>
                <w:spacing w:val="-10"/>
                <w:sz w:val="21"/>
                <w:szCs w:val="21"/>
              </w:rPr>
            </w:pPr>
          </w:p>
        </w:tc>
        <w:tc>
          <w:tcPr>
            <w:tcW w:w="3744" w:type="dxa"/>
            <w:vMerge w:val="continue"/>
            <w:vAlign w:val="center"/>
          </w:tcPr>
          <w:p w14:paraId="370A7944">
            <w:pPr>
              <w:topLinePunct/>
              <w:spacing w:line="0" w:lineRule="atLeast"/>
              <w:jc w:val="center"/>
              <w:rPr>
                <w:rFonts w:hint="eastAsia" w:hAnsi="宋体" w:cs="宋体"/>
                <w:color w:val="000000"/>
                <w:spacing w:val="-10"/>
                <w:sz w:val="21"/>
                <w:szCs w:val="21"/>
              </w:rPr>
            </w:pPr>
          </w:p>
        </w:tc>
      </w:tr>
      <w:tr w14:paraId="6B73B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continue"/>
            <w:vAlign w:val="center"/>
          </w:tcPr>
          <w:p w14:paraId="32BDABD3">
            <w:pPr>
              <w:topLinePunct/>
              <w:spacing w:line="0" w:lineRule="atLeast"/>
              <w:jc w:val="center"/>
              <w:rPr>
                <w:rFonts w:hint="eastAsia" w:hAnsi="宋体" w:cs="宋体"/>
                <w:color w:val="000000"/>
                <w:spacing w:val="-10"/>
                <w:sz w:val="21"/>
                <w:szCs w:val="21"/>
              </w:rPr>
            </w:pPr>
          </w:p>
        </w:tc>
        <w:tc>
          <w:tcPr>
            <w:tcW w:w="887" w:type="dxa"/>
            <w:vMerge w:val="continue"/>
            <w:vAlign w:val="center"/>
          </w:tcPr>
          <w:p w14:paraId="653D2CA3">
            <w:pPr>
              <w:topLinePunct/>
              <w:spacing w:line="0" w:lineRule="atLeast"/>
              <w:jc w:val="center"/>
              <w:rPr>
                <w:rFonts w:hint="eastAsia" w:hAnsi="宋体" w:cs="宋体"/>
                <w:color w:val="000000"/>
                <w:spacing w:val="-10"/>
                <w:sz w:val="21"/>
                <w:szCs w:val="21"/>
              </w:rPr>
            </w:pPr>
          </w:p>
        </w:tc>
        <w:tc>
          <w:tcPr>
            <w:tcW w:w="1838" w:type="dxa"/>
            <w:vAlign w:val="center"/>
          </w:tcPr>
          <w:p w14:paraId="1541CDF5">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氮氧化物</w:t>
            </w:r>
          </w:p>
        </w:tc>
        <w:tc>
          <w:tcPr>
            <w:tcW w:w="956" w:type="dxa"/>
            <w:vAlign w:val="center"/>
          </w:tcPr>
          <w:p w14:paraId="1F401EB1">
            <w:pPr>
              <w:adjustRightInd w:val="0"/>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0.12</w:t>
            </w:r>
          </w:p>
        </w:tc>
        <w:tc>
          <w:tcPr>
            <w:tcW w:w="1042" w:type="dxa"/>
            <w:vMerge w:val="continue"/>
            <w:vAlign w:val="center"/>
          </w:tcPr>
          <w:p w14:paraId="07FE27F5">
            <w:pPr>
              <w:topLinePunct/>
              <w:spacing w:line="0" w:lineRule="atLeast"/>
              <w:jc w:val="center"/>
              <w:rPr>
                <w:rFonts w:hint="eastAsia" w:hAnsi="宋体" w:cs="宋体"/>
                <w:color w:val="000000"/>
                <w:spacing w:val="-10"/>
                <w:sz w:val="21"/>
                <w:szCs w:val="21"/>
              </w:rPr>
            </w:pPr>
          </w:p>
        </w:tc>
        <w:tc>
          <w:tcPr>
            <w:tcW w:w="3744" w:type="dxa"/>
            <w:vMerge w:val="continue"/>
            <w:vAlign w:val="center"/>
          </w:tcPr>
          <w:p w14:paraId="07A4F752">
            <w:pPr>
              <w:topLinePunct/>
              <w:spacing w:line="0" w:lineRule="atLeast"/>
              <w:jc w:val="center"/>
              <w:rPr>
                <w:rFonts w:hint="eastAsia" w:hAnsi="宋体" w:cs="宋体"/>
                <w:color w:val="000000"/>
                <w:spacing w:val="-10"/>
                <w:sz w:val="21"/>
                <w:szCs w:val="21"/>
              </w:rPr>
            </w:pPr>
          </w:p>
        </w:tc>
      </w:tr>
      <w:tr w14:paraId="70FC5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restart"/>
            <w:noWrap/>
            <w:vAlign w:val="center"/>
          </w:tcPr>
          <w:p w14:paraId="539BA56A">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施工噪声</w:t>
            </w:r>
          </w:p>
        </w:tc>
        <w:tc>
          <w:tcPr>
            <w:tcW w:w="887" w:type="dxa"/>
            <w:vMerge w:val="restart"/>
            <w:noWrap/>
            <w:vAlign w:val="center"/>
          </w:tcPr>
          <w:p w14:paraId="70931416">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L</w:t>
            </w:r>
            <w:r>
              <w:rPr>
                <w:rFonts w:hint="eastAsia" w:hAnsi="宋体" w:cs="宋体"/>
                <w:color w:val="000000"/>
                <w:spacing w:val="-10"/>
                <w:sz w:val="21"/>
                <w:szCs w:val="21"/>
                <w:vertAlign w:val="subscript"/>
              </w:rPr>
              <w:t>eq</w:t>
            </w:r>
          </w:p>
        </w:tc>
        <w:tc>
          <w:tcPr>
            <w:tcW w:w="1838" w:type="dxa"/>
            <w:noWrap/>
            <w:vAlign w:val="center"/>
          </w:tcPr>
          <w:p w14:paraId="4E01DFA0">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昼间</w:t>
            </w:r>
          </w:p>
        </w:tc>
        <w:tc>
          <w:tcPr>
            <w:tcW w:w="956" w:type="dxa"/>
            <w:noWrap/>
            <w:vAlign w:val="center"/>
          </w:tcPr>
          <w:p w14:paraId="6F2905A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70</w:t>
            </w:r>
          </w:p>
        </w:tc>
        <w:tc>
          <w:tcPr>
            <w:tcW w:w="1042" w:type="dxa"/>
            <w:vMerge w:val="restart"/>
            <w:noWrap/>
            <w:vAlign w:val="center"/>
          </w:tcPr>
          <w:p w14:paraId="20F82D34">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dB（A）</w:t>
            </w:r>
          </w:p>
        </w:tc>
        <w:tc>
          <w:tcPr>
            <w:tcW w:w="3744" w:type="dxa"/>
            <w:vMerge w:val="restart"/>
            <w:noWrap/>
            <w:vAlign w:val="center"/>
          </w:tcPr>
          <w:p w14:paraId="04F4AC92">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《建筑施工噪声排放标准》(GB12523-2025)</w:t>
            </w:r>
          </w:p>
        </w:tc>
      </w:tr>
      <w:tr w14:paraId="76CF69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48" w:type="dxa"/>
            <w:vMerge w:val="continue"/>
            <w:noWrap/>
            <w:vAlign w:val="center"/>
          </w:tcPr>
          <w:p w14:paraId="57191D56">
            <w:pPr>
              <w:topLinePunct/>
              <w:spacing w:line="0" w:lineRule="atLeast"/>
              <w:jc w:val="center"/>
              <w:rPr>
                <w:rFonts w:hint="eastAsia" w:hAnsi="宋体" w:cs="宋体"/>
                <w:color w:val="000000"/>
                <w:spacing w:val="-10"/>
                <w:sz w:val="21"/>
                <w:szCs w:val="21"/>
              </w:rPr>
            </w:pPr>
          </w:p>
        </w:tc>
        <w:tc>
          <w:tcPr>
            <w:tcW w:w="887" w:type="dxa"/>
            <w:vMerge w:val="continue"/>
            <w:noWrap/>
            <w:vAlign w:val="center"/>
          </w:tcPr>
          <w:p w14:paraId="7769F0A8">
            <w:pPr>
              <w:topLinePunct/>
              <w:spacing w:line="0" w:lineRule="atLeast"/>
              <w:jc w:val="center"/>
              <w:rPr>
                <w:rFonts w:hint="eastAsia" w:hAnsi="宋体" w:cs="宋体"/>
                <w:color w:val="000000"/>
                <w:spacing w:val="-10"/>
                <w:sz w:val="21"/>
                <w:szCs w:val="21"/>
              </w:rPr>
            </w:pPr>
          </w:p>
        </w:tc>
        <w:tc>
          <w:tcPr>
            <w:tcW w:w="1838" w:type="dxa"/>
            <w:noWrap/>
            <w:vAlign w:val="center"/>
          </w:tcPr>
          <w:p w14:paraId="5CF5A004">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夜间</w:t>
            </w:r>
          </w:p>
        </w:tc>
        <w:tc>
          <w:tcPr>
            <w:tcW w:w="956" w:type="dxa"/>
            <w:noWrap/>
            <w:vAlign w:val="center"/>
          </w:tcPr>
          <w:p w14:paraId="0450295C">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55</w:t>
            </w:r>
          </w:p>
        </w:tc>
        <w:tc>
          <w:tcPr>
            <w:tcW w:w="1042" w:type="dxa"/>
            <w:vMerge w:val="continue"/>
            <w:noWrap/>
            <w:vAlign w:val="center"/>
          </w:tcPr>
          <w:p w14:paraId="0731B52B">
            <w:pPr>
              <w:topLinePunct/>
              <w:spacing w:line="0" w:lineRule="atLeast"/>
              <w:jc w:val="center"/>
              <w:rPr>
                <w:rFonts w:hint="eastAsia" w:hAnsi="宋体" w:cs="宋体"/>
                <w:color w:val="000000"/>
                <w:spacing w:val="-10"/>
                <w:sz w:val="21"/>
                <w:szCs w:val="21"/>
              </w:rPr>
            </w:pPr>
          </w:p>
        </w:tc>
        <w:tc>
          <w:tcPr>
            <w:tcW w:w="3744" w:type="dxa"/>
            <w:vMerge w:val="continue"/>
            <w:noWrap/>
            <w:vAlign w:val="center"/>
          </w:tcPr>
          <w:p w14:paraId="7DAB8A46">
            <w:pPr>
              <w:topLinePunct/>
              <w:spacing w:line="0" w:lineRule="atLeast"/>
              <w:jc w:val="center"/>
              <w:rPr>
                <w:rFonts w:hint="eastAsia" w:hAnsi="宋体" w:cs="宋体"/>
                <w:color w:val="000000"/>
                <w:spacing w:val="-10"/>
                <w:sz w:val="21"/>
                <w:szCs w:val="21"/>
              </w:rPr>
            </w:pPr>
          </w:p>
        </w:tc>
      </w:tr>
    </w:tbl>
    <w:p w14:paraId="4016040B">
      <w:pPr>
        <w:spacing w:before="240" w:line="480" w:lineRule="exact"/>
        <w:outlineLvl w:val="1"/>
        <w:rPr>
          <w:rFonts w:hint="eastAsia" w:ascii="黑体" w:hAnsi="黑体" w:eastAsia="黑体" w:cs="黑体"/>
          <w:color w:val="000000"/>
          <w:sz w:val="28"/>
          <w:szCs w:val="28"/>
          <w:lang w:bidi="ar"/>
        </w:rPr>
      </w:pPr>
      <w:r>
        <w:fldChar w:fldCharType="begin"/>
      </w:r>
      <w:r>
        <w:instrText xml:space="preserve"> HYPERLINK \l "_Toc7582" </w:instrText>
      </w:r>
      <w:r>
        <w:fldChar w:fldCharType="separate"/>
      </w:r>
      <w:bookmarkStart w:id="71" w:name="_Toc198040169"/>
      <w:bookmarkStart w:id="72" w:name="_Toc230178779"/>
      <w:bookmarkStart w:id="73" w:name="_Toc198040313"/>
      <w:bookmarkStart w:id="74" w:name="_Toc208474662"/>
      <w:r>
        <w:rPr>
          <w:rFonts w:hint="eastAsia" w:ascii="黑体" w:hAnsi="黑体" w:eastAsia="黑体" w:cs="黑体"/>
          <w:color w:val="000000"/>
          <w:sz w:val="28"/>
          <w:szCs w:val="28"/>
          <w:lang w:bidi="ar"/>
        </w:rPr>
        <w:t>2.5 评价工作等级和评价范围</w:t>
      </w:r>
      <w:bookmarkEnd w:id="71"/>
      <w:bookmarkEnd w:id="72"/>
      <w:bookmarkEnd w:id="73"/>
      <w:bookmarkEnd w:id="74"/>
      <w:r>
        <w:rPr>
          <w:rFonts w:hint="eastAsia" w:ascii="黑体" w:hAnsi="黑体" w:eastAsia="黑体" w:cs="黑体"/>
          <w:color w:val="000000"/>
          <w:sz w:val="28"/>
          <w:szCs w:val="28"/>
          <w:lang w:bidi="ar"/>
        </w:rPr>
        <w:fldChar w:fldCharType="end"/>
      </w:r>
    </w:p>
    <w:p w14:paraId="5FD57B05">
      <w:pPr>
        <w:spacing w:line="480" w:lineRule="exact"/>
        <w:outlineLvl w:val="2"/>
        <w:rPr>
          <w:rFonts w:hint="eastAsia" w:hAnsi="宋体"/>
          <w:color w:val="000000"/>
          <w:szCs w:val="24"/>
        </w:rPr>
      </w:pPr>
      <w:r>
        <w:rPr>
          <w:rFonts w:hint="eastAsia" w:hAnsi="宋体"/>
          <w:color w:val="000000"/>
          <w:szCs w:val="24"/>
        </w:rPr>
        <w:t>2.5.1 生态影响评价等级和评价范围</w:t>
      </w:r>
    </w:p>
    <w:p w14:paraId="5FBC0A47">
      <w:pPr>
        <w:pStyle w:val="13"/>
        <w:adjustRightInd w:val="0"/>
        <w:spacing w:after="0" w:line="480" w:lineRule="exact"/>
        <w:rPr>
          <w:rFonts w:hint="eastAsia" w:hAnsi="宋体" w:eastAsia="宋体"/>
          <w:color w:val="000000"/>
          <w:sz w:val="24"/>
          <w:szCs w:val="24"/>
        </w:rPr>
      </w:pPr>
      <w:r>
        <w:rPr>
          <w:rFonts w:hint="eastAsia" w:hAnsi="宋体" w:eastAsia="宋体"/>
          <w:color w:val="000000"/>
          <w:sz w:val="24"/>
          <w:szCs w:val="24"/>
        </w:rPr>
        <w:t>2.5.1.1 生态影响评价等级</w:t>
      </w:r>
    </w:p>
    <w:p w14:paraId="663485A3">
      <w:pPr>
        <w:pStyle w:val="13"/>
        <w:adjustRightInd w:val="0"/>
        <w:spacing w:after="0" w:line="480" w:lineRule="exact"/>
        <w:ind w:firstLine="526" w:firstLineChars="200"/>
        <w:rPr>
          <w:rFonts w:hint="eastAsia" w:hAnsi="宋体" w:eastAsia="宋体" w:cs="宋体"/>
          <w:color w:val="000000"/>
          <w:sz w:val="24"/>
          <w:szCs w:val="24"/>
          <w:lang w:bidi="ar"/>
        </w:rPr>
      </w:pPr>
      <w:r>
        <w:rPr>
          <w:rFonts w:hint="eastAsia" w:hAnsi="宋体" w:eastAsia="宋体" w:cs="宋体"/>
          <w:color w:val="000000"/>
          <w:sz w:val="24"/>
          <w:szCs w:val="24"/>
          <w:lang w:bidi="ar"/>
        </w:rPr>
        <w:t>根据《环境影响评价技术导则 生态影响》（HJ19-2022）中6.1评价等级判定，结合建设项目影响区域的生态敏感性和影响程度，生态评价等级划分为一级、二级和三级。根据以下原则确定评价等级：</w:t>
      </w:r>
    </w:p>
    <w:p w14:paraId="3F2CBA7B">
      <w:pPr>
        <w:pStyle w:val="13"/>
        <w:adjustRightInd w:val="0"/>
        <w:spacing w:after="0" w:line="480" w:lineRule="exact"/>
        <w:ind w:firstLine="506" w:firstLineChars="200"/>
        <w:rPr>
          <w:rFonts w:hint="eastAsia" w:hAnsi="宋体" w:eastAsia="宋体" w:cs="宋体"/>
          <w:snapToGrid w:val="0"/>
          <w:color w:val="000000"/>
          <w:spacing w:val="0"/>
          <w:sz w:val="24"/>
          <w:szCs w:val="24"/>
        </w:rPr>
      </w:pPr>
      <w:r>
        <w:rPr>
          <w:rFonts w:hint="eastAsia" w:hAnsi="宋体" w:eastAsia="宋体" w:cs="宋体"/>
          <w:snapToGrid w:val="0"/>
          <w:color w:val="000000"/>
          <w:spacing w:val="0"/>
          <w:sz w:val="24"/>
          <w:szCs w:val="24"/>
        </w:rPr>
        <w:t>（1）拟建工程不涉及国家公园、自然保护区、世界自然遗产、重要生境。</w:t>
      </w:r>
    </w:p>
    <w:p w14:paraId="63DDA683">
      <w:pPr>
        <w:pStyle w:val="13"/>
        <w:adjustRightInd w:val="0"/>
        <w:spacing w:after="0" w:line="480" w:lineRule="exact"/>
        <w:ind w:firstLine="506" w:firstLineChars="200"/>
        <w:rPr>
          <w:rFonts w:hint="eastAsia" w:hAnsi="宋体" w:eastAsia="宋体" w:cs="宋体"/>
          <w:snapToGrid w:val="0"/>
          <w:color w:val="000000"/>
          <w:spacing w:val="0"/>
          <w:sz w:val="24"/>
          <w:szCs w:val="24"/>
        </w:rPr>
      </w:pPr>
      <w:r>
        <w:rPr>
          <w:rFonts w:hint="eastAsia" w:hAnsi="宋体" w:eastAsia="宋体" w:cs="宋体"/>
          <w:snapToGrid w:val="0"/>
          <w:color w:val="000000"/>
          <w:spacing w:val="0"/>
          <w:sz w:val="24"/>
          <w:szCs w:val="24"/>
        </w:rPr>
        <w:t>（2）</w:t>
      </w:r>
      <w:r>
        <w:rPr>
          <w:rFonts w:hint="eastAsia" w:hAnsi="宋体" w:eastAsia="宋体" w:cs="宋体"/>
          <w:snapToGrid w:val="0"/>
          <w:color w:val="000000"/>
          <w:spacing w:val="0"/>
          <w:sz w:val="24"/>
          <w:szCs w:val="24"/>
          <w:lang w:val="zh-CN"/>
        </w:rPr>
        <w:t>拟建工程不涉及自然公园、生态保护红线</w:t>
      </w:r>
      <w:r>
        <w:rPr>
          <w:rFonts w:hint="eastAsia" w:hAnsi="宋体" w:eastAsia="宋体" w:cs="宋体"/>
          <w:snapToGrid w:val="0"/>
          <w:color w:val="000000"/>
          <w:spacing w:val="0"/>
          <w:sz w:val="24"/>
          <w:szCs w:val="24"/>
        </w:rPr>
        <w:t>。</w:t>
      </w:r>
    </w:p>
    <w:p w14:paraId="69C31342">
      <w:pPr>
        <w:pStyle w:val="13"/>
        <w:adjustRightInd w:val="0"/>
        <w:spacing w:after="0" w:line="480" w:lineRule="exact"/>
        <w:ind w:firstLine="526" w:firstLineChars="200"/>
        <w:rPr>
          <w:rFonts w:hint="eastAsia" w:hAnsi="宋体" w:eastAsia="宋体" w:cs="宋体"/>
          <w:snapToGrid w:val="0"/>
          <w:color w:val="000000"/>
          <w:sz w:val="24"/>
          <w:szCs w:val="24"/>
        </w:rPr>
      </w:pPr>
      <w:r>
        <w:rPr>
          <w:rFonts w:hint="eastAsia" w:hAnsi="宋体" w:eastAsia="宋体" w:cs="宋体"/>
          <w:snapToGrid w:val="0"/>
          <w:color w:val="000000"/>
          <w:sz w:val="24"/>
          <w:szCs w:val="24"/>
        </w:rPr>
        <w:t>（3）拟建工程地下水水位或土壤影响范围内无天然林、公益林、湿地等生态保护目标。</w:t>
      </w:r>
    </w:p>
    <w:p w14:paraId="1C9FD8AF">
      <w:pPr>
        <w:pStyle w:val="13"/>
        <w:adjustRightInd w:val="0"/>
        <w:spacing w:after="0" w:line="480" w:lineRule="exact"/>
        <w:ind w:firstLine="506" w:firstLineChars="200"/>
        <w:rPr>
          <w:rFonts w:hint="eastAsia" w:hAnsi="宋体" w:eastAsia="宋体" w:cs="宋体"/>
          <w:snapToGrid w:val="0"/>
          <w:color w:val="000000"/>
          <w:spacing w:val="0"/>
          <w:sz w:val="24"/>
          <w:szCs w:val="24"/>
        </w:rPr>
      </w:pPr>
      <w:r>
        <w:rPr>
          <w:rFonts w:hint="eastAsia" w:hAnsi="宋体" w:eastAsia="宋体" w:cs="宋体"/>
          <w:snapToGrid w:val="0"/>
          <w:color w:val="000000"/>
          <w:spacing w:val="0"/>
          <w:sz w:val="24"/>
          <w:szCs w:val="24"/>
        </w:rPr>
        <w:t>（4）</w:t>
      </w:r>
      <w:r>
        <w:rPr>
          <w:rFonts w:hint="eastAsia" w:hAnsi="宋体" w:eastAsia="宋体" w:cs="宋体"/>
          <w:snapToGrid w:val="0"/>
          <w:color w:val="000000"/>
          <w:spacing w:val="0"/>
          <w:sz w:val="24"/>
          <w:szCs w:val="24"/>
          <w:lang w:val="zh-CN"/>
        </w:rPr>
        <w:t>根据《环境影响评价技术导则</w:t>
      </w:r>
      <w:r>
        <w:rPr>
          <w:rFonts w:hint="eastAsia" w:hAnsi="宋体" w:eastAsia="宋体" w:cs="宋体"/>
          <w:snapToGrid w:val="0"/>
          <w:color w:val="000000"/>
          <w:spacing w:val="0"/>
          <w:sz w:val="24"/>
          <w:szCs w:val="24"/>
        </w:rPr>
        <w:t xml:space="preserve"> </w:t>
      </w:r>
      <w:r>
        <w:rPr>
          <w:rFonts w:hint="eastAsia" w:hAnsi="宋体" w:eastAsia="宋体" w:cs="宋体"/>
          <w:snapToGrid w:val="0"/>
          <w:color w:val="000000"/>
          <w:spacing w:val="0"/>
          <w:sz w:val="24"/>
          <w:szCs w:val="24"/>
          <w:lang w:val="zh-CN"/>
        </w:rPr>
        <w:t>地表水环境》</w:t>
      </w:r>
      <w:r>
        <w:rPr>
          <w:rFonts w:hint="eastAsia" w:hAnsi="宋体" w:eastAsia="宋体" w:cs="宋体"/>
          <w:snapToGrid w:val="0"/>
          <w:color w:val="000000"/>
          <w:spacing w:val="0"/>
          <w:sz w:val="24"/>
          <w:szCs w:val="24"/>
        </w:rPr>
        <w:t>（HJ2.3-2018），拟建工程不属于水文要素影响型建设项目。</w:t>
      </w:r>
    </w:p>
    <w:p w14:paraId="607A45C2">
      <w:pPr>
        <w:pStyle w:val="13"/>
        <w:adjustRightInd w:val="0"/>
        <w:spacing w:after="0" w:line="480" w:lineRule="exact"/>
        <w:ind w:firstLine="506" w:firstLineChars="200"/>
        <w:rPr>
          <w:rFonts w:hint="eastAsia" w:hAnsi="宋体" w:eastAsia="宋体" w:cs="宋体"/>
          <w:snapToGrid w:val="0"/>
          <w:color w:val="000000"/>
          <w:spacing w:val="0"/>
          <w:sz w:val="24"/>
          <w:szCs w:val="24"/>
        </w:rPr>
      </w:pPr>
      <w:r>
        <w:rPr>
          <w:rFonts w:hint="eastAsia" w:hAnsi="宋体" w:eastAsia="宋体" w:cs="宋体"/>
          <w:snapToGrid w:val="0"/>
          <w:color w:val="000000"/>
          <w:spacing w:val="0"/>
          <w:sz w:val="24"/>
          <w:szCs w:val="24"/>
        </w:rPr>
        <w:t>（5）拟建工程新增临时占地面积为5.96hm</w:t>
      </w:r>
      <w:r>
        <w:rPr>
          <w:rFonts w:hint="eastAsia" w:hAnsi="宋体" w:eastAsia="宋体" w:cs="宋体"/>
          <w:snapToGrid w:val="0"/>
          <w:color w:val="000000"/>
          <w:spacing w:val="0"/>
          <w:sz w:val="24"/>
          <w:szCs w:val="24"/>
          <w:vertAlign w:val="superscript"/>
        </w:rPr>
        <w:t>2</w:t>
      </w:r>
      <w:r>
        <w:rPr>
          <w:rFonts w:hint="eastAsia" w:hAnsi="宋体" w:eastAsia="宋体" w:cs="宋体"/>
          <w:snapToGrid w:val="0"/>
          <w:color w:val="000000"/>
          <w:spacing w:val="0"/>
          <w:sz w:val="24"/>
          <w:szCs w:val="24"/>
        </w:rPr>
        <w:t>，总面积≤20km</w:t>
      </w:r>
      <w:r>
        <w:rPr>
          <w:rFonts w:hint="eastAsia" w:hAnsi="宋体" w:eastAsia="宋体" w:cs="宋体"/>
          <w:snapToGrid w:val="0"/>
          <w:color w:val="000000"/>
          <w:spacing w:val="0"/>
          <w:sz w:val="24"/>
          <w:szCs w:val="24"/>
          <w:vertAlign w:val="superscript"/>
        </w:rPr>
        <w:t>2</w:t>
      </w:r>
      <w:r>
        <w:rPr>
          <w:rFonts w:hint="eastAsia" w:hAnsi="宋体" w:eastAsia="宋体" w:cs="宋体"/>
          <w:snapToGrid w:val="0"/>
          <w:color w:val="000000"/>
          <w:spacing w:val="0"/>
          <w:sz w:val="24"/>
          <w:szCs w:val="24"/>
        </w:rPr>
        <w:t>。</w:t>
      </w:r>
    </w:p>
    <w:p w14:paraId="2C911CAC">
      <w:pPr>
        <w:pStyle w:val="13"/>
        <w:adjustRightInd w:val="0"/>
        <w:spacing w:after="0" w:line="480" w:lineRule="exact"/>
        <w:ind w:firstLine="506" w:firstLineChars="200"/>
        <w:rPr>
          <w:rFonts w:hAnsi="宋体" w:eastAsia="宋体" w:cs="宋体"/>
          <w:snapToGrid w:val="0"/>
          <w:color w:val="000000"/>
          <w:kern w:val="0"/>
          <w:sz w:val="24"/>
          <w:szCs w:val="24"/>
        </w:rPr>
      </w:pPr>
      <w:r>
        <w:rPr>
          <w:rFonts w:hint="eastAsia" w:hAnsi="宋体" w:eastAsia="宋体" w:cs="宋体"/>
          <w:snapToGrid w:val="0"/>
          <w:color w:val="000000"/>
          <w:spacing w:val="0"/>
          <w:sz w:val="24"/>
          <w:szCs w:val="24"/>
        </w:rPr>
        <w:t>（6）拟建工程不涉及对保护生物多样性具有重要意义的区域</w:t>
      </w:r>
      <w:r>
        <w:rPr>
          <w:rFonts w:hint="eastAsia" w:hAnsi="宋体" w:eastAsia="宋体" w:cs="宋体"/>
          <w:snapToGrid w:val="0"/>
          <w:color w:val="000000"/>
          <w:kern w:val="0"/>
          <w:sz w:val="24"/>
          <w:szCs w:val="24"/>
        </w:rPr>
        <w:t>。</w:t>
      </w:r>
    </w:p>
    <w:p w14:paraId="00EA7523">
      <w:pPr>
        <w:ind w:firstLine="526" w:firstLineChars="200"/>
        <w:rPr>
          <w:rFonts w:ascii="黑体" w:hAnsi="黑体" w:eastAsia="黑体"/>
          <w:color w:val="000000"/>
        </w:rPr>
      </w:pPr>
      <w:r>
        <w:rPr>
          <w:rFonts w:hint="eastAsia" w:ascii="黑体" w:hAnsi="黑体" w:eastAsia="黑体"/>
          <w:color w:val="000000"/>
        </w:rPr>
        <w:t>表2.5-1       生态影响评价工作等级一览表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231"/>
        <w:gridCol w:w="4719"/>
        <w:gridCol w:w="1060"/>
      </w:tblGrid>
      <w:tr w14:paraId="0C81B2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93" w:type="pct"/>
            <w:vAlign w:val="center"/>
          </w:tcPr>
          <w:p w14:paraId="58C13B82">
            <w:pPr>
              <w:spacing w:line="0" w:lineRule="atLeast"/>
              <w:jc w:val="center"/>
              <w:rPr>
                <w:rFonts w:hint="eastAsia" w:hAnsi="宋体"/>
                <w:color w:val="000000"/>
                <w:spacing w:val="-10"/>
                <w:sz w:val="23"/>
                <w:szCs w:val="23"/>
              </w:rPr>
            </w:pPr>
            <w:r>
              <w:rPr>
                <w:rFonts w:hint="eastAsia" w:hAnsi="宋体"/>
                <w:color w:val="000000"/>
                <w:spacing w:val="-10"/>
                <w:sz w:val="23"/>
                <w:szCs w:val="23"/>
              </w:rPr>
              <w:t>项目名称</w:t>
            </w:r>
          </w:p>
        </w:tc>
        <w:tc>
          <w:tcPr>
            <w:tcW w:w="2618" w:type="pct"/>
            <w:vAlign w:val="center"/>
          </w:tcPr>
          <w:p w14:paraId="2480898C">
            <w:pPr>
              <w:spacing w:line="0" w:lineRule="atLeast"/>
              <w:jc w:val="center"/>
              <w:rPr>
                <w:rFonts w:hAnsi="宋体"/>
                <w:color w:val="000000"/>
                <w:spacing w:val="-10"/>
                <w:sz w:val="23"/>
                <w:szCs w:val="23"/>
              </w:rPr>
            </w:pPr>
            <w:r>
              <w:rPr>
                <w:rFonts w:hint="eastAsia" w:hAnsi="宋体"/>
                <w:color w:val="000000"/>
                <w:spacing w:val="-10"/>
                <w:sz w:val="23"/>
                <w:szCs w:val="23"/>
              </w:rPr>
              <w:t>和周边生态敏感区关系</w:t>
            </w:r>
          </w:p>
        </w:tc>
        <w:tc>
          <w:tcPr>
            <w:tcW w:w="588" w:type="pct"/>
            <w:vAlign w:val="center"/>
          </w:tcPr>
          <w:p w14:paraId="0774B8F2">
            <w:pPr>
              <w:spacing w:line="0" w:lineRule="atLeast"/>
              <w:jc w:val="center"/>
              <w:rPr>
                <w:rFonts w:hAnsi="宋体"/>
                <w:color w:val="000000"/>
                <w:spacing w:val="-10"/>
                <w:sz w:val="23"/>
                <w:szCs w:val="23"/>
              </w:rPr>
            </w:pPr>
            <w:r>
              <w:rPr>
                <w:rFonts w:hint="eastAsia" w:hAnsi="宋体"/>
                <w:color w:val="000000"/>
                <w:spacing w:val="-10"/>
                <w:sz w:val="23"/>
                <w:szCs w:val="23"/>
              </w:rPr>
              <w:t>评价等级</w:t>
            </w:r>
          </w:p>
        </w:tc>
      </w:tr>
      <w:tr w14:paraId="54774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93" w:type="pct"/>
            <w:vAlign w:val="center"/>
          </w:tcPr>
          <w:p w14:paraId="0E1DEE6F">
            <w:pPr>
              <w:widowControl/>
              <w:spacing w:line="0" w:lineRule="atLeast"/>
              <w:jc w:val="center"/>
              <w:rPr>
                <w:rFonts w:hint="eastAsia" w:hAnsi="宋体"/>
                <w:color w:val="000000"/>
                <w:spacing w:val="-10"/>
                <w:sz w:val="23"/>
                <w:szCs w:val="23"/>
              </w:rPr>
            </w:pPr>
            <w:r>
              <w:rPr>
                <w:rFonts w:hint="eastAsia" w:hAnsi="宋体"/>
                <w:color w:val="000000"/>
                <w:spacing w:val="-10"/>
                <w:sz w:val="23"/>
                <w:szCs w:val="23"/>
              </w:rPr>
              <w:t>ZG11-H1井至ZG8-9井集输管线</w:t>
            </w:r>
          </w:p>
        </w:tc>
        <w:tc>
          <w:tcPr>
            <w:tcW w:w="2618" w:type="pct"/>
            <w:vMerge w:val="restart"/>
            <w:vAlign w:val="center"/>
          </w:tcPr>
          <w:p w14:paraId="2DB73FD5">
            <w:pPr>
              <w:spacing w:line="0" w:lineRule="atLeast"/>
              <w:rPr>
                <w:rFonts w:hAnsi="宋体"/>
                <w:color w:val="000000"/>
                <w:spacing w:val="-10"/>
                <w:sz w:val="23"/>
                <w:szCs w:val="23"/>
              </w:rPr>
            </w:pPr>
            <w:r>
              <w:rPr>
                <w:rFonts w:hint="eastAsia" w:hAnsi="宋体"/>
                <w:color w:val="000000"/>
                <w:spacing w:val="-10"/>
                <w:sz w:val="23"/>
                <w:szCs w:val="23"/>
              </w:rPr>
              <w:t>不涉及国家公园、自然保护区、世界自然遗产、重要生境；不涉及生态保护红线、自然公园；不涉及天然林、公益林、湿地生态保护目标；不属于水文要素影响型建设项目；</w:t>
            </w:r>
            <w:r>
              <w:rPr>
                <w:rFonts w:hint="eastAsia" w:hAnsi="宋体" w:cs="宋体"/>
                <w:snapToGrid w:val="0"/>
                <w:color w:val="000000"/>
                <w:spacing w:val="-10"/>
                <w:kern w:val="0"/>
                <w:sz w:val="23"/>
                <w:szCs w:val="23"/>
              </w:rPr>
              <w:t>总面积≤20km</w:t>
            </w:r>
            <w:r>
              <w:rPr>
                <w:rFonts w:hint="eastAsia" w:hAnsi="宋体" w:cs="宋体"/>
                <w:snapToGrid w:val="0"/>
                <w:color w:val="000000"/>
                <w:spacing w:val="-10"/>
                <w:kern w:val="0"/>
                <w:sz w:val="23"/>
                <w:szCs w:val="23"/>
                <w:vertAlign w:val="superscript"/>
              </w:rPr>
              <w:t>2</w:t>
            </w:r>
            <w:r>
              <w:rPr>
                <w:rFonts w:hint="eastAsia" w:hAnsi="宋体"/>
                <w:color w:val="000000"/>
                <w:spacing w:val="-10"/>
                <w:sz w:val="23"/>
                <w:szCs w:val="23"/>
              </w:rPr>
              <w:t>；不涉及对保护生物多样性具有重要意义的区域</w:t>
            </w:r>
          </w:p>
        </w:tc>
        <w:tc>
          <w:tcPr>
            <w:tcW w:w="588" w:type="pct"/>
            <w:vAlign w:val="center"/>
          </w:tcPr>
          <w:p w14:paraId="67EA99BA">
            <w:pPr>
              <w:spacing w:line="0" w:lineRule="atLeast"/>
              <w:jc w:val="center"/>
              <w:rPr>
                <w:rFonts w:hint="eastAsia" w:hAnsi="宋体"/>
                <w:color w:val="000000"/>
                <w:spacing w:val="-10"/>
                <w:sz w:val="23"/>
                <w:szCs w:val="23"/>
              </w:rPr>
            </w:pPr>
            <w:r>
              <w:rPr>
                <w:rFonts w:hint="eastAsia" w:hAnsi="宋体"/>
                <w:color w:val="000000"/>
                <w:spacing w:val="-10"/>
                <w:sz w:val="23"/>
                <w:szCs w:val="23"/>
              </w:rPr>
              <w:t>三级</w:t>
            </w:r>
          </w:p>
        </w:tc>
      </w:tr>
      <w:tr w14:paraId="7260A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44" w:hRule="atLeast"/>
          <w:jc w:val="center"/>
        </w:trPr>
        <w:tc>
          <w:tcPr>
            <w:tcW w:w="1793" w:type="pct"/>
            <w:vAlign w:val="center"/>
          </w:tcPr>
          <w:p w14:paraId="00F09E04">
            <w:pPr>
              <w:widowControl/>
              <w:spacing w:line="0" w:lineRule="atLeast"/>
              <w:jc w:val="center"/>
              <w:rPr>
                <w:rFonts w:hAnsi="宋体"/>
                <w:color w:val="000000"/>
                <w:spacing w:val="-10"/>
                <w:sz w:val="23"/>
                <w:szCs w:val="23"/>
              </w:rPr>
            </w:pPr>
            <w:r>
              <w:rPr>
                <w:rFonts w:hint="eastAsia" w:hAnsi="宋体"/>
                <w:color w:val="000000"/>
                <w:spacing w:val="-10"/>
                <w:sz w:val="23"/>
                <w:szCs w:val="23"/>
              </w:rPr>
              <w:t>ZG431-H3至5#集</w:t>
            </w:r>
            <w:r>
              <w:rPr>
                <w:rFonts w:hint="eastAsia" w:hAnsi="宋体" w:cs="宋体"/>
                <w:color w:val="000000"/>
                <w:spacing w:val="9"/>
                <w:sz w:val="21"/>
                <w:szCs w:val="21"/>
              </w:rPr>
              <w:t>DN150</w:t>
            </w:r>
            <w:r>
              <w:rPr>
                <w:rFonts w:hint="eastAsia" w:hAnsi="宋体"/>
                <w:color w:val="000000"/>
                <w:spacing w:val="-10"/>
                <w:sz w:val="23"/>
                <w:szCs w:val="23"/>
              </w:rPr>
              <w:t>外输管线碰头点后1km管线</w:t>
            </w:r>
          </w:p>
        </w:tc>
        <w:tc>
          <w:tcPr>
            <w:tcW w:w="2618" w:type="pct"/>
            <w:vMerge w:val="continue"/>
            <w:vAlign w:val="center"/>
          </w:tcPr>
          <w:p w14:paraId="1314D0C2">
            <w:pPr>
              <w:spacing w:line="0" w:lineRule="atLeast"/>
              <w:rPr>
                <w:rFonts w:hAnsi="宋体"/>
                <w:color w:val="000000"/>
                <w:spacing w:val="-10"/>
                <w:sz w:val="23"/>
                <w:szCs w:val="23"/>
              </w:rPr>
            </w:pPr>
          </w:p>
        </w:tc>
        <w:tc>
          <w:tcPr>
            <w:tcW w:w="588" w:type="pct"/>
            <w:vAlign w:val="center"/>
          </w:tcPr>
          <w:p w14:paraId="447FD6E8">
            <w:pPr>
              <w:spacing w:line="0" w:lineRule="atLeast"/>
              <w:jc w:val="center"/>
              <w:rPr>
                <w:rFonts w:hAnsi="宋体"/>
                <w:color w:val="000000"/>
                <w:spacing w:val="-10"/>
                <w:sz w:val="23"/>
                <w:szCs w:val="23"/>
              </w:rPr>
            </w:pPr>
            <w:r>
              <w:rPr>
                <w:rFonts w:hint="eastAsia" w:hAnsi="宋体"/>
                <w:color w:val="000000"/>
                <w:spacing w:val="-10"/>
                <w:sz w:val="23"/>
                <w:szCs w:val="23"/>
              </w:rPr>
              <w:t>三级</w:t>
            </w:r>
          </w:p>
        </w:tc>
      </w:tr>
      <w:tr w14:paraId="12A8F0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9" w:hRule="atLeast"/>
          <w:jc w:val="center"/>
        </w:trPr>
        <w:tc>
          <w:tcPr>
            <w:tcW w:w="1793" w:type="pct"/>
            <w:vAlign w:val="center"/>
          </w:tcPr>
          <w:p w14:paraId="3416AED3">
            <w:pPr>
              <w:spacing w:line="0" w:lineRule="atLeast"/>
              <w:jc w:val="center"/>
              <w:rPr>
                <w:rFonts w:hint="eastAsia" w:hAnsi="宋体"/>
                <w:color w:val="000000"/>
                <w:spacing w:val="-10"/>
                <w:sz w:val="23"/>
                <w:szCs w:val="23"/>
              </w:rPr>
            </w:pPr>
            <w:r>
              <w:rPr>
                <w:rFonts w:hint="eastAsia" w:hAnsi="宋体"/>
                <w:color w:val="000000"/>
                <w:spacing w:val="-10"/>
                <w:sz w:val="23"/>
                <w:szCs w:val="23"/>
              </w:rPr>
              <w:t>ZG431-H4至5#集</w:t>
            </w:r>
            <w:r>
              <w:rPr>
                <w:rFonts w:hint="eastAsia" w:hAnsi="宋体" w:cs="宋体"/>
                <w:color w:val="000000"/>
                <w:spacing w:val="9"/>
                <w:sz w:val="21"/>
                <w:szCs w:val="21"/>
              </w:rPr>
              <w:t>DN150</w:t>
            </w:r>
            <w:r>
              <w:rPr>
                <w:rFonts w:hint="eastAsia" w:hAnsi="宋体"/>
                <w:color w:val="000000"/>
                <w:spacing w:val="-10"/>
                <w:sz w:val="23"/>
                <w:szCs w:val="23"/>
              </w:rPr>
              <w:t>外输管线</w:t>
            </w:r>
          </w:p>
        </w:tc>
        <w:tc>
          <w:tcPr>
            <w:tcW w:w="2618" w:type="pct"/>
            <w:vMerge w:val="continue"/>
            <w:vAlign w:val="center"/>
          </w:tcPr>
          <w:p w14:paraId="0CCF9963">
            <w:pPr>
              <w:spacing w:line="0" w:lineRule="atLeast"/>
              <w:rPr>
                <w:rFonts w:hint="eastAsia" w:hAnsi="宋体"/>
                <w:color w:val="000000"/>
                <w:spacing w:val="-10"/>
                <w:sz w:val="23"/>
                <w:szCs w:val="23"/>
              </w:rPr>
            </w:pPr>
          </w:p>
        </w:tc>
        <w:tc>
          <w:tcPr>
            <w:tcW w:w="588" w:type="pct"/>
            <w:vAlign w:val="center"/>
          </w:tcPr>
          <w:p w14:paraId="17E8B6C7">
            <w:pPr>
              <w:spacing w:line="0" w:lineRule="atLeast"/>
              <w:jc w:val="center"/>
              <w:rPr>
                <w:rFonts w:hint="eastAsia" w:hAnsi="宋体"/>
                <w:color w:val="000000"/>
                <w:spacing w:val="-10"/>
                <w:sz w:val="23"/>
                <w:szCs w:val="23"/>
              </w:rPr>
            </w:pPr>
            <w:r>
              <w:rPr>
                <w:rFonts w:hint="eastAsia" w:hAnsi="宋体"/>
                <w:color w:val="000000"/>
                <w:spacing w:val="-10"/>
                <w:sz w:val="23"/>
                <w:szCs w:val="23"/>
              </w:rPr>
              <w:t>三级</w:t>
            </w:r>
          </w:p>
        </w:tc>
      </w:tr>
      <w:tr w14:paraId="7BA14F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92" w:hRule="atLeast"/>
          <w:jc w:val="center"/>
        </w:trPr>
        <w:tc>
          <w:tcPr>
            <w:tcW w:w="1793" w:type="pct"/>
            <w:vAlign w:val="center"/>
          </w:tcPr>
          <w:p w14:paraId="45003C14">
            <w:pPr>
              <w:spacing w:line="0" w:lineRule="atLeast"/>
              <w:jc w:val="center"/>
              <w:rPr>
                <w:rFonts w:hAnsi="宋体"/>
                <w:color w:val="000000"/>
                <w:spacing w:val="-10"/>
                <w:sz w:val="23"/>
                <w:szCs w:val="23"/>
              </w:rPr>
            </w:pPr>
            <w:r>
              <w:rPr>
                <w:rFonts w:hint="eastAsia" w:hAnsi="宋体"/>
                <w:color w:val="000000"/>
                <w:spacing w:val="-10"/>
                <w:sz w:val="23"/>
                <w:szCs w:val="23"/>
              </w:rPr>
              <w:t>站内管线</w:t>
            </w:r>
          </w:p>
        </w:tc>
        <w:tc>
          <w:tcPr>
            <w:tcW w:w="2618" w:type="pct"/>
            <w:vMerge w:val="continue"/>
            <w:vAlign w:val="center"/>
          </w:tcPr>
          <w:p w14:paraId="3293855D">
            <w:pPr>
              <w:spacing w:line="0" w:lineRule="atLeast"/>
              <w:rPr>
                <w:rFonts w:hint="eastAsia" w:hAnsi="宋体"/>
                <w:color w:val="000000"/>
                <w:spacing w:val="-10"/>
                <w:sz w:val="23"/>
                <w:szCs w:val="23"/>
              </w:rPr>
            </w:pPr>
          </w:p>
        </w:tc>
        <w:tc>
          <w:tcPr>
            <w:tcW w:w="588" w:type="pct"/>
            <w:vAlign w:val="center"/>
          </w:tcPr>
          <w:p w14:paraId="61F2B344">
            <w:pPr>
              <w:spacing w:line="0" w:lineRule="atLeast"/>
              <w:jc w:val="center"/>
              <w:rPr>
                <w:rFonts w:hint="eastAsia" w:hAnsi="宋体"/>
                <w:color w:val="000000"/>
                <w:spacing w:val="-10"/>
                <w:sz w:val="23"/>
                <w:szCs w:val="23"/>
              </w:rPr>
            </w:pPr>
            <w:r>
              <w:rPr>
                <w:rFonts w:hint="eastAsia" w:hAnsi="宋体"/>
                <w:color w:val="000000"/>
                <w:spacing w:val="-10"/>
                <w:sz w:val="23"/>
                <w:szCs w:val="23"/>
              </w:rPr>
              <w:t>三级</w:t>
            </w:r>
          </w:p>
        </w:tc>
      </w:tr>
    </w:tbl>
    <w:p w14:paraId="10CD6DBF">
      <w:pPr>
        <w:pStyle w:val="13"/>
        <w:adjustRightInd w:val="0"/>
        <w:spacing w:before="239" w:beforeLines="50" w:after="0" w:line="460" w:lineRule="exact"/>
        <w:ind w:firstLine="526" w:firstLineChars="200"/>
        <w:rPr>
          <w:rFonts w:hAnsi="宋体" w:eastAsia="宋体" w:cs="宋体"/>
          <w:color w:val="000000"/>
          <w:sz w:val="24"/>
          <w:szCs w:val="24"/>
        </w:rPr>
      </w:pPr>
      <w:r>
        <w:rPr>
          <w:rFonts w:hint="eastAsia" w:hAnsi="宋体" w:eastAsia="宋体" w:cs="宋体"/>
          <w:color w:val="000000"/>
          <w:sz w:val="24"/>
          <w:szCs w:val="24"/>
        </w:rPr>
        <w:t>综合以上分析，根据《环境影响评价技术导则 生态影响》（HJ19-2022）中划分依据，确定拟建工程生态环境评价工作等级为三级。</w:t>
      </w:r>
    </w:p>
    <w:p w14:paraId="290EE6DA">
      <w:pPr>
        <w:spacing w:line="500" w:lineRule="exact"/>
        <w:rPr>
          <w:rFonts w:hint="eastAsia" w:hAnsi="宋体"/>
          <w:color w:val="000000"/>
          <w:szCs w:val="24"/>
        </w:rPr>
      </w:pPr>
      <w:r>
        <w:rPr>
          <w:rFonts w:hint="eastAsia" w:hAnsi="宋体"/>
          <w:color w:val="000000"/>
          <w:szCs w:val="24"/>
        </w:rPr>
        <w:t>2.5.1.2 生态影响评价范围</w:t>
      </w:r>
    </w:p>
    <w:p w14:paraId="2B04501E">
      <w:pPr>
        <w:spacing w:line="500" w:lineRule="exact"/>
        <w:ind w:firstLine="526" w:firstLineChars="200"/>
        <w:rPr>
          <w:rFonts w:hint="eastAsia" w:hAnsi="宋体" w:cs="宋体"/>
          <w:color w:val="000000"/>
          <w:szCs w:val="24"/>
        </w:rPr>
      </w:pPr>
      <w:r>
        <w:rPr>
          <w:rFonts w:hint="eastAsia" w:hAnsi="宋体" w:cs="宋体"/>
          <w:color w:val="000000"/>
          <w:szCs w:val="24"/>
        </w:rPr>
        <w:t>根据《环境影响评价技术导则 陆地石油天然气开发建设项目》（HJ349-2023），项目生态影响评价范围为管线中心线两侧300m。</w:t>
      </w:r>
    </w:p>
    <w:p w14:paraId="2F94BC06">
      <w:pPr>
        <w:spacing w:line="500" w:lineRule="exact"/>
        <w:outlineLvl w:val="2"/>
        <w:rPr>
          <w:rFonts w:hint="eastAsia" w:hAnsi="宋体"/>
          <w:color w:val="000000"/>
          <w:szCs w:val="24"/>
        </w:rPr>
      </w:pPr>
      <w:r>
        <w:rPr>
          <w:rFonts w:hint="eastAsia" w:hAnsi="宋体"/>
          <w:color w:val="000000"/>
          <w:szCs w:val="24"/>
        </w:rPr>
        <w:t>2.5.2 地下水环境影响评价等级和评价范围</w:t>
      </w:r>
    </w:p>
    <w:p w14:paraId="3B9106EB">
      <w:pPr>
        <w:pStyle w:val="13"/>
        <w:adjustRightInd w:val="0"/>
        <w:spacing w:after="0" w:line="500" w:lineRule="exact"/>
        <w:rPr>
          <w:rFonts w:hint="eastAsia" w:hAnsi="宋体" w:eastAsia="宋体"/>
          <w:color w:val="000000"/>
          <w:sz w:val="24"/>
          <w:szCs w:val="24"/>
        </w:rPr>
      </w:pPr>
      <w:r>
        <w:rPr>
          <w:rFonts w:hint="eastAsia" w:hAnsi="宋体" w:eastAsia="宋体"/>
          <w:color w:val="000000"/>
          <w:sz w:val="24"/>
          <w:szCs w:val="24"/>
        </w:rPr>
        <w:t>2.5.2.1 地下水环境影响评价等级</w:t>
      </w:r>
    </w:p>
    <w:p w14:paraId="527A1563">
      <w:pPr>
        <w:adjustRightInd w:val="0"/>
        <w:spacing w:line="500" w:lineRule="exact"/>
        <w:ind w:firstLine="526" w:firstLineChars="200"/>
        <w:jc w:val="left"/>
        <w:rPr>
          <w:rFonts w:hAnsi="宋体"/>
          <w:color w:val="000000"/>
          <w:szCs w:val="24"/>
        </w:rPr>
      </w:pPr>
      <w:r>
        <w:rPr>
          <w:rFonts w:hint="eastAsia" w:hAnsi="宋体"/>
          <w:color w:val="000000"/>
          <w:szCs w:val="24"/>
        </w:rPr>
        <w:t>（1）建设项目地下水环境影响评价行业分类</w:t>
      </w:r>
    </w:p>
    <w:p w14:paraId="0341D8F2">
      <w:pPr>
        <w:spacing w:line="500" w:lineRule="exact"/>
        <w:ind w:firstLine="526" w:firstLineChars="200"/>
        <w:rPr>
          <w:rFonts w:hAnsi="宋体"/>
          <w:color w:val="000000"/>
          <w:szCs w:val="24"/>
        </w:rPr>
      </w:pPr>
      <w:r>
        <w:rPr>
          <w:rFonts w:hint="eastAsia" w:hAnsi="宋体" w:cs="宋体"/>
          <w:color w:val="000000"/>
          <w:szCs w:val="24"/>
        </w:rPr>
        <w:t>根据《环境影响评价技术导则 陆地石油天然气开发建设项目》（HJ 349-2023），拟建工程管线建设内容地下水环境影响评价项目类别为Ⅱ类</w:t>
      </w:r>
      <w:r>
        <w:rPr>
          <w:rFonts w:hint="eastAsia" w:hAnsi="宋体"/>
          <w:color w:val="000000"/>
          <w:szCs w:val="24"/>
        </w:rPr>
        <w:t>。</w:t>
      </w:r>
    </w:p>
    <w:p w14:paraId="34C8CC6F">
      <w:pPr>
        <w:spacing w:line="500" w:lineRule="exact"/>
        <w:ind w:firstLine="526" w:firstLineChars="200"/>
        <w:rPr>
          <w:rFonts w:hAnsi="宋体"/>
          <w:color w:val="000000"/>
          <w:szCs w:val="24"/>
        </w:rPr>
      </w:pPr>
      <w:r>
        <w:rPr>
          <w:rFonts w:hint="eastAsia" w:hAnsi="宋体"/>
          <w:color w:val="000000"/>
          <w:szCs w:val="24"/>
        </w:rPr>
        <w:t>（2）地下水环境敏感程度</w:t>
      </w:r>
    </w:p>
    <w:p w14:paraId="66181E65">
      <w:pPr>
        <w:spacing w:line="500" w:lineRule="exact"/>
        <w:ind w:firstLine="526" w:firstLineChars="200"/>
        <w:rPr>
          <w:rFonts w:hAnsi="宋体"/>
          <w:color w:val="000000"/>
          <w:szCs w:val="24"/>
        </w:rPr>
      </w:pPr>
      <w:r>
        <w:rPr>
          <w:rFonts w:hint="eastAsia" w:hAnsi="宋体"/>
          <w:color w:val="000000"/>
          <w:szCs w:val="24"/>
        </w:rPr>
        <w:t>根据</w:t>
      </w:r>
      <w:r>
        <w:rPr>
          <w:rFonts w:hAnsi="宋体"/>
          <w:color w:val="000000"/>
          <w:szCs w:val="24"/>
        </w:rPr>
        <w:t>《环境影响评价技术导</w:t>
      </w:r>
      <w:r>
        <w:rPr>
          <w:rFonts w:hint="eastAsia" w:hAnsi="宋体"/>
          <w:color w:val="000000"/>
          <w:szCs w:val="24"/>
        </w:rPr>
        <w:t xml:space="preserve">则 </w:t>
      </w:r>
      <w:r>
        <w:rPr>
          <w:rFonts w:hAnsi="宋体"/>
          <w:color w:val="000000"/>
          <w:szCs w:val="24"/>
        </w:rPr>
        <w:t>地下水环境》</w:t>
      </w:r>
      <w:r>
        <w:rPr>
          <w:rFonts w:hint="eastAsia" w:hAnsi="宋体"/>
          <w:color w:val="000000"/>
          <w:szCs w:val="24"/>
        </w:rPr>
        <w:t>（</w:t>
      </w:r>
      <w:r>
        <w:rPr>
          <w:rFonts w:hAnsi="宋体"/>
          <w:color w:val="000000"/>
          <w:szCs w:val="24"/>
        </w:rPr>
        <w:t>HJ610-201</w:t>
      </w:r>
      <w:r>
        <w:rPr>
          <w:rFonts w:hint="eastAsia" w:hAnsi="宋体"/>
          <w:color w:val="000000"/>
          <w:szCs w:val="24"/>
        </w:rPr>
        <w:t>6），建设项目的地下水环境敏感程度分级原则见表2.5-2。</w:t>
      </w:r>
    </w:p>
    <w:p w14:paraId="14A71AF0">
      <w:pPr>
        <w:spacing w:line="500" w:lineRule="exact"/>
        <w:ind w:firstLine="526" w:firstLineChars="200"/>
        <w:rPr>
          <w:rFonts w:ascii="黑体" w:hAnsi="宋体" w:eastAsia="黑体"/>
          <w:color w:val="000000"/>
          <w:szCs w:val="24"/>
        </w:rPr>
      </w:pPr>
      <w:r>
        <w:rPr>
          <w:rFonts w:hint="eastAsia" w:ascii="黑体" w:hAnsi="宋体" w:eastAsia="黑体"/>
          <w:color w:val="000000"/>
          <w:szCs w:val="24"/>
          <w:lang w:bidi="ar"/>
        </w:rPr>
        <w:t>表2.5-2       地下水环境敏感程度分级表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468"/>
        <w:gridCol w:w="7547"/>
      </w:tblGrid>
      <w:tr w14:paraId="7A48A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14" w:type="pct"/>
            <w:noWrap/>
            <w:tcMar>
              <w:left w:w="28" w:type="dxa"/>
              <w:right w:w="28" w:type="dxa"/>
            </w:tcMar>
            <w:vAlign w:val="center"/>
          </w:tcPr>
          <w:p w14:paraId="768D59E1">
            <w:pPr>
              <w:spacing w:line="0" w:lineRule="atLeast"/>
              <w:jc w:val="center"/>
              <w:rPr>
                <w:rFonts w:hAnsi="宋体"/>
                <w:color w:val="000000"/>
                <w:spacing w:val="-10"/>
                <w:sz w:val="21"/>
                <w:szCs w:val="21"/>
              </w:rPr>
            </w:pPr>
            <w:r>
              <w:rPr>
                <w:rFonts w:hint="eastAsia" w:hAnsi="宋体"/>
                <w:color w:val="000000"/>
                <w:spacing w:val="-10"/>
                <w:sz w:val="21"/>
                <w:szCs w:val="21"/>
                <w:lang w:bidi="ar"/>
              </w:rPr>
              <w:t>敏感程度</w:t>
            </w:r>
          </w:p>
        </w:tc>
        <w:tc>
          <w:tcPr>
            <w:tcW w:w="4185" w:type="pct"/>
            <w:noWrap/>
            <w:tcMar>
              <w:left w:w="28" w:type="dxa"/>
              <w:right w:w="28" w:type="dxa"/>
            </w:tcMar>
            <w:vAlign w:val="center"/>
          </w:tcPr>
          <w:p w14:paraId="18DE0154">
            <w:pPr>
              <w:spacing w:line="0" w:lineRule="atLeast"/>
              <w:jc w:val="center"/>
              <w:rPr>
                <w:rFonts w:hAnsi="宋体"/>
                <w:color w:val="000000"/>
                <w:spacing w:val="-10"/>
                <w:sz w:val="21"/>
                <w:szCs w:val="21"/>
              </w:rPr>
            </w:pPr>
            <w:r>
              <w:rPr>
                <w:rFonts w:hint="eastAsia" w:hAnsi="宋体"/>
                <w:color w:val="000000"/>
                <w:spacing w:val="-10"/>
                <w:sz w:val="21"/>
                <w:szCs w:val="21"/>
                <w:lang w:bidi="ar"/>
              </w:rPr>
              <w:t>地下水环境敏感特征</w:t>
            </w:r>
          </w:p>
        </w:tc>
      </w:tr>
      <w:tr w14:paraId="56BE61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14" w:type="pct"/>
            <w:noWrap/>
            <w:tcMar>
              <w:left w:w="28" w:type="dxa"/>
              <w:right w:w="28" w:type="dxa"/>
            </w:tcMar>
            <w:vAlign w:val="center"/>
          </w:tcPr>
          <w:p w14:paraId="422F110A">
            <w:pPr>
              <w:spacing w:line="0" w:lineRule="atLeast"/>
              <w:jc w:val="center"/>
              <w:rPr>
                <w:rFonts w:hAnsi="宋体"/>
                <w:color w:val="000000"/>
                <w:spacing w:val="-10"/>
                <w:sz w:val="21"/>
                <w:szCs w:val="21"/>
              </w:rPr>
            </w:pPr>
            <w:r>
              <w:rPr>
                <w:rFonts w:hint="eastAsia" w:hAnsi="宋体"/>
                <w:color w:val="000000"/>
                <w:spacing w:val="-10"/>
                <w:sz w:val="21"/>
                <w:szCs w:val="21"/>
                <w:lang w:bidi="ar"/>
              </w:rPr>
              <w:t>敏感</w:t>
            </w:r>
          </w:p>
        </w:tc>
        <w:tc>
          <w:tcPr>
            <w:tcW w:w="4185" w:type="pct"/>
            <w:noWrap/>
            <w:tcMar>
              <w:left w:w="28" w:type="dxa"/>
              <w:right w:w="28" w:type="dxa"/>
            </w:tcMar>
            <w:vAlign w:val="center"/>
          </w:tcPr>
          <w:p w14:paraId="3F9ED5B9">
            <w:pPr>
              <w:spacing w:line="0" w:lineRule="atLeast"/>
              <w:rPr>
                <w:rFonts w:hAnsi="宋体"/>
                <w:color w:val="000000"/>
                <w:spacing w:val="-10"/>
                <w:sz w:val="21"/>
                <w:szCs w:val="21"/>
              </w:rPr>
            </w:pPr>
            <w:r>
              <w:rPr>
                <w:rFonts w:hint="eastAsia" w:hAnsi="宋体"/>
                <w:color w:val="000000"/>
                <w:spacing w:val="-10"/>
                <w:sz w:val="21"/>
                <w:szCs w:val="21"/>
                <w:lang w:bidi="ar"/>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7FBF8D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14" w:type="pct"/>
            <w:noWrap/>
            <w:tcMar>
              <w:left w:w="28" w:type="dxa"/>
              <w:right w:w="28" w:type="dxa"/>
            </w:tcMar>
            <w:vAlign w:val="center"/>
          </w:tcPr>
          <w:p w14:paraId="1D4F6FB2">
            <w:pPr>
              <w:spacing w:line="0" w:lineRule="atLeast"/>
              <w:jc w:val="center"/>
              <w:rPr>
                <w:rFonts w:hAnsi="宋体"/>
                <w:color w:val="000000"/>
                <w:spacing w:val="-10"/>
                <w:sz w:val="21"/>
                <w:szCs w:val="21"/>
              </w:rPr>
            </w:pPr>
            <w:r>
              <w:rPr>
                <w:rFonts w:hint="eastAsia" w:hAnsi="宋体"/>
                <w:color w:val="000000"/>
                <w:spacing w:val="-10"/>
                <w:sz w:val="21"/>
                <w:szCs w:val="21"/>
                <w:lang w:bidi="ar"/>
              </w:rPr>
              <w:t>较敏感</w:t>
            </w:r>
          </w:p>
        </w:tc>
        <w:tc>
          <w:tcPr>
            <w:tcW w:w="4185" w:type="pct"/>
            <w:noWrap/>
            <w:tcMar>
              <w:left w:w="28" w:type="dxa"/>
              <w:right w:w="28" w:type="dxa"/>
            </w:tcMar>
            <w:vAlign w:val="center"/>
          </w:tcPr>
          <w:p w14:paraId="54FECA91">
            <w:pPr>
              <w:spacing w:line="0" w:lineRule="atLeast"/>
              <w:rPr>
                <w:rFonts w:hAnsi="宋体"/>
                <w:color w:val="000000"/>
                <w:spacing w:val="-10"/>
                <w:sz w:val="21"/>
                <w:szCs w:val="21"/>
              </w:rPr>
            </w:pPr>
            <w:r>
              <w:rPr>
                <w:rFonts w:hint="eastAsia" w:hAnsi="宋体"/>
                <w:color w:val="000000"/>
                <w:spacing w:val="-10"/>
                <w:sz w:val="21"/>
                <w:szCs w:val="21"/>
                <w:lang w:bidi="ar"/>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hint="eastAsia" w:hAnsi="宋体"/>
                <w:color w:val="000000"/>
                <w:spacing w:val="-10"/>
                <w:sz w:val="21"/>
                <w:szCs w:val="21"/>
                <w:vertAlign w:val="superscript"/>
                <w:lang w:bidi="ar"/>
              </w:rPr>
              <w:t>a</w:t>
            </w:r>
          </w:p>
        </w:tc>
      </w:tr>
      <w:tr w14:paraId="4C004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14" w:type="pct"/>
            <w:noWrap/>
            <w:tcMar>
              <w:left w:w="28" w:type="dxa"/>
              <w:right w:w="28" w:type="dxa"/>
            </w:tcMar>
            <w:vAlign w:val="center"/>
          </w:tcPr>
          <w:p w14:paraId="621544D5">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不敏感</w:t>
            </w:r>
          </w:p>
        </w:tc>
        <w:tc>
          <w:tcPr>
            <w:tcW w:w="4185" w:type="pct"/>
            <w:noWrap/>
            <w:tcMar>
              <w:left w:w="28" w:type="dxa"/>
              <w:right w:w="28" w:type="dxa"/>
            </w:tcMar>
            <w:vAlign w:val="center"/>
          </w:tcPr>
          <w:p w14:paraId="6F0F551D">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上述地区之外的其他地区</w:t>
            </w:r>
          </w:p>
        </w:tc>
      </w:tr>
      <w:tr w14:paraId="7EF98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000" w:type="pct"/>
            <w:gridSpan w:val="2"/>
            <w:noWrap/>
            <w:tcMar>
              <w:left w:w="28" w:type="dxa"/>
              <w:right w:w="28" w:type="dxa"/>
            </w:tcMar>
            <w:vAlign w:val="center"/>
          </w:tcPr>
          <w:p w14:paraId="41E6EABE">
            <w:pPr>
              <w:spacing w:line="0" w:lineRule="atLeast"/>
              <w:rPr>
                <w:rFonts w:hAnsi="宋体"/>
                <w:color w:val="000000"/>
                <w:spacing w:val="-10"/>
                <w:sz w:val="21"/>
                <w:szCs w:val="21"/>
                <w:lang w:bidi="ar"/>
              </w:rPr>
            </w:pPr>
            <w:r>
              <w:rPr>
                <w:rFonts w:hint="eastAsia" w:hAnsi="宋体"/>
                <w:color w:val="000000"/>
                <w:spacing w:val="-10"/>
                <w:sz w:val="21"/>
                <w:szCs w:val="21"/>
                <w:lang w:bidi="ar"/>
              </w:rPr>
              <w:t>a“环境敏感区”是指《建设项目环境影响评价分类管理名录》中所界定的涉及地下水的环境敏感区</w:t>
            </w:r>
          </w:p>
        </w:tc>
      </w:tr>
    </w:tbl>
    <w:p w14:paraId="072D4C48">
      <w:pPr>
        <w:spacing w:before="240" w:line="500" w:lineRule="exact"/>
        <w:ind w:firstLine="526" w:firstLineChars="200"/>
        <w:rPr>
          <w:rFonts w:hAnsi="宋体"/>
          <w:color w:val="000000"/>
          <w:szCs w:val="24"/>
        </w:rPr>
      </w:pPr>
      <w:r>
        <w:rPr>
          <w:rFonts w:hint="eastAsia" w:hAnsi="宋体" w:cs="宋体"/>
          <w:color w:val="000000"/>
          <w:szCs w:val="24"/>
        </w:rPr>
        <w:t>拟建工程</w:t>
      </w:r>
      <w:r>
        <w:rPr>
          <w:rFonts w:hint="eastAsia" w:hAnsi="宋体"/>
          <w:color w:val="000000"/>
          <w:szCs w:val="24"/>
        </w:rPr>
        <w:t>调查评价范围内不涉及集中式及分散式饮用水水源，不属于集中式饮用水水源准保护区和准保护区以外的补给径流区，不涉及国家或地方政府设定的与地下水环境相关的其他保护区及保护区以外的分布区，不涉及未划定准保护区的集中式饮用水水源及其保护区以外的补给径流区，项目区域地下水环境敏感程度分级为“不敏感”。</w:t>
      </w:r>
    </w:p>
    <w:p w14:paraId="25F4573F">
      <w:pPr>
        <w:spacing w:line="500" w:lineRule="exact"/>
        <w:ind w:firstLine="526" w:firstLineChars="200"/>
        <w:rPr>
          <w:rFonts w:hAnsi="宋体"/>
          <w:color w:val="000000"/>
          <w:szCs w:val="24"/>
        </w:rPr>
      </w:pPr>
      <w:r>
        <w:rPr>
          <w:rFonts w:hint="eastAsia" w:hAnsi="宋体"/>
          <w:color w:val="000000"/>
          <w:szCs w:val="24"/>
        </w:rPr>
        <w:t>（3）评价工作等级判定</w:t>
      </w:r>
    </w:p>
    <w:p w14:paraId="129FA71A">
      <w:pPr>
        <w:spacing w:line="500" w:lineRule="exact"/>
        <w:ind w:firstLine="526" w:firstLineChars="200"/>
        <w:rPr>
          <w:rFonts w:hAnsi="宋体"/>
          <w:color w:val="000000"/>
          <w:szCs w:val="24"/>
        </w:rPr>
      </w:pPr>
      <w:r>
        <w:rPr>
          <w:rFonts w:hint="eastAsia" w:hAnsi="宋体"/>
          <w:color w:val="000000"/>
          <w:szCs w:val="24"/>
        </w:rPr>
        <w:t>地下水评价工作等级划分依据见表2.5-3。</w:t>
      </w:r>
    </w:p>
    <w:p w14:paraId="5C451169">
      <w:pPr>
        <w:spacing w:line="500" w:lineRule="exact"/>
        <w:ind w:firstLine="526" w:firstLineChars="200"/>
        <w:rPr>
          <w:rFonts w:ascii="黑体" w:hAnsi="宋体" w:eastAsia="黑体"/>
          <w:color w:val="000000"/>
          <w:szCs w:val="24"/>
        </w:rPr>
      </w:pPr>
      <w:r>
        <w:rPr>
          <w:rFonts w:hint="eastAsia" w:ascii="黑体" w:hAnsi="宋体" w:eastAsia="黑体"/>
          <w:color w:val="000000"/>
          <w:szCs w:val="24"/>
        </w:rPr>
        <w:t>表2.5-3       地下水评价工作等级划分依据一览表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772"/>
        <w:gridCol w:w="1733"/>
        <w:gridCol w:w="2255"/>
        <w:gridCol w:w="2255"/>
      </w:tblGrid>
      <w:tr w14:paraId="1A56C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37" w:type="pct"/>
            <w:tcBorders>
              <w:tl2br w:val="single" w:color="auto" w:sz="4" w:space="0"/>
            </w:tcBorders>
            <w:noWrap/>
            <w:tcMar>
              <w:left w:w="28" w:type="dxa"/>
              <w:right w:w="28" w:type="dxa"/>
            </w:tcMar>
            <w:vAlign w:val="center"/>
          </w:tcPr>
          <w:p w14:paraId="48C59573">
            <w:pPr>
              <w:spacing w:line="0" w:lineRule="atLeast"/>
              <w:jc w:val="right"/>
              <w:rPr>
                <w:rFonts w:hAnsi="宋体"/>
                <w:color w:val="000000"/>
                <w:spacing w:val="-10"/>
                <w:sz w:val="21"/>
                <w:szCs w:val="21"/>
              </w:rPr>
            </w:pPr>
            <w:r>
              <w:rPr>
                <w:rFonts w:hint="eastAsia" w:hAnsi="宋体"/>
                <w:color w:val="000000"/>
                <w:spacing w:val="-10"/>
                <w:sz w:val="21"/>
                <w:szCs w:val="21"/>
              </w:rPr>
              <w:t xml:space="preserve">            项目类别</w:t>
            </w:r>
          </w:p>
          <w:p w14:paraId="67BC4342">
            <w:pPr>
              <w:spacing w:line="0" w:lineRule="atLeast"/>
              <w:rPr>
                <w:rFonts w:hAnsi="宋体"/>
                <w:color w:val="000000"/>
                <w:spacing w:val="-10"/>
                <w:sz w:val="21"/>
                <w:szCs w:val="21"/>
              </w:rPr>
            </w:pPr>
            <w:r>
              <w:rPr>
                <w:rFonts w:hint="eastAsia" w:hAnsi="宋体"/>
                <w:color w:val="000000"/>
                <w:spacing w:val="-10"/>
                <w:sz w:val="21"/>
                <w:szCs w:val="21"/>
              </w:rPr>
              <w:t xml:space="preserve">环境敏感程度 </w:t>
            </w:r>
          </w:p>
        </w:tc>
        <w:tc>
          <w:tcPr>
            <w:tcW w:w="961" w:type="pct"/>
            <w:noWrap/>
            <w:tcMar>
              <w:left w:w="28" w:type="dxa"/>
              <w:right w:w="28" w:type="dxa"/>
            </w:tcMar>
            <w:vAlign w:val="center"/>
          </w:tcPr>
          <w:p w14:paraId="73C07745">
            <w:pPr>
              <w:spacing w:line="0" w:lineRule="atLeast"/>
              <w:jc w:val="center"/>
              <w:rPr>
                <w:rFonts w:hAnsi="宋体"/>
                <w:color w:val="000000"/>
                <w:spacing w:val="-10"/>
                <w:sz w:val="21"/>
                <w:szCs w:val="21"/>
              </w:rPr>
            </w:pPr>
            <w:r>
              <w:rPr>
                <w:rFonts w:hint="eastAsia" w:hAnsi="宋体"/>
                <w:color w:val="000000"/>
                <w:spacing w:val="-10"/>
                <w:sz w:val="21"/>
                <w:szCs w:val="21"/>
              </w:rPr>
              <w:t>Ⅰ类项目</w:t>
            </w:r>
          </w:p>
        </w:tc>
        <w:tc>
          <w:tcPr>
            <w:tcW w:w="1250" w:type="pct"/>
            <w:noWrap/>
            <w:tcMar>
              <w:left w:w="28" w:type="dxa"/>
              <w:right w:w="28" w:type="dxa"/>
            </w:tcMar>
            <w:vAlign w:val="center"/>
          </w:tcPr>
          <w:p w14:paraId="210A7C05">
            <w:pPr>
              <w:spacing w:line="0" w:lineRule="atLeast"/>
              <w:jc w:val="center"/>
              <w:rPr>
                <w:rFonts w:hAnsi="宋体"/>
                <w:color w:val="000000"/>
                <w:spacing w:val="-10"/>
                <w:sz w:val="21"/>
                <w:szCs w:val="21"/>
              </w:rPr>
            </w:pPr>
            <w:r>
              <w:rPr>
                <w:rFonts w:hint="eastAsia" w:hAnsi="宋体"/>
                <w:color w:val="000000"/>
                <w:spacing w:val="-10"/>
                <w:sz w:val="21"/>
                <w:szCs w:val="21"/>
              </w:rPr>
              <w:t>Ⅱ类项目</w:t>
            </w:r>
          </w:p>
        </w:tc>
        <w:tc>
          <w:tcPr>
            <w:tcW w:w="1250" w:type="pct"/>
            <w:noWrap/>
            <w:tcMar>
              <w:left w:w="28" w:type="dxa"/>
              <w:right w:w="28" w:type="dxa"/>
            </w:tcMar>
            <w:vAlign w:val="center"/>
          </w:tcPr>
          <w:p w14:paraId="03F5958B">
            <w:pPr>
              <w:spacing w:line="0" w:lineRule="atLeast"/>
              <w:jc w:val="center"/>
              <w:rPr>
                <w:rFonts w:hAnsi="宋体"/>
                <w:color w:val="000000"/>
                <w:spacing w:val="-10"/>
                <w:sz w:val="21"/>
                <w:szCs w:val="21"/>
              </w:rPr>
            </w:pPr>
            <w:r>
              <w:rPr>
                <w:rFonts w:hint="eastAsia" w:hAnsi="宋体"/>
                <w:color w:val="000000"/>
                <w:spacing w:val="-10"/>
                <w:sz w:val="21"/>
                <w:szCs w:val="21"/>
              </w:rPr>
              <w:t>Ⅲ类项目</w:t>
            </w:r>
          </w:p>
        </w:tc>
      </w:tr>
      <w:tr w14:paraId="72D65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37" w:type="pct"/>
            <w:noWrap/>
            <w:tcMar>
              <w:left w:w="28" w:type="dxa"/>
              <w:right w:w="28" w:type="dxa"/>
            </w:tcMar>
            <w:vAlign w:val="center"/>
          </w:tcPr>
          <w:p w14:paraId="18F125B9">
            <w:pPr>
              <w:spacing w:line="0" w:lineRule="atLeast"/>
              <w:jc w:val="center"/>
              <w:rPr>
                <w:rFonts w:hAnsi="宋体"/>
                <w:color w:val="000000"/>
                <w:spacing w:val="-10"/>
                <w:sz w:val="21"/>
                <w:szCs w:val="21"/>
              </w:rPr>
            </w:pPr>
            <w:r>
              <w:rPr>
                <w:rFonts w:hint="eastAsia" w:hAnsi="宋体"/>
                <w:color w:val="000000"/>
                <w:spacing w:val="-10"/>
                <w:sz w:val="21"/>
                <w:szCs w:val="21"/>
              </w:rPr>
              <w:t>敏感</w:t>
            </w:r>
          </w:p>
        </w:tc>
        <w:tc>
          <w:tcPr>
            <w:tcW w:w="961" w:type="pct"/>
            <w:noWrap/>
            <w:tcMar>
              <w:left w:w="28" w:type="dxa"/>
              <w:right w:w="28" w:type="dxa"/>
            </w:tcMar>
            <w:vAlign w:val="center"/>
          </w:tcPr>
          <w:p w14:paraId="7DBD2CF9">
            <w:pPr>
              <w:spacing w:line="0" w:lineRule="atLeast"/>
              <w:jc w:val="center"/>
              <w:rPr>
                <w:rFonts w:hAnsi="宋体"/>
                <w:color w:val="000000"/>
                <w:spacing w:val="-10"/>
                <w:sz w:val="21"/>
                <w:szCs w:val="21"/>
              </w:rPr>
            </w:pPr>
            <w:r>
              <w:rPr>
                <w:rFonts w:hint="eastAsia" w:hAnsi="宋体"/>
                <w:color w:val="000000"/>
                <w:spacing w:val="-10"/>
                <w:sz w:val="21"/>
                <w:szCs w:val="21"/>
              </w:rPr>
              <w:t>一</w:t>
            </w:r>
          </w:p>
        </w:tc>
        <w:tc>
          <w:tcPr>
            <w:tcW w:w="1250" w:type="pct"/>
            <w:noWrap/>
            <w:tcMar>
              <w:left w:w="28" w:type="dxa"/>
              <w:right w:w="28" w:type="dxa"/>
            </w:tcMar>
            <w:vAlign w:val="center"/>
          </w:tcPr>
          <w:p w14:paraId="5832C1D4">
            <w:pPr>
              <w:spacing w:line="0" w:lineRule="atLeast"/>
              <w:jc w:val="center"/>
              <w:rPr>
                <w:rFonts w:hAnsi="宋体"/>
                <w:color w:val="000000"/>
                <w:spacing w:val="-10"/>
                <w:sz w:val="21"/>
                <w:szCs w:val="21"/>
              </w:rPr>
            </w:pPr>
            <w:r>
              <w:rPr>
                <w:rFonts w:hint="eastAsia" w:hAnsi="宋体"/>
                <w:color w:val="000000"/>
                <w:spacing w:val="-10"/>
                <w:sz w:val="21"/>
                <w:szCs w:val="21"/>
              </w:rPr>
              <w:t>一</w:t>
            </w:r>
          </w:p>
        </w:tc>
        <w:tc>
          <w:tcPr>
            <w:tcW w:w="1250" w:type="pct"/>
            <w:noWrap/>
            <w:tcMar>
              <w:left w:w="28" w:type="dxa"/>
              <w:right w:w="28" w:type="dxa"/>
            </w:tcMar>
            <w:vAlign w:val="center"/>
          </w:tcPr>
          <w:p w14:paraId="4B59BD75">
            <w:pPr>
              <w:spacing w:line="0" w:lineRule="atLeast"/>
              <w:jc w:val="center"/>
              <w:rPr>
                <w:rFonts w:hAnsi="宋体"/>
                <w:color w:val="000000"/>
                <w:spacing w:val="-10"/>
                <w:sz w:val="21"/>
                <w:szCs w:val="21"/>
              </w:rPr>
            </w:pPr>
            <w:r>
              <w:rPr>
                <w:rFonts w:hint="eastAsia" w:hAnsi="宋体"/>
                <w:color w:val="000000"/>
                <w:spacing w:val="-10"/>
                <w:sz w:val="21"/>
                <w:szCs w:val="21"/>
              </w:rPr>
              <w:t>二</w:t>
            </w:r>
          </w:p>
        </w:tc>
      </w:tr>
      <w:tr w14:paraId="1E3068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37" w:type="pct"/>
            <w:noWrap/>
            <w:tcMar>
              <w:left w:w="28" w:type="dxa"/>
              <w:right w:w="28" w:type="dxa"/>
            </w:tcMar>
            <w:vAlign w:val="center"/>
          </w:tcPr>
          <w:p w14:paraId="24ACAEED">
            <w:pPr>
              <w:spacing w:line="0" w:lineRule="atLeast"/>
              <w:jc w:val="center"/>
              <w:rPr>
                <w:rFonts w:hAnsi="宋体"/>
                <w:color w:val="000000"/>
                <w:spacing w:val="-10"/>
                <w:sz w:val="21"/>
                <w:szCs w:val="21"/>
              </w:rPr>
            </w:pPr>
            <w:r>
              <w:rPr>
                <w:rFonts w:hint="eastAsia" w:hAnsi="宋体"/>
                <w:color w:val="000000"/>
                <w:spacing w:val="-10"/>
                <w:sz w:val="21"/>
                <w:szCs w:val="21"/>
              </w:rPr>
              <w:t>较敏感</w:t>
            </w:r>
          </w:p>
        </w:tc>
        <w:tc>
          <w:tcPr>
            <w:tcW w:w="961" w:type="pct"/>
            <w:noWrap/>
            <w:tcMar>
              <w:left w:w="28" w:type="dxa"/>
              <w:right w:w="28" w:type="dxa"/>
            </w:tcMar>
            <w:vAlign w:val="center"/>
          </w:tcPr>
          <w:p w14:paraId="3C49A298">
            <w:pPr>
              <w:spacing w:line="0" w:lineRule="atLeast"/>
              <w:jc w:val="center"/>
              <w:rPr>
                <w:rFonts w:hAnsi="宋体"/>
                <w:color w:val="000000"/>
                <w:spacing w:val="-10"/>
                <w:sz w:val="21"/>
                <w:szCs w:val="21"/>
              </w:rPr>
            </w:pPr>
            <w:r>
              <w:rPr>
                <w:rFonts w:hint="eastAsia" w:hAnsi="宋体"/>
                <w:color w:val="000000"/>
                <w:spacing w:val="-10"/>
                <w:sz w:val="21"/>
                <w:szCs w:val="21"/>
              </w:rPr>
              <w:t>一</w:t>
            </w:r>
          </w:p>
        </w:tc>
        <w:tc>
          <w:tcPr>
            <w:tcW w:w="1250" w:type="pct"/>
            <w:noWrap/>
            <w:tcMar>
              <w:left w:w="28" w:type="dxa"/>
              <w:right w:w="28" w:type="dxa"/>
            </w:tcMar>
            <w:vAlign w:val="center"/>
          </w:tcPr>
          <w:p w14:paraId="4CF5ABF2">
            <w:pPr>
              <w:spacing w:line="0" w:lineRule="atLeast"/>
              <w:jc w:val="center"/>
              <w:rPr>
                <w:rFonts w:hAnsi="宋体"/>
                <w:color w:val="000000"/>
                <w:spacing w:val="-10"/>
                <w:sz w:val="21"/>
                <w:szCs w:val="21"/>
              </w:rPr>
            </w:pPr>
            <w:r>
              <w:rPr>
                <w:rFonts w:hint="eastAsia" w:hAnsi="宋体"/>
                <w:color w:val="000000"/>
                <w:spacing w:val="-10"/>
                <w:sz w:val="21"/>
                <w:szCs w:val="21"/>
              </w:rPr>
              <w:t>二</w:t>
            </w:r>
          </w:p>
        </w:tc>
        <w:tc>
          <w:tcPr>
            <w:tcW w:w="1250" w:type="pct"/>
            <w:noWrap/>
            <w:tcMar>
              <w:left w:w="28" w:type="dxa"/>
              <w:right w:w="28" w:type="dxa"/>
            </w:tcMar>
            <w:vAlign w:val="center"/>
          </w:tcPr>
          <w:p w14:paraId="55A29D14">
            <w:pPr>
              <w:spacing w:line="0" w:lineRule="atLeast"/>
              <w:jc w:val="center"/>
              <w:rPr>
                <w:rFonts w:hAnsi="宋体"/>
                <w:color w:val="000000"/>
                <w:spacing w:val="-10"/>
                <w:sz w:val="21"/>
                <w:szCs w:val="21"/>
              </w:rPr>
            </w:pPr>
            <w:r>
              <w:rPr>
                <w:rFonts w:hint="eastAsia" w:hAnsi="宋体"/>
                <w:color w:val="000000"/>
                <w:spacing w:val="-10"/>
                <w:sz w:val="21"/>
                <w:szCs w:val="21"/>
              </w:rPr>
              <w:t>三</w:t>
            </w:r>
          </w:p>
        </w:tc>
      </w:tr>
      <w:tr w14:paraId="5FB642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37" w:type="pct"/>
            <w:noWrap/>
            <w:tcMar>
              <w:left w:w="28" w:type="dxa"/>
              <w:right w:w="28" w:type="dxa"/>
            </w:tcMar>
            <w:vAlign w:val="center"/>
          </w:tcPr>
          <w:p w14:paraId="582C290B">
            <w:pPr>
              <w:spacing w:line="0" w:lineRule="atLeast"/>
              <w:jc w:val="center"/>
              <w:rPr>
                <w:rFonts w:hAnsi="宋体"/>
                <w:color w:val="000000"/>
                <w:spacing w:val="-10"/>
                <w:sz w:val="21"/>
                <w:szCs w:val="21"/>
              </w:rPr>
            </w:pPr>
            <w:r>
              <w:rPr>
                <w:rFonts w:hint="eastAsia" w:hAnsi="宋体"/>
                <w:color w:val="000000"/>
                <w:spacing w:val="-10"/>
                <w:sz w:val="21"/>
                <w:szCs w:val="21"/>
              </w:rPr>
              <w:t>不敏感</w:t>
            </w:r>
          </w:p>
        </w:tc>
        <w:tc>
          <w:tcPr>
            <w:tcW w:w="961" w:type="pct"/>
            <w:noWrap/>
            <w:tcMar>
              <w:left w:w="28" w:type="dxa"/>
              <w:right w:w="28" w:type="dxa"/>
            </w:tcMar>
            <w:vAlign w:val="center"/>
          </w:tcPr>
          <w:p w14:paraId="479DBC2C">
            <w:pPr>
              <w:spacing w:line="0" w:lineRule="atLeast"/>
              <w:jc w:val="center"/>
              <w:rPr>
                <w:rFonts w:hAnsi="宋体"/>
                <w:color w:val="000000"/>
                <w:spacing w:val="-10"/>
                <w:sz w:val="21"/>
                <w:szCs w:val="21"/>
              </w:rPr>
            </w:pPr>
            <w:r>
              <w:rPr>
                <w:rFonts w:hint="eastAsia" w:hAnsi="宋体"/>
                <w:color w:val="000000"/>
                <w:spacing w:val="-10"/>
                <w:sz w:val="21"/>
                <w:szCs w:val="21"/>
              </w:rPr>
              <w:t>二</w:t>
            </w:r>
          </w:p>
        </w:tc>
        <w:tc>
          <w:tcPr>
            <w:tcW w:w="1250" w:type="pct"/>
            <w:noWrap/>
            <w:tcMar>
              <w:left w:w="28" w:type="dxa"/>
              <w:right w:w="28" w:type="dxa"/>
            </w:tcMar>
            <w:vAlign w:val="center"/>
          </w:tcPr>
          <w:p w14:paraId="13C1BDBD">
            <w:pPr>
              <w:spacing w:line="0" w:lineRule="atLeast"/>
              <w:jc w:val="center"/>
              <w:rPr>
                <w:rFonts w:hAnsi="宋体"/>
                <w:color w:val="000000"/>
                <w:spacing w:val="-10"/>
                <w:sz w:val="21"/>
                <w:szCs w:val="21"/>
              </w:rPr>
            </w:pPr>
            <w:r>
              <w:rPr>
                <w:rFonts w:hint="eastAsia" w:hAnsi="宋体"/>
                <w:color w:val="000000"/>
                <w:spacing w:val="-10"/>
                <w:sz w:val="21"/>
                <w:szCs w:val="21"/>
              </w:rPr>
              <w:t>三</w:t>
            </w:r>
          </w:p>
        </w:tc>
        <w:tc>
          <w:tcPr>
            <w:tcW w:w="1250" w:type="pct"/>
            <w:noWrap/>
            <w:tcMar>
              <w:left w:w="28" w:type="dxa"/>
              <w:right w:w="28" w:type="dxa"/>
            </w:tcMar>
            <w:vAlign w:val="center"/>
          </w:tcPr>
          <w:p w14:paraId="11062CB3">
            <w:pPr>
              <w:spacing w:line="0" w:lineRule="atLeast"/>
              <w:jc w:val="center"/>
              <w:rPr>
                <w:rFonts w:hAnsi="宋体"/>
                <w:color w:val="000000"/>
                <w:spacing w:val="-10"/>
                <w:sz w:val="21"/>
                <w:szCs w:val="21"/>
              </w:rPr>
            </w:pPr>
            <w:r>
              <w:rPr>
                <w:rFonts w:hint="eastAsia" w:hAnsi="宋体"/>
                <w:color w:val="000000"/>
                <w:spacing w:val="-10"/>
                <w:sz w:val="21"/>
                <w:szCs w:val="21"/>
              </w:rPr>
              <w:t>三</w:t>
            </w:r>
          </w:p>
        </w:tc>
      </w:tr>
    </w:tbl>
    <w:p w14:paraId="23C20ED7">
      <w:pPr>
        <w:spacing w:before="240" w:line="500" w:lineRule="exact"/>
        <w:ind w:firstLine="526" w:firstLineChars="200"/>
        <w:rPr>
          <w:rFonts w:hAnsi="宋体"/>
          <w:color w:val="000000"/>
        </w:rPr>
      </w:pPr>
      <w:r>
        <w:rPr>
          <w:rFonts w:hint="eastAsia" w:hAnsi="宋体"/>
          <w:color w:val="000000"/>
        </w:rPr>
        <w:t>地下水评价工作等级见表2.5-4。</w:t>
      </w:r>
    </w:p>
    <w:p w14:paraId="795B584F">
      <w:pPr>
        <w:spacing w:line="500" w:lineRule="exact"/>
        <w:ind w:firstLine="526" w:firstLineChars="200"/>
        <w:rPr>
          <w:rFonts w:hint="eastAsia" w:ascii="黑体" w:hAnsi="宋体" w:eastAsia="黑体"/>
          <w:color w:val="000000"/>
          <w:szCs w:val="24"/>
        </w:rPr>
      </w:pPr>
      <w:r>
        <w:rPr>
          <w:rFonts w:hint="eastAsia" w:ascii="黑体" w:hAnsi="宋体" w:eastAsia="黑体"/>
          <w:color w:val="000000"/>
          <w:szCs w:val="24"/>
        </w:rPr>
        <w:t>表2.5-4       地下水评价工作等级一览表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720"/>
        <w:gridCol w:w="1135"/>
        <w:gridCol w:w="3114"/>
        <w:gridCol w:w="953"/>
        <w:gridCol w:w="1089"/>
      </w:tblGrid>
      <w:tr w14:paraId="59A734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09" w:type="pct"/>
            <w:vAlign w:val="center"/>
          </w:tcPr>
          <w:p w14:paraId="67BA7E3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项目名称</w:t>
            </w:r>
          </w:p>
        </w:tc>
        <w:tc>
          <w:tcPr>
            <w:tcW w:w="630" w:type="pct"/>
            <w:vAlign w:val="center"/>
          </w:tcPr>
          <w:p w14:paraId="75B1454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项目类别</w:t>
            </w:r>
          </w:p>
        </w:tc>
        <w:tc>
          <w:tcPr>
            <w:tcW w:w="1728" w:type="pct"/>
            <w:vAlign w:val="center"/>
          </w:tcPr>
          <w:p w14:paraId="27A0B2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和周边敏感目标关系</w:t>
            </w:r>
          </w:p>
        </w:tc>
        <w:tc>
          <w:tcPr>
            <w:tcW w:w="529" w:type="pct"/>
            <w:vAlign w:val="center"/>
          </w:tcPr>
          <w:p w14:paraId="25CCC30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环境敏感程度</w:t>
            </w:r>
          </w:p>
        </w:tc>
        <w:tc>
          <w:tcPr>
            <w:tcW w:w="604" w:type="pct"/>
            <w:vAlign w:val="center"/>
          </w:tcPr>
          <w:p w14:paraId="201A468F">
            <w:pPr>
              <w:spacing w:line="0" w:lineRule="atLeast"/>
              <w:jc w:val="center"/>
              <w:rPr>
                <w:rFonts w:hint="eastAsia" w:hAnsi="宋体" w:cs="宋体"/>
                <w:b/>
                <w:bCs/>
                <w:color w:val="000000"/>
                <w:spacing w:val="-10"/>
                <w:sz w:val="21"/>
                <w:szCs w:val="21"/>
              </w:rPr>
            </w:pPr>
            <w:r>
              <w:rPr>
                <w:rFonts w:hint="eastAsia" w:hAnsi="宋体" w:cs="宋体"/>
                <w:b/>
                <w:bCs/>
                <w:color w:val="000000"/>
                <w:spacing w:val="-10"/>
                <w:sz w:val="21"/>
                <w:szCs w:val="21"/>
              </w:rPr>
              <w:t>评价等级</w:t>
            </w:r>
          </w:p>
        </w:tc>
      </w:tr>
      <w:tr w14:paraId="0BEEB5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59" w:hRule="atLeast"/>
          <w:jc w:val="center"/>
        </w:trPr>
        <w:tc>
          <w:tcPr>
            <w:tcW w:w="1509" w:type="pct"/>
            <w:vAlign w:val="center"/>
          </w:tcPr>
          <w:p w14:paraId="32AE8908">
            <w:pPr>
              <w:widowControl/>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ZG11-H1井至ZG8-</w:t>
            </w:r>
          </w:p>
          <w:p w14:paraId="6C2E9AFA">
            <w:pPr>
              <w:widowControl/>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9井集输管线</w:t>
            </w:r>
          </w:p>
        </w:tc>
        <w:tc>
          <w:tcPr>
            <w:tcW w:w="630" w:type="pct"/>
            <w:vAlign w:val="center"/>
          </w:tcPr>
          <w:p w14:paraId="657C07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Ⅱ类</w:t>
            </w:r>
          </w:p>
        </w:tc>
        <w:tc>
          <w:tcPr>
            <w:tcW w:w="1728" w:type="pct"/>
            <w:vMerge w:val="restart"/>
            <w:vAlign w:val="center"/>
          </w:tcPr>
          <w:p w14:paraId="01595217">
            <w:pPr>
              <w:spacing w:line="0" w:lineRule="atLeast"/>
              <w:rPr>
                <w:rFonts w:hint="eastAsia" w:hAnsi="宋体" w:cs="宋体"/>
                <w:color w:val="000000"/>
                <w:spacing w:val="-10"/>
                <w:sz w:val="21"/>
                <w:szCs w:val="21"/>
              </w:rPr>
            </w:pPr>
            <w:r>
              <w:rPr>
                <w:rFonts w:hint="eastAsia" w:hAnsi="宋体" w:cs="宋体"/>
                <w:color w:val="000000"/>
                <w:sz w:val="21"/>
                <w:szCs w:val="21"/>
              </w:rPr>
              <w:t>拟建工程所在区域均不涉及集中式及分散式饮用水水源，不属于集中式饮用水水源准保护区和准保护区以外的补给径流区，不涉及国家或地方政府设定的与地下水环境相关的其他保护区及保护区以外的分布区，不涉及未划定准保护区的集中式饮用水水源及其保护区以外的补给径流区。</w:t>
            </w:r>
          </w:p>
        </w:tc>
        <w:tc>
          <w:tcPr>
            <w:tcW w:w="529" w:type="pct"/>
            <w:vAlign w:val="center"/>
          </w:tcPr>
          <w:p w14:paraId="3DB0ED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c>
          <w:tcPr>
            <w:tcW w:w="604" w:type="pct"/>
            <w:vAlign w:val="center"/>
          </w:tcPr>
          <w:p w14:paraId="4AE087ED">
            <w:pPr>
              <w:spacing w:line="0" w:lineRule="atLeast"/>
              <w:jc w:val="center"/>
              <w:rPr>
                <w:rFonts w:hint="eastAsia" w:hAnsi="宋体" w:cs="宋体"/>
                <w:b/>
                <w:bCs/>
                <w:color w:val="000000"/>
                <w:spacing w:val="-10"/>
                <w:sz w:val="21"/>
                <w:szCs w:val="21"/>
              </w:rPr>
            </w:pPr>
            <w:r>
              <w:rPr>
                <w:rFonts w:hint="eastAsia" w:hAnsi="宋体" w:cs="宋体"/>
                <w:color w:val="000000"/>
                <w:spacing w:val="-10"/>
                <w:sz w:val="21"/>
                <w:szCs w:val="21"/>
              </w:rPr>
              <w:t>三</w:t>
            </w:r>
          </w:p>
        </w:tc>
      </w:tr>
      <w:tr w14:paraId="0EF0E3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87" w:hRule="atLeast"/>
          <w:jc w:val="center"/>
        </w:trPr>
        <w:tc>
          <w:tcPr>
            <w:tcW w:w="1509" w:type="pct"/>
            <w:vAlign w:val="center"/>
          </w:tcPr>
          <w:p w14:paraId="64D58A9A">
            <w:pPr>
              <w:widowControl/>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ZG431-H3至5#集</w:t>
            </w:r>
            <w:r>
              <w:rPr>
                <w:rFonts w:hint="eastAsia" w:hAnsi="宋体" w:cs="宋体"/>
                <w:color w:val="000000"/>
                <w:spacing w:val="9"/>
                <w:sz w:val="21"/>
                <w:szCs w:val="21"/>
              </w:rPr>
              <w:t>DN150</w:t>
            </w:r>
            <w:r>
              <w:rPr>
                <w:rFonts w:hint="eastAsia" w:hAnsi="宋体" w:cs="宋体"/>
                <w:color w:val="000000"/>
                <w:spacing w:val="-10"/>
                <w:sz w:val="21"/>
                <w:szCs w:val="21"/>
              </w:rPr>
              <w:t>外输管线碰头点后1km管线</w:t>
            </w:r>
          </w:p>
        </w:tc>
        <w:tc>
          <w:tcPr>
            <w:tcW w:w="630" w:type="pct"/>
            <w:vAlign w:val="center"/>
          </w:tcPr>
          <w:p w14:paraId="2C00BB1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Ⅱ类</w:t>
            </w:r>
          </w:p>
        </w:tc>
        <w:tc>
          <w:tcPr>
            <w:tcW w:w="1728" w:type="pct"/>
            <w:vMerge w:val="continue"/>
            <w:vAlign w:val="center"/>
          </w:tcPr>
          <w:p w14:paraId="45FEBD93">
            <w:pPr>
              <w:spacing w:line="0" w:lineRule="atLeast"/>
              <w:jc w:val="center"/>
              <w:rPr>
                <w:rFonts w:hint="eastAsia" w:hAnsi="宋体" w:cs="宋体"/>
                <w:color w:val="000000"/>
                <w:sz w:val="21"/>
                <w:szCs w:val="21"/>
              </w:rPr>
            </w:pPr>
          </w:p>
        </w:tc>
        <w:tc>
          <w:tcPr>
            <w:tcW w:w="529" w:type="pct"/>
            <w:vAlign w:val="center"/>
          </w:tcPr>
          <w:p w14:paraId="7BA7DDF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c>
          <w:tcPr>
            <w:tcW w:w="604" w:type="pct"/>
            <w:vAlign w:val="center"/>
          </w:tcPr>
          <w:p w14:paraId="0ACB01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三</w:t>
            </w:r>
          </w:p>
        </w:tc>
      </w:tr>
      <w:tr w14:paraId="6219F4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73" w:hRule="atLeast"/>
          <w:jc w:val="center"/>
        </w:trPr>
        <w:tc>
          <w:tcPr>
            <w:tcW w:w="1509" w:type="pct"/>
            <w:vAlign w:val="center"/>
          </w:tcPr>
          <w:p w14:paraId="5400ADF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ZG431-H4至5#集</w:t>
            </w:r>
            <w:r>
              <w:rPr>
                <w:rFonts w:hint="eastAsia" w:hAnsi="宋体" w:cs="宋体"/>
                <w:color w:val="000000"/>
                <w:spacing w:val="9"/>
                <w:sz w:val="21"/>
                <w:szCs w:val="21"/>
              </w:rPr>
              <w:t>DN150</w:t>
            </w:r>
            <w:r>
              <w:rPr>
                <w:rFonts w:hint="eastAsia" w:hAnsi="宋体" w:cs="宋体"/>
                <w:color w:val="000000"/>
                <w:spacing w:val="-10"/>
                <w:sz w:val="21"/>
                <w:szCs w:val="21"/>
              </w:rPr>
              <w:t>外输管线</w:t>
            </w:r>
          </w:p>
        </w:tc>
        <w:tc>
          <w:tcPr>
            <w:tcW w:w="630" w:type="pct"/>
            <w:vAlign w:val="center"/>
          </w:tcPr>
          <w:p w14:paraId="13DA133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Ⅱ类</w:t>
            </w:r>
          </w:p>
        </w:tc>
        <w:tc>
          <w:tcPr>
            <w:tcW w:w="1728" w:type="pct"/>
            <w:vMerge w:val="continue"/>
            <w:vAlign w:val="center"/>
          </w:tcPr>
          <w:p w14:paraId="5F521C0B">
            <w:pPr>
              <w:spacing w:line="0" w:lineRule="atLeast"/>
              <w:jc w:val="center"/>
              <w:rPr>
                <w:rFonts w:hint="eastAsia" w:hAnsi="宋体" w:cs="宋体"/>
                <w:color w:val="000000"/>
                <w:sz w:val="21"/>
                <w:szCs w:val="21"/>
              </w:rPr>
            </w:pPr>
          </w:p>
        </w:tc>
        <w:tc>
          <w:tcPr>
            <w:tcW w:w="529" w:type="pct"/>
            <w:vAlign w:val="center"/>
          </w:tcPr>
          <w:p w14:paraId="4967FAE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c>
          <w:tcPr>
            <w:tcW w:w="604" w:type="pct"/>
            <w:vAlign w:val="center"/>
          </w:tcPr>
          <w:p w14:paraId="10CAD3F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三</w:t>
            </w:r>
          </w:p>
        </w:tc>
      </w:tr>
      <w:tr w14:paraId="6040FF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48" w:hRule="atLeast"/>
          <w:jc w:val="center"/>
        </w:trPr>
        <w:tc>
          <w:tcPr>
            <w:tcW w:w="1509" w:type="pct"/>
            <w:vAlign w:val="center"/>
          </w:tcPr>
          <w:p w14:paraId="716B4B7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站内管线</w:t>
            </w:r>
          </w:p>
        </w:tc>
        <w:tc>
          <w:tcPr>
            <w:tcW w:w="630" w:type="pct"/>
            <w:vAlign w:val="center"/>
          </w:tcPr>
          <w:p w14:paraId="6DDE463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Ⅱ类</w:t>
            </w:r>
          </w:p>
        </w:tc>
        <w:tc>
          <w:tcPr>
            <w:tcW w:w="1728" w:type="pct"/>
            <w:vMerge w:val="continue"/>
            <w:vAlign w:val="center"/>
          </w:tcPr>
          <w:p w14:paraId="7A9CDA48">
            <w:pPr>
              <w:spacing w:line="0" w:lineRule="atLeast"/>
              <w:jc w:val="center"/>
              <w:rPr>
                <w:rFonts w:hint="eastAsia" w:hAnsi="宋体" w:cs="宋体"/>
                <w:color w:val="000000"/>
                <w:sz w:val="21"/>
                <w:szCs w:val="21"/>
              </w:rPr>
            </w:pPr>
          </w:p>
        </w:tc>
        <w:tc>
          <w:tcPr>
            <w:tcW w:w="529" w:type="pct"/>
            <w:vAlign w:val="center"/>
          </w:tcPr>
          <w:p w14:paraId="40D0A31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c>
          <w:tcPr>
            <w:tcW w:w="604" w:type="pct"/>
            <w:vAlign w:val="center"/>
          </w:tcPr>
          <w:p w14:paraId="022BF34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三</w:t>
            </w:r>
          </w:p>
        </w:tc>
      </w:tr>
    </w:tbl>
    <w:p w14:paraId="64A4E4EE">
      <w:pPr>
        <w:spacing w:before="240" w:line="500" w:lineRule="exact"/>
        <w:ind w:firstLine="526" w:firstLineChars="200"/>
        <w:rPr>
          <w:rFonts w:hAnsi="宋体" w:cs="宋体"/>
          <w:snapToGrid w:val="0"/>
          <w:color w:val="000000"/>
          <w:kern w:val="0"/>
          <w:szCs w:val="24"/>
        </w:rPr>
      </w:pPr>
      <w:r>
        <w:rPr>
          <w:rFonts w:hint="eastAsia"/>
          <w:color w:val="000000"/>
        </w:rPr>
        <w:t>由上表可知，拟建工程</w:t>
      </w:r>
      <w:r>
        <w:rPr>
          <w:rFonts w:hint="eastAsia" w:hAnsi="宋体" w:cs="宋体"/>
          <w:color w:val="000000"/>
        </w:rPr>
        <w:t>管线建设</w:t>
      </w:r>
      <w:r>
        <w:rPr>
          <w:rFonts w:hint="eastAsia"/>
          <w:color w:val="000000"/>
        </w:rPr>
        <w:t>地下水环境影响评价工作等级均为三级</w:t>
      </w:r>
      <w:r>
        <w:rPr>
          <w:rFonts w:hint="eastAsia" w:hAnsi="宋体" w:cs="宋体"/>
          <w:color w:val="000000"/>
          <w:szCs w:val="24"/>
        </w:rPr>
        <w:t>。</w:t>
      </w:r>
    </w:p>
    <w:p w14:paraId="0FD06F16">
      <w:pPr>
        <w:spacing w:line="500" w:lineRule="exact"/>
        <w:rPr>
          <w:rFonts w:hint="eastAsia" w:hAnsi="宋体"/>
          <w:color w:val="000000"/>
          <w:szCs w:val="24"/>
        </w:rPr>
      </w:pPr>
      <w:r>
        <w:rPr>
          <w:rFonts w:hint="eastAsia" w:hAnsi="宋体"/>
          <w:color w:val="000000"/>
          <w:szCs w:val="24"/>
        </w:rPr>
        <w:t>2.5.2.2 地下水环境影响评价范围</w:t>
      </w:r>
    </w:p>
    <w:p w14:paraId="713600B5">
      <w:pPr>
        <w:spacing w:line="500" w:lineRule="exact"/>
        <w:ind w:firstLine="526" w:firstLineChars="200"/>
        <w:rPr>
          <w:rFonts w:hint="eastAsia" w:hAnsi="宋体"/>
          <w:color w:val="000000"/>
          <w:szCs w:val="24"/>
        </w:rPr>
      </w:pPr>
      <w:r>
        <w:rPr>
          <w:rFonts w:hint="eastAsia" w:hAnsi="宋体"/>
          <w:color w:val="000000"/>
          <w:szCs w:val="24"/>
        </w:rPr>
        <w:t>根据</w:t>
      </w:r>
      <w:r>
        <w:rPr>
          <w:rFonts w:hAnsi="宋体"/>
          <w:color w:val="000000"/>
          <w:szCs w:val="24"/>
        </w:rPr>
        <w:t>《环境影响评价技术导</w:t>
      </w:r>
      <w:r>
        <w:rPr>
          <w:rFonts w:hint="eastAsia" w:hAnsi="宋体"/>
          <w:color w:val="000000"/>
          <w:szCs w:val="24"/>
        </w:rPr>
        <w:t xml:space="preserve">则 </w:t>
      </w:r>
      <w:r>
        <w:rPr>
          <w:rFonts w:hAnsi="宋体"/>
          <w:color w:val="000000"/>
          <w:szCs w:val="24"/>
        </w:rPr>
        <w:t>地下水环境》</w:t>
      </w:r>
      <w:r>
        <w:rPr>
          <w:rFonts w:hint="eastAsia" w:hAnsi="宋体"/>
          <w:color w:val="000000"/>
          <w:szCs w:val="24"/>
        </w:rPr>
        <w:t>（</w:t>
      </w:r>
      <w:r>
        <w:rPr>
          <w:rFonts w:hAnsi="宋体"/>
          <w:color w:val="000000"/>
          <w:szCs w:val="24"/>
        </w:rPr>
        <w:t>HJ610-201</w:t>
      </w:r>
      <w:r>
        <w:rPr>
          <w:rFonts w:hint="eastAsia" w:hAnsi="宋体"/>
          <w:color w:val="000000"/>
          <w:szCs w:val="24"/>
        </w:rPr>
        <w:t>6），项目地下水环境影响评价范围为管线两侧200m的范围。</w:t>
      </w:r>
    </w:p>
    <w:p w14:paraId="0C2B82F3">
      <w:pPr>
        <w:spacing w:line="480" w:lineRule="exact"/>
        <w:outlineLvl w:val="2"/>
        <w:rPr>
          <w:rFonts w:hint="eastAsia" w:hAnsi="宋体"/>
          <w:color w:val="000000"/>
          <w:szCs w:val="24"/>
        </w:rPr>
      </w:pPr>
      <w:r>
        <w:rPr>
          <w:rFonts w:hint="eastAsia" w:hAnsi="宋体"/>
          <w:color w:val="000000"/>
          <w:szCs w:val="24"/>
        </w:rPr>
        <w:t>2.5.3 地表水环境影响评价等级和评价范围</w:t>
      </w:r>
    </w:p>
    <w:p w14:paraId="53601547">
      <w:pPr>
        <w:spacing w:line="480" w:lineRule="exact"/>
        <w:ind w:firstLine="526" w:firstLineChars="200"/>
        <w:rPr>
          <w:rFonts w:hAnsi="宋体" w:cs="宋体"/>
          <w:snapToGrid w:val="0"/>
          <w:color w:val="000000"/>
          <w:kern w:val="0"/>
          <w:szCs w:val="24"/>
        </w:rPr>
      </w:pPr>
      <w:r>
        <w:rPr>
          <w:rFonts w:hint="eastAsia" w:hAnsi="宋体"/>
          <w:color w:val="000000"/>
          <w:szCs w:val="24"/>
        </w:rPr>
        <w:t>拟建工程运营期无废水产生，不再进行等级判定。</w:t>
      </w:r>
    </w:p>
    <w:p w14:paraId="4AF52CEF">
      <w:pPr>
        <w:spacing w:line="500" w:lineRule="exact"/>
        <w:outlineLvl w:val="2"/>
        <w:rPr>
          <w:rFonts w:hint="eastAsia" w:hAnsi="宋体"/>
          <w:color w:val="000000"/>
          <w:szCs w:val="24"/>
        </w:rPr>
      </w:pPr>
      <w:r>
        <w:rPr>
          <w:rFonts w:hint="eastAsia" w:hAnsi="宋体"/>
          <w:color w:val="000000"/>
          <w:szCs w:val="24"/>
        </w:rPr>
        <w:t>2.5.4 土壤环境影响评价等级和评价范围</w:t>
      </w:r>
    </w:p>
    <w:p w14:paraId="36C270A1">
      <w:pPr>
        <w:pStyle w:val="13"/>
        <w:adjustRightInd w:val="0"/>
        <w:spacing w:after="0" w:line="500" w:lineRule="exact"/>
        <w:rPr>
          <w:rFonts w:hint="eastAsia" w:hAnsi="宋体" w:eastAsia="宋体"/>
          <w:color w:val="000000"/>
          <w:sz w:val="24"/>
          <w:szCs w:val="24"/>
        </w:rPr>
      </w:pPr>
      <w:r>
        <w:rPr>
          <w:rFonts w:hint="eastAsia" w:hAnsi="宋体" w:eastAsia="宋体"/>
          <w:color w:val="000000"/>
          <w:sz w:val="24"/>
          <w:szCs w:val="24"/>
        </w:rPr>
        <w:t>2.5.4.1 土壤环境影响评价等级</w:t>
      </w:r>
    </w:p>
    <w:p w14:paraId="09B7C54E">
      <w:pPr>
        <w:spacing w:line="500" w:lineRule="exact"/>
        <w:ind w:firstLine="526" w:firstLineChars="200"/>
        <w:rPr>
          <w:rFonts w:hAnsi="宋体"/>
          <w:color w:val="000000"/>
          <w:szCs w:val="24"/>
        </w:rPr>
      </w:pPr>
      <w:r>
        <w:rPr>
          <w:rFonts w:hint="eastAsia" w:hAnsi="宋体"/>
          <w:color w:val="000000"/>
          <w:szCs w:val="24"/>
        </w:rPr>
        <w:t>根据《环境影响评价技术导则 土壤环境（试行）》（HJ964-2018）和《环境影响评价技术导则 陆地石油天然气开发建设项目》（</w:t>
      </w:r>
      <w:r>
        <w:rPr>
          <w:rFonts w:hAnsi="宋体"/>
          <w:color w:val="000000"/>
          <w:szCs w:val="24"/>
        </w:rPr>
        <w:t>HJ349-20</w:t>
      </w:r>
      <w:r>
        <w:rPr>
          <w:rFonts w:hint="eastAsia" w:hAnsi="宋体"/>
          <w:color w:val="000000"/>
          <w:szCs w:val="24"/>
        </w:rPr>
        <w:t>23）以及区域历史监测数据，项目所在区域土壤盐分含量≤2</w:t>
      </w:r>
      <w:r>
        <w:rPr>
          <w:rFonts w:hint="eastAsia" w:hAnsi="宋体" w:cs="宋体"/>
          <w:color w:val="000000"/>
          <w:szCs w:val="24"/>
        </w:rPr>
        <w:t>g/kg，区域5.5＜pH＜8.5，</w:t>
      </w:r>
      <w:r>
        <w:rPr>
          <w:rFonts w:hint="eastAsia" w:hAnsi="宋体" w:cs="宋体"/>
          <w:color w:val="000000"/>
        </w:rPr>
        <w:t>不属于土壤盐化、酸化和碱化地区，</w:t>
      </w:r>
      <w:r>
        <w:rPr>
          <w:rFonts w:hint="eastAsia" w:hAnsi="宋体"/>
          <w:color w:val="000000"/>
          <w:szCs w:val="24"/>
        </w:rPr>
        <w:t>拟建工程类别按照污染影响型项目考虑</w:t>
      </w:r>
      <w:r>
        <w:rPr>
          <w:rFonts w:hint="eastAsia" w:hAnsi="宋体" w:cs="宋体"/>
          <w:color w:val="000000"/>
          <w:szCs w:val="24"/>
        </w:rPr>
        <w:t>。</w:t>
      </w:r>
    </w:p>
    <w:p w14:paraId="78E43F53">
      <w:pPr>
        <w:pStyle w:val="34"/>
        <w:adjustRightInd w:val="0"/>
        <w:spacing w:line="500" w:lineRule="exact"/>
        <w:ind w:firstLine="526" w:firstLineChars="200"/>
        <w:rPr>
          <w:rFonts w:hint="default" w:ascii="宋体" w:hAnsi="宋体" w:cs="宋体"/>
          <w:b w:val="0"/>
          <w:snapToGrid w:val="0"/>
          <w:color w:val="000000"/>
          <w:kern w:val="0"/>
          <w:szCs w:val="24"/>
        </w:rPr>
      </w:pPr>
      <w:r>
        <w:rPr>
          <w:rFonts w:ascii="宋体" w:hAnsi="宋体" w:cs="宋体"/>
          <w:b w:val="0"/>
          <w:color w:val="000000"/>
          <w:szCs w:val="24"/>
        </w:rPr>
        <w:t>（1）</w:t>
      </w:r>
      <w:r>
        <w:rPr>
          <w:rFonts w:ascii="宋体" w:hAnsi="宋体" w:cs="宋体"/>
          <w:b w:val="0"/>
          <w:snapToGrid w:val="0"/>
          <w:color w:val="000000"/>
          <w:kern w:val="0"/>
          <w:szCs w:val="24"/>
        </w:rPr>
        <w:t>建设项目类别</w:t>
      </w:r>
    </w:p>
    <w:p w14:paraId="2924845A">
      <w:pPr>
        <w:pStyle w:val="34"/>
        <w:adjustRightInd w:val="0"/>
        <w:spacing w:line="500" w:lineRule="exact"/>
        <w:ind w:firstLine="526" w:firstLineChars="200"/>
        <w:rPr>
          <w:rFonts w:hint="default" w:ascii="宋体" w:hAnsi="宋体" w:cs="宋体"/>
          <w:b w:val="0"/>
          <w:snapToGrid w:val="0"/>
          <w:color w:val="000000"/>
          <w:kern w:val="0"/>
          <w:szCs w:val="24"/>
        </w:rPr>
      </w:pPr>
      <w:r>
        <w:rPr>
          <w:rFonts w:ascii="宋体" w:hAnsi="宋体" w:cs="宋体"/>
          <w:b w:val="0"/>
          <w:color w:val="000000"/>
          <w:szCs w:val="24"/>
        </w:rPr>
        <w:t>根据《环境影响评价技术导则 陆地石油天然气开发建设项目》（HJ 349-2023），拟建工程管线建设属于Ⅱ类项目。</w:t>
      </w:r>
    </w:p>
    <w:p w14:paraId="4383AF5B">
      <w:pPr>
        <w:pStyle w:val="34"/>
        <w:adjustRightInd w:val="0"/>
        <w:spacing w:line="500" w:lineRule="exact"/>
        <w:ind w:firstLine="526" w:firstLineChars="200"/>
        <w:rPr>
          <w:rFonts w:hint="default" w:ascii="宋体" w:hAnsi="宋体" w:cs="宋体"/>
          <w:b w:val="0"/>
          <w:snapToGrid w:val="0"/>
          <w:color w:val="000000"/>
          <w:kern w:val="0"/>
          <w:szCs w:val="24"/>
        </w:rPr>
      </w:pPr>
      <w:r>
        <w:rPr>
          <w:rFonts w:ascii="宋体" w:hAnsi="宋体" w:cs="宋体"/>
          <w:b w:val="0"/>
          <w:color w:val="000000"/>
          <w:szCs w:val="24"/>
        </w:rPr>
        <w:t>（2）</w:t>
      </w:r>
      <w:r>
        <w:rPr>
          <w:rFonts w:ascii="宋体" w:hAnsi="宋体" w:cs="宋体"/>
          <w:b w:val="0"/>
          <w:snapToGrid w:val="0"/>
          <w:color w:val="000000"/>
          <w:kern w:val="0"/>
          <w:szCs w:val="24"/>
        </w:rPr>
        <w:t>占地规模</w:t>
      </w:r>
    </w:p>
    <w:p w14:paraId="61AA2EF5">
      <w:pPr>
        <w:pStyle w:val="34"/>
        <w:spacing w:line="500" w:lineRule="exact"/>
        <w:ind w:firstLine="526" w:firstLineChars="200"/>
        <w:rPr>
          <w:rFonts w:hint="default" w:ascii="宋体" w:hAnsi="宋体" w:cs="宋体"/>
          <w:b w:val="0"/>
          <w:color w:val="000000"/>
          <w:szCs w:val="24"/>
        </w:rPr>
      </w:pPr>
      <w:r>
        <w:rPr>
          <w:rFonts w:ascii="宋体" w:hAnsi="宋体" w:cs="宋体"/>
          <w:b w:val="0"/>
          <w:color w:val="000000"/>
          <w:szCs w:val="24"/>
        </w:rPr>
        <w:t>根据《环境影响评价技术导则 土壤环境（试行）》（HJ964-2018），“建设项目占地规模分为大型（≥50hm</w:t>
      </w:r>
      <w:r>
        <w:rPr>
          <w:rFonts w:ascii="宋体" w:hAnsi="宋体" w:cs="宋体"/>
          <w:b w:val="0"/>
          <w:color w:val="000000"/>
          <w:szCs w:val="24"/>
          <w:vertAlign w:val="superscript"/>
        </w:rPr>
        <w:t>2</w:t>
      </w:r>
      <w:r>
        <w:rPr>
          <w:rFonts w:ascii="宋体" w:hAnsi="宋体" w:cs="宋体"/>
          <w:b w:val="0"/>
          <w:color w:val="000000"/>
          <w:szCs w:val="24"/>
        </w:rPr>
        <w:t>）、中型（5～50hm</w:t>
      </w:r>
      <w:r>
        <w:rPr>
          <w:rFonts w:ascii="宋体" w:hAnsi="宋体" w:cs="宋体"/>
          <w:b w:val="0"/>
          <w:color w:val="000000"/>
          <w:szCs w:val="24"/>
          <w:vertAlign w:val="superscript"/>
        </w:rPr>
        <w:t>2</w:t>
      </w:r>
      <w:r>
        <w:rPr>
          <w:rFonts w:ascii="宋体" w:hAnsi="宋体" w:cs="宋体"/>
          <w:b w:val="0"/>
          <w:color w:val="000000"/>
          <w:szCs w:val="24"/>
        </w:rPr>
        <w:t>）和小型（≤5hm</w:t>
      </w:r>
      <w:r>
        <w:rPr>
          <w:rFonts w:ascii="宋体" w:hAnsi="宋体" w:cs="宋体"/>
          <w:b w:val="0"/>
          <w:color w:val="000000"/>
          <w:szCs w:val="24"/>
          <w:vertAlign w:val="superscript"/>
        </w:rPr>
        <w:t>2</w:t>
      </w:r>
      <w:r>
        <w:rPr>
          <w:rFonts w:ascii="宋体" w:hAnsi="宋体" w:cs="宋体"/>
          <w:b w:val="0"/>
          <w:color w:val="000000"/>
          <w:szCs w:val="24"/>
        </w:rPr>
        <w:t>）”。</w:t>
      </w:r>
    </w:p>
    <w:p w14:paraId="72E20D13">
      <w:pPr>
        <w:pStyle w:val="34"/>
        <w:spacing w:line="500" w:lineRule="exact"/>
        <w:ind w:firstLine="526" w:firstLineChars="200"/>
        <w:rPr>
          <w:rFonts w:hint="default" w:ascii="宋体" w:hAnsi="宋体" w:cs="宋体"/>
          <w:b w:val="0"/>
          <w:color w:val="000000"/>
          <w:szCs w:val="24"/>
        </w:rPr>
      </w:pPr>
      <w:r>
        <w:rPr>
          <w:rFonts w:ascii="宋体" w:hAnsi="宋体" w:cs="宋体"/>
          <w:b w:val="0"/>
          <w:color w:val="000000"/>
          <w:szCs w:val="24"/>
        </w:rPr>
        <w:t>拟建工程管线不新增永久占地，占地规模为小型。</w:t>
      </w:r>
    </w:p>
    <w:p w14:paraId="35FBD5DF">
      <w:pPr>
        <w:pStyle w:val="34"/>
        <w:adjustRightInd w:val="0"/>
        <w:spacing w:line="500" w:lineRule="exact"/>
        <w:ind w:firstLine="526" w:firstLineChars="200"/>
        <w:rPr>
          <w:rFonts w:hint="default" w:ascii="宋体" w:hAnsi="宋体" w:cs="宋体"/>
          <w:b w:val="0"/>
          <w:color w:val="000000"/>
          <w:szCs w:val="24"/>
        </w:rPr>
      </w:pPr>
      <w:r>
        <w:rPr>
          <w:rFonts w:ascii="宋体" w:hAnsi="宋体" w:cs="宋体"/>
          <w:b w:val="0"/>
          <w:color w:val="000000"/>
          <w:szCs w:val="24"/>
        </w:rPr>
        <w:t>（3）建设项目敏感程度</w:t>
      </w:r>
    </w:p>
    <w:p w14:paraId="6487E340">
      <w:pPr>
        <w:pStyle w:val="34"/>
        <w:adjustRightInd w:val="0"/>
        <w:spacing w:line="500" w:lineRule="exact"/>
        <w:ind w:firstLine="526" w:firstLineChars="200"/>
        <w:rPr>
          <w:rFonts w:ascii="宋体" w:hAnsi="宋体" w:cs="宋体"/>
          <w:b w:val="0"/>
          <w:color w:val="000000"/>
          <w:szCs w:val="24"/>
        </w:rPr>
      </w:pPr>
      <w:r>
        <w:rPr>
          <w:rFonts w:ascii="宋体" w:hAnsi="宋体" w:cs="宋体"/>
          <w:b w:val="0"/>
          <w:color w:val="000000"/>
          <w:szCs w:val="24"/>
        </w:rPr>
        <w:t>污染影响型建设项目敏感程度见表2.5-5。</w:t>
      </w:r>
    </w:p>
    <w:p w14:paraId="5380ABED">
      <w:pPr>
        <w:spacing w:line="500" w:lineRule="exact"/>
        <w:ind w:firstLine="526" w:firstLineChars="200"/>
        <w:rPr>
          <w:rFonts w:ascii="黑体" w:hAnsi="黑体" w:eastAsia="黑体"/>
          <w:color w:val="000000"/>
          <w:szCs w:val="24"/>
        </w:rPr>
      </w:pPr>
      <w:r>
        <w:rPr>
          <w:rFonts w:hint="eastAsia" w:ascii="黑体" w:hAnsi="黑体" w:eastAsia="黑体"/>
          <w:color w:val="000000"/>
          <w:szCs w:val="24"/>
        </w:rPr>
        <w:t>表</w:t>
      </w:r>
      <w:r>
        <w:rPr>
          <w:rFonts w:hint="eastAsia" w:ascii="黑体" w:hAnsi="宋体" w:eastAsia="黑体"/>
          <w:color w:val="000000"/>
          <w:szCs w:val="24"/>
        </w:rPr>
        <w:t>2.5-5</w:t>
      </w:r>
      <w:r>
        <w:rPr>
          <w:rFonts w:hint="eastAsia" w:ascii="黑体" w:hAnsi="黑体" w:eastAsia="黑体"/>
          <w:color w:val="000000"/>
          <w:szCs w:val="24"/>
        </w:rPr>
        <w:t xml:space="preserve">      污染影响型建设项目敏感程度一览表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192"/>
        <w:gridCol w:w="4454"/>
        <w:gridCol w:w="1369"/>
      </w:tblGrid>
      <w:tr w14:paraId="6599F1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70" w:type="pct"/>
            <w:tcMar>
              <w:left w:w="28" w:type="dxa"/>
              <w:right w:w="28" w:type="dxa"/>
            </w:tcMar>
            <w:vAlign w:val="center"/>
          </w:tcPr>
          <w:p w14:paraId="464DB2EA">
            <w:pPr>
              <w:spacing w:line="0" w:lineRule="atLeast"/>
              <w:jc w:val="center"/>
              <w:rPr>
                <w:rFonts w:hint="eastAsia" w:hAnsi="宋体"/>
                <w:color w:val="000000"/>
                <w:spacing w:val="-10"/>
                <w:sz w:val="21"/>
                <w:szCs w:val="21"/>
              </w:rPr>
            </w:pPr>
            <w:r>
              <w:rPr>
                <w:rFonts w:hint="eastAsia" w:hAnsi="宋体"/>
                <w:color w:val="000000"/>
                <w:spacing w:val="-10"/>
                <w:sz w:val="21"/>
                <w:szCs w:val="21"/>
              </w:rPr>
              <w:t>项目名称</w:t>
            </w:r>
          </w:p>
        </w:tc>
        <w:tc>
          <w:tcPr>
            <w:tcW w:w="2469" w:type="pct"/>
            <w:tcMar>
              <w:left w:w="28" w:type="dxa"/>
              <w:right w:w="28" w:type="dxa"/>
            </w:tcMar>
            <w:vAlign w:val="center"/>
          </w:tcPr>
          <w:p w14:paraId="27CBE9CB">
            <w:pPr>
              <w:spacing w:line="0" w:lineRule="atLeast"/>
              <w:jc w:val="center"/>
              <w:rPr>
                <w:rFonts w:hAnsi="宋体"/>
                <w:color w:val="000000"/>
                <w:spacing w:val="-10"/>
                <w:sz w:val="21"/>
                <w:szCs w:val="21"/>
              </w:rPr>
            </w:pPr>
            <w:r>
              <w:rPr>
                <w:rFonts w:hint="eastAsia" w:hAnsi="宋体"/>
                <w:color w:val="000000"/>
                <w:spacing w:val="-10"/>
                <w:sz w:val="21"/>
                <w:szCs w:val="21"/>
              </w:rPr>
              <w:t>和周边敏感目标关系</w:t>
            </w:r>
          </w:p>
        </w:tc>
        <w:tc>
          <w:tcPr>
            <w:tcW w:w="759" w:type="pct"/>
            <w:tcMar>
              <w:left w:w="28" w:type="dxa"/>
              <w:right w:w="28" w:type="dxa"/>
            </w:tcMar>
            <w:vAlign w:val="center"/>
          </w:tcPr>
          <w:p w14:paraId="2F885F3C">
            <w:pPr>
              <w:spacing w:line="0" w:lineRule="atLeast"/>
              <w:jc w:val="center"/>
              <w:rPr>
                <w:rFonts w:hAnsi="宋体"/>
                <w:color w:val="000000"/>
                <w:spacing w:val="-10"/>
                <w:sz w:val="21"/>
                <w:szCs w:val="21"/>
              </w:rPr>
            </w:pPr>
            <w:r>
              <w:rPr>
                <w:rFonts w:hint="eastAsia" w:hAnsi="宋体"/>
                <w:color w:val="000000"/>
                <w:spacing w:val="-10"/>
                <w:sz w:val="21"/>
                <w:szCs w:val="21"/>
              </w:rPr>
              <w:t>环境敏感程度</w:t>
            </w:r>
          </w:p>
        </w:tc>
      </w:tr>
      <w:tr w14:paraId="0E0289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37" w:hRule="atLeast"/>
          <w:jc w:val="center"/>
        </w:trPr>
        <w:tc>
          <w:tcPr>
            <w:tcW w:w="1770" w:type="pct"/>
            <w:tcMar>
              <w:left w:w="28" w:type="dxa"/>
              <w:right w:w="28" w:type="dxa"/>
            </w:tcMar>
            <w:vAlign w:val="center"/>
          </w:tcPr>
          <w:p w14:paraId="75D4A77F">
            <w:pPr>
              <w:widowControl/>
              <w:spacing w:line="0" w:lineRule="atLeast"/>
              <w:jc w:val="center"/>
              <w:rPr>
                <w:rFonts w:hint="eastAsia" w:hAnsi="宋体"/>
                <w:color w:val="000000"/>
                <w:spacing w:val="-10"/>
                <w:sz w:val="21"/>
                <w:szCs w:val="21"/>
              </w:rPr>
            </w:pPr>
            <w:r>
              <w:rPr>
                <w:rFonts w:hint="eastAsia" w:hAnsi="宋体"/>
                <w:color w:val="000000"/>
                <w:spacing w:val="-10"/>
                <w:sz w:val="21"/>
                <w:szCs w:val="21"/>
              </w:rPr>
              <w:t>ZG11-H1井至ZG8-9井集输管线</w:t>
            </w:r>
          </w:p>
        </w:tc>
        <w:tc>
          <w:tcPr>
            <w:tcW w:w="2469" w:type="pct"/>
            <w:vMerge w:val="restart"/>
            <w:tcMar>
              <w:left w:w="28" w:type="dxa"/>
              <w:right w:w="28" w:type="dxa"/>
            </w:tcMar>
            <w:vAlign w:val="center"/>
          </w:tcPr>
          <w:p w14:paraId="20A0C9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各管线周边200m范围内不涉及耕地、园地、牧草地、饮用水水源地或村庄、学校等敏感点及其他土壤环境敏感目标</w:t>
            </w:r>
          </w:p>
        </w:tc>
        <w:tc>
          <w:tcPr>
            <w:tcW w:w="759" w:type="pct"/>
            <w:tcMar>
              <w:left w:w="28" w:type="dxa"/>
              <w:right w:w="28" w:type="dxa"/>
            </w:tcMar>
            <w:vAlign w:val="center"/>
          </w:tcPr>
          <w:p w14:paraId="7D9F55E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r>
      <w:tr w14:paraId="73CAB7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87" w:hRule="atLeast"/>
          <w:jc w:val="center"/>
        </w:trPr>
        <w:tc>
          <w:tcPr>
            <w:tcW w:w="1770" w:type="pct"/>
            <w:tcMar>
              <w:left w:w="28" w:type="dxa"/>
              <w:right w:w="28" w:type="dxa"/>
            </w:tcMar>
            <w:vAlign w:val="center"/>
          </w:tcPr>
          <w:p w14:paraId="07BE40B5">
            <w:pPr>
              <w:widowControl/>
              <w:spacing w:line="0" w:lineRule="atLeast"/>
              <w:jc w:val="center"/>
              <w:rPr>
                <w:rFonts w:hint="eastAsia" w:hAnsi="宋体"/>
                <w:color w:val="000000"/>
                <w:spacing w:val="-10"/>
                <w:sz w:val="21"/>
                <w:szCs w:val="21"/>
              </w:rPr>
            </w:pPr>
            <w:r>
              <w:rPr>
                <w:rFonts w:hint="eastAsia" w:hAnsi="宋体"/>
                <w:color w:val="000000"/>
                <w:spacing w:val="-10"/>
                <w:sz w:val="21"/>
                <w:szCs w:val="21"/>
              </w:rPr>
              <w:t>ZG431-H3至5#集DN150外输管线碰头点后1km管线</w:t>
            </w:r>
          </w:p>
        </w:tc>
        <w:tc>
          <w:tcPr>
            <w:tcW w:w="2469" w:type="pct"/>
            <w:vMerge w:val="continue"/>
            <w:tcMar>
              <w:left w:w="28" w:type="dxa"/>
              <w:right w:w="28" w:type="dxa"/>
            </w:tcMar>
            <w:vAlign w:val="center"/>
          </w:tcPr>
          <w:p w14:paraId="5CF6775F">
            <w:pPr>
              <w:spacing w:line="0" w:lineRule="atLeast"/>
              <w:jc w:val="center"/>
              <w:rPr>
                <w:rFonts w:hint="eastAsia" w:hAnsi="宋体" w:cs="宋体"/>
                <w:color w:val="000000"/>
                <w:spacing w:val="-10"/>
                <w:sz w:val="21"/>
                <w:szCs w:val="21"/>
              </w:rPr>
            </w:pPr>
          </w:p>
        </w:tc>
        <w:tc>
          <w:tcPr>
            <w:tcW w:w="759" w:type="pct"/>
            <w:tcMar>
              <w:left w:w="28" w:type="dxa"/>
              <w:right w:w="28" w:type="dxa"/>
            </w:tcMar>
            <w:vAlign w:val="center"/>
          </w:tcPr>
          <w:p w14:paraId="7640A2A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r>
      <w:tr w14:paraId="6749B9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07" w:hRule="atLeast"/>
          <w:jc w:val="center"/>
        </w:trPr>
        <w:tc>
          <w:tcPr>
            <w:tcW w:w="1770" w:type="pct"/>
            <w:vAlign w:val="center"/>
          </w:tcPr>
          <w:p w14:paraId="62962D41">
            <w:pPr>
              <w:spacing w:line="0" w:lineRule="atLeast"/>
              <w:jc w:val="center"/>
              <w:rPr>
                <w:rFonts w:hint="eastAsia" w:hAnsi="宋体"/>
                <w:color w:val="000000"/>
                <w:spacing w:val="-10"/>
                <w:sz w:val="21"/>
                <w:szCs w:val="21"/>
              </w:rPr>
            </w:pPr>
            <w:r>
              <w:rPr>
                <w:rFonts w:hint="eastAsia" w:hAnsi="宋体"/>
                <w:color w:val="000000"/>
                <w:spacing w:val="-10"/>
                <w:sz w:val="21"/>
                <w:szCs w:val="21"/>
              </w:rPr>
              <w:t>ZG431-H4至5#集DN150外输管线</w:t>
            </w:r>
          </w:p>
        </w:tc>
        <w:tc>
          <w:tcPr>
            <w:tcW w:w="2469" w:type="pct"/>
            <w:vMerge w:val="continue"/>
            <w:vAlign w:val="center"/>
          </w:tcPr>
          <w:p w14:paraId="2E7BD41D">
            <w:pPr>
              <w:spacing w:line="0" w:lineRule="atLeast"/>
              <w:jc w:val="center"/>
              <w:rPr>
                <w:rFonts w:hint="eastAsia" w:hAnsi="宋体" w:cs="宋体"/>
                <w:color w:val="000000"/>
                <w:spacing w:val="-10"/>
                <w:sz w:val="21"/>
                <w:szCs w:val="21"/>
              </w:rPr>
            </w:pPr>
          </w:p>
        </w:tc>
        <w:tc>
          <w:tcPr>
            <w:tcW w:w="0" w:type="auto"/>
            <w:vAlign w:val="center"/>
          </w:tcPr>
          <w:p w14:paraId="44BD4E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r>
      <w:tr w14:paraId="30BB0D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1770" w:type="pct"/>
            <w:vAlign w:val="center"/>
          </w:tcPr>
          <w:p w14:paraId="059D6E89">
            <w:pPr>
              <w:spacing w:line="0" w:lineRule="atLeast"/>
              <w:jc w:val="center"/>
              <w:rPr>
                <w:rFonts w:hint="eastAsia" w:hAnsi="宋体"/>
                <w:color w:val="000000"/>
                <w:spacing w:val="-10"/>
                <w:sz w:val="21"/>
                <w:szCs w:val="21"/>
              </w:rPr>
            </w:pPr>
            <w:r>
              <w:rPr>
                <w:rFonts w:hint="eastAsia" w:hAnsi="宋体"/>
                <w:color w:val="000000"/>
                <w:spacing w:val="-10"/>
                <w:sz w:val="21"/>
                <w:szCs w:val="21"/>
              </w:rPr>
              <w:t>站内管线</w:t>
            </w:r>
          </w:p>
        </w:tc>
        <w:tc>
          <w:tcPr>
            <w:tcW w:w="2469" w:type="pct"/>
            <w:vMerge w:val="continue"/>
            <w:vAlign w:val="center"/>
          </w:tcPr>
          <w:p w14:paraId="68C05A78">
            <w:pPr>
              <w:spacing w:line="0" w:lineRule="atLeast"/>
              <w:jc w:val="center"/>
              <w:rPr>
                <w:rFonts w:hint="eastAsia" w:hAnsi="宋体" w:cs="宋体"/>
                <w:color w:val="000000"/>
                <w:spacing w:val="-10"/>
                <w:sz w:val="21"/>
                <w:szCs w:val="21"/>
              </w:rPr>
            </w:pPr>
          </w:p>
        </w:tc>
        <w:tc>
          <w:tcPr>
            <w:tcW w:w="0" w:type="auto"/>
            <w:vAlign w:val="center"/>
          </w:tcPr>
          <w:p w14:paraId="2AE01D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不敏感</w:t>
            </w:r>
          </w:p>
        </w:tc>
      </w:tr>
    </w:tbl>
    <w:p w14:paraId="76B1570D">
      <w:pPr>
        <w:pStyle w:val="34"/>
        <w:spacing w:before="240" w:line="500" w:lineRule="exact"/>
        <w:ind w:firstLine="526" w:firstLineChars="200"/>
        <w:rPr>
          <w:rFonts w:ascii="宋体" w:hAnsi="宋体" w:cs="宋体"/>
          <w:b w:val="0"/>
          <w:color w:val="000000"/>
        </w:rPr>
      </w:pPr>
      <w:r>
        <w:rPr>
          <w:rFonts w:ascii="宋体" w:hAnsi="宋体" w:cs="宋体"/>
          <w:b w:val="0"/>
          <w:color w:val="000000"/>
        </w:rPr>
        <w:t>（4）评价工作等级判定</w:t>
      </w:r>
    </w:p>
    <w:p w14:paraId="53DA9CFF">
      <w:pPr>
        <w:autoSpaceDE w:val="0"/>
        <w:autoSpaceDN w:val="0"/>
        <w:adjustRightInd w:val="0"/>
        <w:spacing w:line="500" w:lineRule="exact"/>
        <w:ind w:firstLine="526" w:firstLineChars="200"/>
        <w:rPr>
          <w:rFonts w:hint="eastAsia"/>
          <w:color w:val="000000"/>
        </w:rPr>
      </w:pPr>
      <w:r>
        <w:rPr>
          <w:rFonts w:hint="eastAsia"/>
          <w:color w:val="000000"/>
        </w:rPr>
        <w:t>根据《环境影响评价技术导则 土壤环境（试行）》（HJ964-2018），土壤环境污染影响评价工作等级划分见表2.5-6。</w:t>
      </w:r>
    </w:p>
    <w:p w14:paraId="055199B5">
      <w:pPr>
        <w:spacing w:line="480" w:lineRule="exact"/>
        <w:ind w:firstLine="526" w:firstLineChars="200"/>
        <w:rPr>
          <w:rFonts w:hint="eastAsia" w:ascii="黑体" w:hAnsi="黑体" w:eastAsia="黑体"/>
          <w:color w:val="000000"/>
        </w:rPr>
      </w:pPr>
      <w:r>
        <w:rPr>
          <w:rFonts w:hint="eastAsia" w:ascii="黑体" w:hAnsi="黑体" w:eastAsia="黑体"/>
          <w:color w:val="000000"/>
        </w:rPr>
        <w:t>表</w:t>
      </w:r>
      <w:r>
        <w:rPr>
          <w:rFonts w:hint="eastAsia" w:ascii="黑体" w:hAnsi="宋体" w:eastAsia="黑体"/>
          <w:color w:val="000000"/>
          <w:szCs w:val="24"/>
        </w:rPr>
        <w:t>2.5-6</w:t>
      </w:r>
      <w:r>
        <w:rPr>
          <w:rFonts w:hint="eastAsia" w:ascii="黑体" w:hAnsi="黑体" w:eastAsia="黑体"/>
          <w:color w:val="000000"/>
        </w:rPr>
        <w:t xml:space="preserve">         评价工作等级分级表 </w:t>
      </w:r>
    </w:p>
    <w:tbl>
      <w:tblPr>
        <w:tblStyle w:val="48"/>
        <w:tblW w:w="50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2724"/>
        <w:gridCol w:w="862"/>
        <w:gridCol w:w="678"/>
        <w:gridCol w:w="681"/>
        <w:gridCol w:w="678"/>
        <w:gridCol w:w="678"/>
        <w:gridCol w:w="681"/>
        <w:gridCol w:w="678"/>
        <w:gridCol w:w="678"/>
        <w:gridCol w:w="681"/>
      </w:tblGrid>
      <w:tr w14:paraId="2A4C1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724" w:type="dxa"/>
            <w:vMerge w:val="restart"/>
            <w:tcBorders>
              <w:tl2br w:val="single" w:color="auto" w:sz="4" w:space="0"/>
            </w:tcBorders>
            <w:tcMar>
              <w:left w:w="28" w:type="dxa"/>
              <w:right w:w="28" w:type="dxa"/>
            </w:tcMar>
            <w:vAlign w:val="center"/>
          </w:tcPr>
          <w:p w14:paraId="76091D3F">
            <w:pPr>
              <w:spacing w:line="0" w:lineRule="atLeast"/>
              <w:jc w:val="right"/>
              <w:rPr>
                <w:rFonts w:hAnsi="宋体"/>
                <w:color w:val="000000"/>
                <w:spacing w:val="-10"/>
                <w:sz w:val="21"/>
                <w:szCs w:val="21"/>
              </w:rPr>
            </w:pPr>
            <w:r>
              <w:rPr>
                <w:rFonts w:hint="eastAsia" w:hAnsi="宋体"/>
                <w:color w:val="000000"/>
                <w:spacing w:val="-10"/>
                <w:sz w:val="21"/>
                <w:szCs w:val="21"/>
              </w:rPr>
              <w:t xml:space="preserve">            占地规模</w:t>
            </w:r>
          </w:p>
          <w:p w14:paraId="4D74FC9B">
            <w:pPr>
              <w:spacing w:line="0" w:lineRule="atLeast"/>
              <w:rPr>
                <w:rFonts w:hAnsi="宋体"/>
                <w:color w:val="000000"/>
                <w:spacing w:val="-10"/>
                <w:sz w:val="21"/>
                <w:szCs w:val="21"/>
              </w:rPr>
            </w:pPr>
            <w:r>
              <w:rPr>
                <w:rFonts w:hint="eastAsia" w:hAnsi="宋体"/>
                <w:color w:val="000000"/>
                <w:spacing w:val="-10"/>
                <w:sz w:val="21"/>
                <w:szCs w:val="21"/>
              </w:rPr>
              <w:t>敏感程度</w:t>
            </w:r>
          </w:p>
        </w:tc>
        <w:tc>
          <w:tcPr>
            <w:tcW w:w="2221" w:type="dxa"/>
            <w:gridSpan w:val="3"/>
            <w:tcMar>
              <w:left w:w="28" w:type="dxa"/>
              <w:right w:w="28" w:type="dxa"/>
            </w:tcMar>
            <w:vAlign w:val="center"/>
          </w:tcPr>
          <w:p w14:paraId="3B80785F">
            <w:pPr>
              <w:spacing w:line="0" w:lineRule="atLeast"/>
              <w:jc w:val="center"/>
              <w:rPr>
                <w:rFonts w:hAnsi="宋体"/>
                <w:color w:val="000000"/>
                <w:spacing w:val="-10"/>
                <w:sz w:val="21"/>
                <w:szCs w:val="21"/>
              </w:rPr>
            </w:pPr>
            <w:r>
              <w:rPr>
                <w:rFonts w:hint="eastAsia" w:hAnsi="宋体"/>
                <w:color w:val="000000"/>
                <w:spacing w:val="-10"/>
                <w:sz w:val="21"/>
                <w:szCs w:val="21"/>
              </w:rPr>
              <w:t>Ⅰ类</w:t>
            </w:r>
          </w:p>
        </w:tc>
        <w:tc>
          <w:tcPr>
            <w:tcW w:w="2037" w:type="dxa"/>
            <w:gridSpan w:val="3"/>
            <w:tcMar>
              <w:left w:w="28" w:type="dxa"/>
              <w:right w:w="28" w:type="dxa"/>
            </w:tcMar>
            <w:vAlign w:val="center"/>
          </w:tcPr>
          <w:p w14:paraId="4420B4AB">
            <w:pPr>
              <w:spacing w:line="0" w:lineRule="atLeast"/>
              <w:jc w:val="center"/>
              <w:rPr>
                <w:rFonts w:hAnsi="宋体"/>
                <w:color w:val="000000"/>
                <w:spacing w:val="-10"/>
                <w:sz w:val="21"/>
                <w:szCs w:val="21"/>
              </w:rPr>
            </w:pPr>
            <w:r>
              <w:rPr>
                <w:rFonts w:hint="eastAsia" w:hAnsi="宋体"/>
                <w:color w:val="000000"/>
                <w:spacing w:val="-10"/>
                <w:sz w:val="21"/>
                <w:szCs w:val="21"/>
              </w:rPr>
              <w:t>Ⅱ类</w:t>
            </w:r>
          </w:p>
        </w:tc>
        <w:tc>
          <w:tcPr>
            <w:tcW w:w="2037" w:type="dxa"/>
            <w:gridSpan w:val="3"/>
            <w:tcMar>
              <w:left w:w="28" w:type="dxa"/>
              <w:right w:w="28" w:type="dxa"/>
            </w:tcMar>
            <w:vAlign w:val="center"/>
          </w:tcPr>
          <w:p w14:paraId="555EB35A">
            <w:pPr>
              <w:spacing w:line="0" w:lineRule="atLeast"/>
              <w:jc w:val="center"/>
              <w:rPr>
                <w:rFonts w:hAnsi="宋体"/>
                <w:color w:val="000000"/>
                <w:spacing w:val="-10"/>
                <w:sz w:val="21"/>
                <w:szCs w:val="21"/>
              </w:rPr>
            </w:pPr>
            <w:r>
              <w:rPr>
                <w:rFonts w:hint="eastAsia" w:hAnsi="宋体"/>
                <w:color w:val="000000"/>
                <w:spacing w:val="-10"/>
                <w:sz w:val="21"/>
                <w:szCs w:val="21"/>
              </w:rPr>
              <w:t>Ⅲ类</w:t>
            </w:r>
          </w:p>
        </w:tc>
      </w:tr>
      <w:tr w14:paraId="33E73C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724" w:type="dxa"/>
            <w:vMerge w:val="continue"/>
            <w:tcMar>
              <w:left w:w="28" w:type="dxa"/>
              <w:right w:w="28" w:type="dxa"/>
            </w:tcMar>
            <w:vAlign w:val="center"/>
          </w:tcPr>
          <w:p w14:paraId="19ABE84A">
            <w:pPr>
              <w:spacing w:line="0" w:lineRule="atLeast"/>
              <w:jc w:val="left"/>
              <w:rPr>
                <w:rFonts w:hAnsi="宋体"/>
                <w:color w:val="000000"/>
                <w:spacing w:val="-10"/>
                <w:sz w:val="21"/>
                <w:szCs w:val="21"/>
              </w:rPr>
            </w:pPr>
          </w:p>
        </w:tc>
        <w:tc>
          <w:tcPr>
            <w:tcW w:w="862" w:type="dxa"/>
            <w:tcMar>
              <w:left w:w="28" w:type="dxa"/>
              <w:right w:w="28" w:type="dxa"/>
            </w:tcMar>
            <w:vAlign w:val="center"/>
          </w:tcPr>
          <w:p w14:paraId="64E8AE5C">
            <w:pPr>
              <w:spacing w:line="0" w:lineRule="atLeast"/>
              <w:jc w:val="center"/>
              <w:rPr>
                <w:rFonts w:hAnsi="宋体"/>
                <w:color w:val="000000"/>
                <w:spacing w:val="-10"/>
                <w:sz w:val="21"/>
                <w:szCs w:val="21"/>
              </w:rPr>
            </w:pPr>
            <w:r>
              <w:rPr>
                <w:rFonts w:hint="eastAsia" w:hAnsi="宋体"/>
                <w:color w:val="000000"/>
                <w:spacing w:val="-10"/>
                <w:sz w:val="21"/>
                <w:szCs w:val="21"/>
              </w:rPr>
              <w:t>大</w:t>
            </w:r>
          </w:p>
        </w:tc>
        <w:tc>
          <w:tcPr>
            <w:tcW w:w="678" w:type="dxa"/>
            <w:tcMar>
              <w:left w:w="28" w:type="dxa"/>
              <w:right w:w="28" w:type="dxa"/>
            </w:tcMar>
            <w:vAlign w:val="center"/>
          </w:tcPr>
          <w:p w14:paraId="23A7857F">
            <w:pPr>
              <w:spacing w:line="0" w:lineRule="atLeast"/>
              <w:jc w:val="center"/>
              <w:rPr>
                <w:rFonts w:hAnsi="宋体"/>
                <w:color w:val="000000"/>
                <w:spacing w:val="-10"/>
                <w:sz w:val="21"/>
                <w:szCs w:val="21"/>
              </w:rPr>
            </w:pPr>
            <w:r>
              <w:rPr>
                <w:rFonts w:hint="eastAsia" w:hAnsi="宋体"/>
                <w:color w:val="000000"/>
                <w:spacing w:val="-10"/>
                <w:sz w:val="21"/>
                <w:szCs w:val="21"/>
              </w:rPr>
              <w:t>中</w:t>
            </w:r>
          </w:p>
        </w:tc>
        <w:tc>
          <w:tcPr>
            <w:tcW w:w="681" w:type="dxa"/>
            <w:tcMar>
              <w:left w:w="28" w:type="dxa"/>
              <w:right w:w="28" w:type="dxa"/>
            </w:tcMar>
            <w:vAlign w:val="center"/>
          </w:tcPr>
          <w:p w14:paraId="78537F9E">
            <w:pPr>
              <w:spacing w:line="0" w:lineRule="atLeast"/>
              <w:jc w:val="center"/>
              <w:rPr>
                <w:rFonts w:hAnsi="宋体"/>
                <w:color w:val="000000"/>
                <w:spacing w:val="-10"/>
                <w:sz w:val="21"/>
                <w:szCs w:val="21"/>
              </w:rPr>
            </w:pPr>
            <w:r>
              <w:rPr>
                <w:rFonts w:hint="eastAsia" w:hAnsi="宋体"/>
                <w:color w:val="000000"/>
                <w:spacing w:val="-10"/>
                <w:sz w:val="21"/>
                <w:szCs w:val="21"/>
              </w:rPr>
              <w:t>小</w:t>
            </w:r>
          </w:p>
        </w:tc>
        <w:tc>
          <w:tcPr>
            <w:tcW w:w="678" w:type="dxa"/>
            <w:tcMar>
              <w:left w:w="28" w:type="dxa"/>
              <w:right w:w="28" w:type="dxa"/>
            </w:tcMar>
            <w:vAlign w:val="center"/>
          </w:tcPr>
          <w:p w14:paraId="04BD0A32">
            <w:pPr>
              <w:spacing w:line="0" w:lineRule="atLeast"/>
              <w:jc w:val="center"/>
              <w:rPr>
                <w:rFonts w:hAnsi="宋体"/>
                <w:color w:val="000000"/>
                <w:spacing w:val="-10"/>
                <w:sz w:val="21"/>
                <w:szCs w:val="21"/>
              </w:rPr>
            </w:pPr>
            <w:r>
              <w:rPr>
                <w:rFonts w:hint="eastAsia" w:hAnsi="宋体"/>
                <w:color w:val="000000"/>
                <w:spacing w:val="-10"/>
                <w:sz w:val="21"/>
                <w:szCs w:val="21"/>
              </w:rPr>
              <w:t>大</w:t>
            </w:r>
          </w:p>
        </w:tc>
        <w:tc>
          <w:tcPr>
            <w:tcW w:w="678" w:type="dxa"/>
            <w:tcMar>
              <w:left w:w="28" w:type="dxa"/>
              <w:right w:w="28" w:type="dxa"/>
            </w:tcMar>
            <w:vAlign w:val="center"/>
          </w:tcPr>
          <w:p w14:paraId="5D72832A">
            <w:pPr>
              <w:spacing w:line="0" w:lineRule="atLeast"/>
              <w:jc w:val="center"/>
              <w:rPr>
                <w:rFonts w:hAnsi="宋体"/>
                <w:color w:val="000000"/>
                <w:spacing w:val="-10"/>
                <w:sz w:val="21"/>
                <w:szCs w:val="21"/>
              </w:rPr>
            </w:pPr>
            <w:r>
              <w:rPr>
                <w:rFonts w:hint="eastAsia" w:hAnsi="宋体"/>
                <w:color w:val="000000"/>
                <w:spacing w:val="-10"/>
                <w:sz w:val="21"/>
                <w:szCs w:val="21"/>
              </w:rPr>
              <w:t>中</w:t>
            </w:r>
          </w:p>
        </w:tc>
        <w:tc>
          <w:tcPr>
            <w:tcW w:w="681" w:type="dxa"/>
            <w:tcMar>
              <w:left w:w="28" w:type="dxa"/>
              <w:right w:w="28" w:type="dxa"/>
            </w:tcMar>
            <w:vAlign w:val="center"/>
          </w:tcPr>
          <w:p w14:paraId="22162B1A">
            <w:pPr>
              <w:spacing w:line="0" w:lineRule="atLeast"/>
              <w:jc w:val="center"/>
              <w:rPr>
                <w:rFonts w:hAnsi="宋体"/>
                <w:color w:val="000000"/>
                <w:spacing w:val="-10"/>
                <w:sz w:val="21"/>
                <w:szCs w:val="21"/>
              </w:rPr>
            </w:pPr>
            <w:r>
              <w:rPr>
                <w:rFonts w:hint="eastAsia" w:hAnsi="宋体"/>
                <w:color w:val="000000"/>
                <w:spacing w:val="-10"/>
                <w:sz w:val="21"/>
                <w:szCs w:val="21"/>
              </w:rPr>
              <w:t>小</w:t>
            </w:r>
          </w:p>
        </w:tc>
        <w:tc>
          <w:tcPr>
            <w:tcW w:w="678" w:type="dxa"/>
            <w:tcMar>
              <w:left w:w="28" w:type="dxa"/>
              <w:right w:w="28" w:type="dxa"/>
            </w:tcMar>
            <w:vAlign w:val="center"/>
          </w:tcPr>
          <w:p w14:paraId="3DE04EDA">
            <w:pPr>
              <w:spacing w:line="0" w:lineRule="atLeast"/>
              <w:jc w:val="center"/>
              <w:rPr>
                <w:rFonts w:hAnsi="宋体"/>
                <w:color w:val="000000"/>
                <w:spacing w:val="-10"/>
                <w:sz w:val="21"/>
                <w:szCs w:val="21"/>
              </w:rPr>
            </w:pPr>
            <w:r>
              <w:rPr>
                <w:rFonts w:hint="eastAsia" w:hAnsi="宋体"/>
                <w:color w:val="000000"/>
                <w:spacing w:val="-10"/>
                <w:sz w:val="21"/>
                <w:szCs w:val="21"/>
              </w:rPr>
              <w:t>大</w:t>
            </w:r>
          </w:p>
        </w:tc>
        <w:tc>
          <w:tcPr>
            <w:tcW w:w="678" w:type="dxa"/>
            <w:tcMar>
              <w:left w:w="28" w:type="dxa"/>
              <w:right w:w="28" w:type="dxa"/>
            </w:tcMar>
            <w:vAlign w:val="center"/>
          </w:tcPr>
          <w:p w14:paraId="46616F02">
            <w:pPr>
              <w:spacing w:line="0" w:lineRule="atLeast"/>
              <w:jc w:val="center"/>
              <w:rPr>
                <w:rFonts w:hAnsi="宋体"/>
                <w:color w:val="000000"/>
                <w:spacing w:val="-10"/>
                <w:sz w:val="21"/>
                <w:szCs w:val="21"/>
              </w:rPr>
            </w:pPr>
            <w:r>
              <w:rPr>
                <w:rFonts w:hint="eastAsia" w:hAnsi="宋体"/>
                <w:color w:val="000000"/>
                <w:spacing w:val="-10"/>
                <w:sz w:val="21"/>
                <w:szCs w:val="21"/>
              </w:rPr>
              <w:t>中</w:t>
            </w:r>
          </w:p>
        </w:tc>
        <w:tc>
          <w:tcPr>
            <w:tcW w:w="681" w:type="dxa"/>
            <w:tcMar>
              <w:left w:w="28" w:type="dxa"/>
              <w:right w:w="28" w:type="dxa"/>
            </w:tcMar>
            <w:vAlign w:val="center"/>
          </w:tcPr>
          <w:p w14:paraId="2E3A8848">
            <w:pPr>
              <w:spacing w:line="0" w:lineRule="atLeast"/>
              <w:jc w:val="center"/>
              <w:rPr>
                <w:rFonts w:hAnsi="宋体"/>
                <w:color w:val="000000"/>
                <w:spacing w:val="-10"/>
                <w:sz w:val="21"/>
                <w:szCs w:val="21"/>
              </w:rPr>
            </w:pPr>
            <w:r>
              <w:rPr>
                <w:rFonts w:hint="eastAsia" w:hAnsi="宋体"/>
                <w:color w:val="000000"/>
                <w:spacing w:val="-10"/>
                <w:sz w:val="21"/>
                <w:szCs w:val="21"/>
              </w:rPr>
              <w:t>小</w:t>
            </w:r>
          </w:p>
        </w:tc>
      </w:tr>
      <w:tr w14:paraId="20B2E1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724" w:type="dxa"/>
            <w:tcMar>
              <w:left w:w="28" w:type="dxa"/>
              <w:right w:w="28" w:type="dxa"/>
            </w:tcMar>
            <w:vAlign w:val="center"/>
          </w:tcPr>
          <w:p w14:paraId="6537F95F">
            <w:pPr>
              <w:spacing w:line="0" w:lineRule="atLeast"/>
              <w:jc w:val="center"/>
              <w:rPr>
                <w:rFonts w:hAnsi="宋体"/>
                <w:color w:val="000000"/>
                <w:spacing w:val="-10"/>
                <w:sz w:val="21"/>
                <w:szCs w:val="21"/>
              </w:rPr>
            </w:pPr>
            <w:r>
              <w:rPr>
                <w:rFonts w:hint="eastAsia" w:hAnsi="宋体"/>
                <w:color w:val="000000"/>
                <w:spacing w:val="-10"/>
                <w:sz w:val="21"/>
                <w:szCs w:val="21"/>
              </w:rPr>
              <w:t>敏感</w:t>
            </w:r>
          </w:p>
        </w:tc>
        <w:tc>
          <w:tcPr>
            <w:tcW w:w="862" w:type="dxa"/>
            <w:tcMar>
              <w:left w:w="28" w:type="dxa"/>
              <w:right w:w="28" w:type="dxa"/>
            </w:tcMar>
            <w:vAlign w:val="center"/>
          </w:tcPr>
          <w:p w14:paraId="227AC6A8">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78" w:type="dxa"/>
            <w:tcMar>
              <w:left w:w="28" w:type="dxa"/>
              <w:right w:w="28" w:type="dxa"/>
            </w:tcMar>
            <w:vAlign w:val="center"/>
          </w:tcPr>
          <w:p w14:paraId="4B59E843">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81" w:type="dxa"/>
            <w:tcMar>
              <w:left w:w="28" w:type="dxa"/>
              <w:right w:w="28" w:type="dxa"/>
            </w:tcMar>
            <w:vAlign w:val="center"/>
          </w:tcPr>
          <w:p w14:paraId="76570BE5">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78" w:type="dxa"/>
            <w:tcMar>
              <w:left w:w="28" w:type="dxa"/>
              <w:right w:w="28" w:type="dxa"/>
            </w:tcMar>
            <w:vAlign w:val="center"/>
          </w:tcPr>
          <w:p w14:paraId="78194735">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30977CB5">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81" w:type="dxa"/>
            <w:tcMar>
              <w:left w:w="28" w:type="dxa"/>
              <w:right w:w="28" w:type="dxa"/>
            </w:tcMar>
            <w:vAlign w:val="center"/>
          </w:tcPr>
          <w:p w14:paraId="3A1745F3">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379B155B">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78" w:type="dxa"/>
            <w:tcMar>
              <w:left w:w="28" w:type="dxa"/>
              <w:right w:w="28" w:type="dxa"/>
            </w:tcMar>
            <w:vAlign w:val="center"/>
          </w:tcPr>
          <w:p w14:paraId="630337D8">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81" w:type="dxa"/>
            <w:tcMar>
              <w:left w:w="28" w:type="dxa"/>
              <w:right w:w="28" w:type="dxa"/>
            </w:tcMar>
            <w:vAlign w:val="center"/>
          </w:tcPr>
          <w:p w14:paraId="0F8CF688">
            <w:pPr>
              <w:spacing w:line="0" w:lineRule="atLeast"/>
              <w:jc w:val="center"/>
              <w:rPr>
                <w:rFonts w:hAnsi="宋体"/>
                <w:color w:val="000000"/>
                <w:spacing w:val="-10"/>
                <w:sz w:val="21"/>
                <w:szCs w:val="21"/>
              </w:rPr>
            </w:pPr>
            <w:r>
              <w:rPr>
                <w:rFonts w:hint="eastAsia" w:hAnsi="宋体"/>
                <w:color w:val="000000"/>
                <w:spacing w:val="-10"/>
                <w:sz w:val="21"/>
                <w:szCs w:val="21"/>
              </w:rPr>
              <w:t>三级</w:t>
            </w:r>
          </w:p>
        </w:tc>
      </w:tr>
      <w:tr w14:paraId="0E30FC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724" w:type="dxa"/>
            <w:tcMar>
              <w:left w:w="28" w:type="dxa"/>
              <w:right w:w="28" w:type="dxa"/>
            </w:tcMar>
            <w:vAlign w:val="center"/>
          </w:tcPr>
          <w:p w14:paraId="7B59AA30">
            <w:pPr>
              <w:spacing w:line="0" w:lineRule="atLeast"/>
              <w:jc w:val="center"/>
              <w:rPr>
                <w:rFonts w:hAnsi="宋体"/>
                <w:color w:val="000000"/>
                <w:spacing w:val="-10"/>
                <w:sz w:val="21"/>
                <w:szCs w:val="21"/>
              </w:rPr>
            </w:pPr>
            <w:r>
              <w:rPr>
                <w:rFonts w:hint="eastAsia" w:hAnsi="宋体"/>
                <w:color w:val="000000"/>
                <w:spacing w:val="-10"/>
                <w:sz w:val="21"/>
                <w:szCs w:val="21"/>
              </w:rPr>
              <w:t>较敏感</w:t>
            </w:r>
          </w:p>
        </w:tc>
        <w:tc>
          <w:tcPr>
            <w:tcW w:w="862" w:type="dxa"/>
            <w:tcMar>
              <w:left w:w="28" w:type="dxa"/>
              <w:right w:w="28" w:type="dxa"/>
            </w:tcMar>
            <w:vAlign w:val="center"/>
          </w:tcPr>
          <w:p w14:paraId="748C2136">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78" w:type="dxa"/>
            <w:tcMar>
              <w:left w:w="28" w:type="dxa"/>
              <w:right w:w="28" w:type="dxa"/>
            </w:tcMar>
            <w:vAlign w:val="center"/>
          </w:tcPr>
          <w:p w14:paraId="089A3B41">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81" w:type="dxa"/>
            <w:tcMar>
              <w:left w:w="28" w:type="dxa"/>
              <w:right w:w="28" w:type="dxa"/>
            </w:tcMar>
            <w:vAlign w:val="center"/>
          </w:tcPr>
          <w:p w14:paraId="3A5CB232">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1AA368C2">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78DCEE17">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81" w:type="dxa"/>
            <w:tcMar>
              <w:left w:w="28" w:type="dxa"/>
              <w:right w:w="28" w:type="dxa"/>
            </w:tcMar>
            <w:vAlign w:val="center"/>
          </w:tcPr>
          <w:p w14:paraId="4F3D82C9">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78" w:type="dxa"/>
            <w:tcMar>
              <w:left w:w="28" w:type="dxa"/>
              <w:right w:w="28" w:type="dxa"/>
            </w:tcMar>
            <w:vAlign w:val="center"/>
          </w:tcPr>
          <w:p w14:paraId="0F285497">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78" w:type="dxa"/>
            <w:tcMar>
              <w:left w:w="28" w:type="dxa"/>
              <w:right w:w="28" w:type="dxa"/>
            </w:tcMar>
            <w:vAlign w:val="center"/>
          </w:tcPr>
          <w:p w14:paraId="21C2EE21">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81" w:type="dxa"/>
            <w:tcMar>
              <w:left w:w="28" w:type="dxa"/>
              <w:right w:w="28" w:type="dxa"/>
            </w:tcMar>
            <w:vAlign w:val="center"/>
          </w:tcPr>
          <w:p w14:paraId="627F255A">
            <w:pPr>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50CB94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724" w:type="dxa"/>
            <w:tcMar>
              <w:left w:w="28" w:type="dxa"/>
              <w:right w:w="28" w:type="dxa"/>
            </w:tcMar>
            <w:vAlign w:val="center"/>
          </w:tcPr>
          <w:p w14:paraId="2B1E4CD0">
            <w:pPr>
              <w:spacing w:line="0" w:lineRule="atLeast"/>
              <w:jc w:val="center"/>
              <w:rPr>
                <w:rFonts w:hAnsi="宋体"/>
                <w:color w:val="000000"/>
                <w:spacing w:val="-10"/>
                <w:sz w:val="21"/>
                <w:szCs w:val="21"/>
              </w:rPr>
            </w:pPr>
            <w:r>
              <w:rPr>
                <w:rFonts w:hint="eastAsia" w:hAnsi="宋体"/>
                <w:color w:val="000000"/>
                <w:spacing w:val="-10"/>
                <w:sz w:val="21"/>
                <w:szCs w:val="21"/>
              </w:rPr>
              <w:t>不敏感</w:t>
            </w:r>
          </w:p>
        </w:tc>
        <w:tc>
          <w:tcPr>
            <w:tcW w:w="862" w:type="dxa"/>
            <w:tcMar>
              <w:left w:w="28" w:type="dxa"/>
              <w:right w:w="28" w:type="dxa"/>
            </w:tcMar>
            <w:vAlign w:val="center"/>
          </w:tcPr>
          <w:p w14:paraId="26D55840">
            <w:pPr>
              <w:spacing w:line="0" w:lineRule="atLeast"/>
              <w:jc w:val="center"/>
              <w:rPr>
                <w:rFonts w:hAnsi="宋体"/>
                <w:color w:val="000000"/>
                <w:spacing w:val="-10"/>
                <w:sz w:val="21"/>
                <w:szCs w:val="21"/>
              </w:rPr>
            </w:pPr>
            <w:r>
              <w:rPr>
                <w:rFonts w:hint="eastAsia" w:hAnsi="宋体"/>
                <w:color w:val="000000"/>
                <w:spacing w:val="-10"/>
                <w:sz w:val="21"/>
                <w:szCs w:val="21"/>
              </w:rPr>
              <w:t>一级</w:t>
            </w:r>
          </w:p>
        </w:tc>
        <w:tc>
          <w:tcPr>
            <w:tcW w:w="678" w:type="dxa"/>
            <w:tcMar>
              <w:left w:w="28" w:type="dxa"/>
              <w:right w:w="28" w:type="dxa"/>
            </w:tcMar>
            <w:vAlign w:val="center"/>
          </w:tcPr>
          <w:p w14:paraId="67D1163C">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81" w:type="dxa"/>
            <w:tcMar>
              <w:left w:w="28" w:type="dxa"/>
              <w:right w:w="28" w:type="dxa"/>
            </w:tcMar>
            <w:vAlign w:val="center"/>
          </w:tcPr>
          <w:p w14:paraId="3BDB3700">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7FCA2D3A">
            <w:pPr>
              <w:spacing w:line="0" w:lineRule="atLeast"/>
              <w:jc w:val="center"/>
              <w:rPr>
                <w:rFonts w:hAnsi="宋体"/>
                <w:color w:val="000000"/>
                <w:spacing w:val="-10"/>
                <w:sz w:val="21"/>
                <w:szCs w:val="21"/>
              </w:rPr>
            </w:pPr>
            <w:r>
              <w:rPr>
                <w:rFonts w:hint="eastAsia" w:hAnsi="宋体"/>
                <w:color w:val="000000"/>
                <w:spacing w:val="-10"/>
                <w:sz w:val="21"/>
                <w:szCs w:val="21"/>
              </w:rPr>
              <w:t>二级</w:t>
            </w:r>
          </w:p>
        </w:tc>
        <w:tc>
          <w:tcPr>
            <w:tcW w:w="678" w:type="dxa"/>
            <w:tcMar>
              <w:left w:w="28" w:type="dxa"/>
              <w:right w:w="28" w:type="dxa"/>
            </w:tcMar>
            <w:vAlign w:val="center"/>
          </w:tcPr>
          <w:p w14:paraId="03C75E76">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81" w:type="dxa"/>
            <w:tcMar>
              <w:left w:w="28" w:type="dxa"/>
              <w:right w:w="28" w:type="dxa"/>
            </w:tcMar>
            <w:vAlign w:val="center"/>
          </w:tcPr>
          <w:p w14:paraId="00838C0B">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78" w:type="dxa"/>
            <w:tcMar>
              <w:left w:w="28" w:type="dxa"/>
              <w:right w:w="28" w:type="dxa"/>
            </w:tcMar>
            <w:vAlign w:val="center"/>
          </w:tcPr>
          <w:p w14:paraId="0AB10BD4">
            <w:pPr>
              <w:spacing w:line="0" w:lineRule="atLeast"/>
              <w:jc w:val="center"/>
              <w:rPr>
                <w:rFonts w:hAnsi="宋体"/>
                <w:color w:val="000000"/>
                <w:spacing w:val="-10"/>
                <w:sz w:val="21"/>
                <w:szCs w:val="21"/>
              </w:rPr>
            </w:pPr>
            <w:r>
              <w:rPr>
                <w:rFonts w:hint="eastAsia" w:hAnsi="宋体"/>
                <w:color w:val="000000"/>
                <w:spacing w:val="-10"/>
                <w:sz w:val="21"/>
                <w:szCs w:val="21"/>
              </w:rPr>
              <w:t>三级</w:t>
            </w:r>
          </w:p>
        </w:tc>
        <w:tc>
          <w:tcPr>
            <w:tcW w:w="678" w:type="dxa"/>
            <w:tcMar>
              <w:left w:w="28" w:type="dxa"/>
              <w:right w:w="28" w:type="dxa"/>
            </w:tcMar>
            <w:vAlign w:val="center"/>
          </w:tcPr>
          <w:p w14:paraId="6DE6494F">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681" w:type="dxa"/>
            <w:tcMar>
              <w:left w:w="28" w:type="dxa"/>
              <w:right w:w="28" w:type="dxa"/>
            </w:tcMar>
            <w:vAlign w:val="center"/>
          </w:tcPr>
          <w:p w14:paraId="7E0EFF0E">
            <w:pPr>
              <w:spacing w:line="0" w:lineRule="atLeast"/>
              <w:jc w:val="center"/>
              <w:rPr>
                <w:rFonts w:hAnsi="宋体"/>
                <w:color w:val="000000"/>
                <w:spacing w:val="-10"/>
                <w:sz w:val="21"/>
                <w:szCs w:val="21"/>
              </w:rPr>
            </w:pPr>
            <w:r>
              <w:rPr>
                <w:rFonts w:hint="eastAsia" w:hAnsi="宋体"/>
                <w:color w:val="000000"/>
                <w:spacing w:val="-10"/>
                <w:sz w:val="21"/>
                <w:szCs w:val="21"/>
              </w:rPr>
              <w:t>—</w:t>
            </w:r>
          </w:p>
        </w:tc>
      </w:tr>
    </w:tbl>
    <w:p w14:paraId="6EC6BA0E">
      <w:pPr>
        <w:spacing w:before="240" w:line="480" w:lineRule="exact"/>
        <w:ind w:firstLine="526" w:firstLineChars="200"/>
        <w:rPr>
          <w:rFonts w:hint="eastAsia" w:hAnsi="宋体"/>
          <w:color w:val="000000"/>
        </w:rPr>
      </w:pPr>
      <w:r>
        <w:rPr>
          <w:rFonts w:hint="eastAsia" w:hAnsi="宋体"/>
          <w:color w:val="000000"/>
        </w:rPr>
        <w:t>土壤环境污染影响评价工作等级见表2.5-7。</w:t>
      </w:r>
    </w:p>
    <w:p w14:paraId="6A31799D">
      <w:pPr>
        <w:spacing w:line="480" w:lineRule="exact"/>
        <w:ind w:firstLine="526" w:firstLineChars="200"/>
        <w:rPr>
          <w:rFonts w:ascii="黑体" w:hAnsi="黑体" w:eastAsia="黑体"/>
          <w:color w:val="000000"/>
        </w:rPr>
      </w:pPr>
      <w:r>
        <w:rPr>
          <w:rFonts w:hint="eastAsia" w:ascii="黑体" w:hAnsi="黑体" w:eastAsia="黑体"/>
          <w:color w:val="000000"/>
        </w:rPr>
        <w:t>表</w:t>
      </w:r>
      <w:r>
        <w:rPr>
          <w:rFonts w:hint="eastAsia" w:ascii="黑体" w:hAnsi="宋体" w:eastAsia="黑体"/>
          <w:color w:val="000000"/>
          <w:szCs w:val="24"/>
        </w:rPr>
        <w:t>2.5-7</w:t>
      </w:r>
      <w:r>
        <w:rPr>
          <w:rFonts w:hint="eastAsia" w:ascii="黑体" w:hAnsi="黑体" w:eastAsia="黑体"/>
          <w:color w:val="000000"/>
        </w:rPr>
        <w:t xml:space="preserve">         污染影响型建设项目敏感程度一览表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301"/>
        <w:gridCol w:w="1669"/>
        <w:gridCol w:w="2461"/>
        <w:gridCol w:w="1579"/>
      </w:tblGrid>
      <w:tr w14:paraId="41B258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831" w:type="pct"/>
            <w:tcMar>
              <w:left w:w="28" w:type="dxa"/>
              <w:right w:w="28" w:type="dxa"/>
            </w:tcMar>
            <w:vAlign w:val="center"/>
          </w:tcPr>
          <w:p w14:paraId="4BC5F54B">
            <w:pPr>
              <w:spacing w:line="0" w:lineRule="atLeast"/>
              <w:jc w:val="center"/>
              <w:rPr>
                <w:rFonts w:hint="eastAsia" w:hAnsi="宋体"/>
                <w:color w:val="000000"/>
                <w:spacing w:val="-10"/>
                <w:sz w:val="21"/>
                <w:szCs w:val="21"/>
              </w:rPr>
            </w:pPr>
            <w:r>
              <w:rPr>
                <w:rFonts w:hint="eastAsia" w:hAnsi="宋体"/>
                <w:color w:val="000000"/>
                <w:spacing w:val="-10"/>
                <w:sz w:val="21"/>
                <w:szCs w:val="21"/>
              </w:rPr>
              <w:t>项目名称</w:t>
            </w:r>
          </w:p>
        </w:tc>
        <w:tc>
          <w:tcPr>
            <w:tcW w:w="926" w:type="pct"/>
            <w:tcMar>
              <w:left w:w="28" w:type="dxa"/>
              <w:right w:w="28" w:type="dxa"/>
            </w:tcMar>
            <w:vAlign w:val="center"/>
          </w:tcPr>
          <w:p w14:paraId="173EB291">
            <w:pPr>
              <w:spacing w:line="0" w:lineRule="atLeast"/>
              <w:jc w:val="center"/>
              <w:rPr>
                <w:rFonts w:hAnsi="宋体"/>
                <w:color w:val="000000"/>
                <w:spacing w:val="-10"/>
                <w:sz w:val="21"/>
                <w:szCs w:val="21"/>
              </w:rPr>
            </w:pPr>
            <w:r>
              <w:rPr>
                <w:rFonts w:hint="eastAsia" w:hAnsi="宋体"/>
                <w:color w:val="000000"/>
                <w:spacing w:val="-10"/>
                <w:sz w:val="21"/>
                <w:szCs w:val="21"/>
              </w:rPr>
              <w:t>项目类别</w:t>
            </w:r>
          </w:p>
        </w:tc>
        <w:tc>
          <w:tcPr>
            <w:tcW w:w="1365" w:type="pct"/>
            <w:tcMar>
              <w:left w:w="28" w:type="dxa"/>
              <w:right w:w="28" w:type="dxa"/>
            </w:tcMar>
            <w:vAlign w:val="center"/>
          </w:tcPr>
          <w:p w14:paraId="28F6C74F">
            <w:pPr>
              <w:spacing w:line="0" w:lineRule="atLeast"/>
              <w:jc w:val="center"/>
              <w:rPr>
                <w:rFonts w:hAnsi="宋体"/>
                <w:color w:val="000000"/>
                <w:spacing w:val="-10"/>
                <w:sz w:val="21"/>
                <w:szCs w:val="21"/>
              </w:rPr>
            </w:pPr>
            <w:r>
              <w:rPr>
                <w:rFonts w:hint="eastAsia" w:hAnsi="宋体"/>
                <w:color w:val="000000"/>
                <w:spacing w:val="-10"/>
                <w:sz w:val="21"/>
                <w:szCs w:val="21"/>
              </w:rPr>
              <w:t>环境敏感程度</w:t>
            </w:r>
          </w:p>
        </w:tc>
        <w:tc>
          <w:tcPr>
            <w:tcW w:w="876" w:type="pct"/>
            <w:tcMar>
              <w:left w:w="28" w:type="dxa"/>
              <w:right w:w="28" w:type="dxa"/>
            </w:tcMar>
            <w:vAlign w:val="center"/>
          </w:tcPr>
          <w:p w14:paraId="1532E5FA">
            <w:pPr>
              <w:spacing w:line="0" w:lineRule="atLeast"/>
              <w:jc w:val="center"/>
              <w:rPr>
                <w:rFonts w:hAnsi="宋体"/>
                <w:color w:val="000000"/>
                <w:spacing w:val="-10"/>
                <w:sz w:val="21"/>
                <w:szCs w:val="21"/>
              </w:rPr>
            </w:pPr>
            <w:r>
              <w:rPr>
                <w:rFonts w:hint="eastAsia" w:hAnsi="宋体"/>
                <w:color w:val="000000"/>
                <w:spacing w:val="-10"/>
                <w:sz w:val="21"/>
                <w:szCs w:val="21"/>
              </w:rPr>
              <w:t>评价等级</w:t>
            </w:r>
          </w:p>
        </w:tc>
      </w:tr>
      <w:tr w14:paraId="50C6A6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831" w:type="pct"/>
            <w:tcMar>
              <w:left w:w="28" w:type="dxa"/>
              <w:right w:w="28" w:type="dxa"/>
            </w:tcMar>
            <w:vAlign w:val="center"/>
          </w:tcPr>
          <w:p w14:paraId="59DF55CC">
            <w:pPr>
              <w:widowControl/>
              <w:spacing w:line="0" w:lineRule="atLeast"/>
              <w:jc w:val="center"/>
              <w:rPr>
                <w:rFonts w:hint="eastAsia" w:hAnsi="宋体"/>
                <w:color w:val="000000"/>
                <w:spacing w:val="-10"/>
                <w:sz w:val="21"/>
                <w:szCs w:val="21"/>
              </w:rPr>
            </w:pPr>
            <w:r>
              <w:rPr>
                <w:rFonts w:hint="eastAsia" w:hAnsi="宋体"/>
                <w:color w:val="000000"/>
                <w:spacing w:val="-10"/>
                <w:sz w:val="21"/>
                <w:szCs w:val="21"/>
              </w:rPr>
              <w:t>ZG11-H1井至ZG8-9井集输管线</w:t>
            </w:r>
          </w:p>
        </w:tc>
        <w:tc>
          <w:tcPr>
            <w:tcW w:w="926" w:type="pct"/>
            <w:tcMar>
              <w:left w:w="28" w:type="dxa"/>
              <w:right w:w="28" w:type="dxa"/>
            </w:tcMar>
            <w:vAlign w:val="center"/>
          </w:tcPr>
          <w:p w14:paraId="18661C03">
            <w:pPr>
              <w:spacing w:line="0" w:lineRule="atLeast"/>
              <w:jc w:val="center"/>
              <w:rPr>
                <w:rFonts w:hint="eastAsia" w:hAnsi="宋体"/>
                <w:color w:val="000000"/>
                <w:spacing w:val="-10"/>
                <w:sz w:val="21"/>
                <w:szCs w:val="21"/>
              </w:rPr>
            </w:pPr>
            <w:r>
              <w:rPr>
                <w:rFonts w:hint="eastAsia" w:hAnsi="宋体"/>
                <w:color w:val="000000"/>
                <w:spacing w:val="-10"/>
                <w:sz w:val="21"/>
                <w:szCs w:val="21"/>
              </w:rPr>
              <w:t>Ⅱ类</w:t>
            </w:r>
          </w:p>
        </w:tc>
        <w:tc>
          <w:tcPr>
            <w:tcW w:w="1365" w:type="pct"/>
            <w:tcMar>
              <w:left w:w="28" w:type="dxa"/>
              <w:right w:w="28" w:type="dxa"/>
            </w:tcMar>
            <w:vAlign w:val="center"/>
          </w:tcPr>
          <w:p w14:paraId="110CE90B">
            <w:pPr>
              <w:spacing w:line="0" w:lineRule="atLeast"/>
              <w:jc w:val="center"/>
              <w:rPr>
                <w:rFonts w:hint="eastAsia" w:hAnsi="宋体"/>
                <w:color w:val="000000"/>
                <w:spacing w:val="-10"/>
                <w:sz w:val="21"/>
                <w:szCs w:val="21"/>
              </w:rPr>
            </w:pPr>
            <w:r>
              <w:rPr>
                <w:rFonts w:hint="eastAsia" w:hAnsi="宋体"/>
                <w:color w:val="000000"/>
                <w:spacing w:val="-10"/>
                <w:sz w:val="21"/>
                <w:szCs w:val="21"/>
              </w:rPr>
              <w:t>不敏感</w:t>
            </w:r>
          </w:p>
        </w:tc>
        <w:tc>
          <w:tcPr>
            <w:tcW w:w="876" w:type="pct"/>
            <w:tcMar>
              <w:left w:w="28" w:type="dxa"/>
              <w:right w:w="28" w:type="dxa"/>
            </w:tcMar>
            <w:vAlign w:val="center"/>
          </w:tcPr>
          <w:p w14:paraId="657660F4">
            <w:pPr>
              <w:spacing w:line="0" w:lineRule="atLeast"/>
              <w:jc w:val="center"/>
              <w:rPr>
                <w:rFonts w:hint="eastAsia" w:hAnsi="宋体"/>
                <w:color w:val="000000"/>
                <w:spacing w:val="-10"/>
                <w:sz w:val="21"/>
                <w:szCs w:val="21"/>
              </w:rPr>
            </w:pPr>
            <w:r>
              <w:rPr>
                <w:rFonts w:hint="eastAsia" w:hAnsi="宋体"/>
                <w:color w:val="000000"/>
                <w:spacing w:val="-10"/>
                <w:sz w:val="21"/>
                <w:szCs w:val="21"/>
              </w:rPr>
              <w:t>三</w:t>
            </w:r>
          </w:p>
        </w:tc>
      </w:tr>
      <w:tr w14:paraId="48B38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98" w:hRule="atLeast"/>
          <w:jc w:val="center"/>
        </w:trPr>
        <w:tc>
          <w:tcPr>
            <w:tcW w:w="1831" w:type="pct"/>
            <w:tcMar>
              <w:left w:w="28" w:type="dxa"/>
              <w:right w:w="28" w:type="dxa"/>
            </w:tcMar>
            <w:vAlign w:val="center"/>
          </w:tcPr>
          <w:p w14:paraId="6AC2164D">
            <w:pPr>
              <w:widowControl/>
              <w:spacing w:line="0" w:lineRule="atLeast"/>
              <w:jc w:val="center"/>
              <w:rPr>
                <w:rFonts w:hAnsi="宋体"/>
                <w:color w:val="000000"/>
                <w:spacing w:val="-10"/>
                <w:sz w:val="21"/>
                <w:szCs w:val="21"/>
              </w:rPr>
            </w:pPr>
            <w:r>
              <w:rPr>
                <w:rFonts w:hint="eastAsia" w:hAnsi="宋体"/>
                <w:color w:val="000000"/>
                <w:spacing w:val="-10"/>
                <w:sz w:val="21"/>
                <w:szCs w:val="21"/>
              </w:rPr>
              <w:t>ZG431-H3至5#集DN150外输管线碰头点后1km管线</w:t>
            </w:r>
          </w:p>
        </w:tc>
        <w:tc>
          <w:tcPr>
            <w:tcW w:w="926" w:type="pct"/>
            <w:tcMar>
              <w:left w:w="28" w:type="dxa"/>
              <w:right w:w="28" w:type="dxa"/>
            </w:tcMar>
            <w:vAlign w:val="center"/>
          </w:tcPr>
          <w:p w14:paraId="453E7F87">
            <w:pPr>
              <w:spacing w:line="0" w:lineRule="atLeast"/>
              <w:jc w:val="center"/>
              <w:rPr>
                <w:rFonts w:hint="eastAsia" w:hAnsi="宋体"/>
                <w:color w:val="000000"/>
                <w:spacing w:val="-10"/>
                <w:sz w:val="21"/>
                <w:szCs w:val="21"/>
              </w:rPr>
            </w:pPr>
            <w:r>
              <w:rPr>
                <w:rFonts w:hint="eastAsia" w:hAnsi="宋体"/>
                <w:color w:val="000000"/>
                <w:spacing w:val="-10"/>
                <w:sz w:val="21"/>
                <w:szCs w:val="21"/>
              </w:rPr>
              <w:t>Ⅱ类</w:t>
            </w:r>
          </w:p>
        </w:tc>
        <w:tc>
          <w:tcPr>
            <w:tcW w:w="1365" w:type="pct"/>
            <w:tcMar>
              <w:left w:w="28" w:type="dxa"/>
              <w:right w:w="28" w:type="dxa"/>
            </w:tcMar>
            <w:vAlign w:val="center"/>
          </w:tcPr>
          <w:p w14:paraId="436253FC">
            <w:pPr>
              <w:spacing w:line="0" w:lineRule="atLeast"/>
              <w:jc w:val="center"/>
              <w:rPr>
                <w:rFonts w:hint="eastAsia" w:hAnsi="宋体"/>
                <w:color w:val="000000"/>
                <w:spacing w:val="-10"/>
                <w:sz w:val="21"/>
                <w:szCs w:val="21"/>
              </w:rPr>
            </w:pPr>
            <w:r>
              <w:rPr>
                <w:rFonts w:hint="eastAsia" w:hAnsi="宋体"/>
                <w:color w:val="000000"/>
                <w:spacing w:val="-10"/>
                <w:sz w:val="21"/>
                <w:szCs w:val="21"/>
              </w:rPr>
              <w:t>不敏感</w:t>
            </w:r>
          </w:p>
        </w:tc>
        <w:tc>
          <w:tcPr>
            <w:tcW w:w="876" w:type="pct"/>
            <w:tcMar>
              <w:left w:w="28" w:type="dxa"/>
              <w:right w:w="28" w:type="dxa"/>
            </w:tcMar>
            <w:vAlign w:val="center"/>
          </w:tcPr>
          <w:p w14:paraId="2CB9C87E">
            <w:pPr>
              <w:spacing w:line="0" w:lineRule="atLeast"/>
              <w:jc w:val="center"/>
              <w:rPr>
                <w:rFonts w:hint="eastAsia" w:hAnsi="宋体"/>
                <w:color w:val="000000"/>
                <w:spacing w:val="-10"/>
                <w:sz w:val="21"/>
                <w:szCs w:val="21"/>
              </w:rPr>
            </w:pPr>
            <w:r>
              <w:rPr>
                <w:rFonts w:hint="eastAsia" w:hAnsi="宋体"/>
                <w:color w:val="000000"/>
                <w:spacing w:val="-10"/>
                <w:sz w:val="21"/>
                <w:szCs w:val="21"/>
              </w:rPr>
              <w:t>三</w:t>
            </w:r>
          </w:p>
        </w:tc>
      </w:tr>
      <w:tr w14:paraId="723B8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0" w:type="auto"/>
            <w:vAlign w:val="center"/>
          </w:tcPr>
          <w:p w14:paraId="68EAC2A6">
            <w:pPr>
              <w:spacing w:line="0" w:lineRule="atLeast"/>
              <w:jc w:val="center"/>
              <w:rPr>
                <w:rFonts w:hint="eastAsia" w:hAnsi="宋体"/>
                <w:color w:val="000000"/>
                <w:spacing w:val="-10"/>
                <w:sz w:val="21"/>
                <w:szCs w:val="21"/>
              </w:rPr>
            </w:pPr>
            <w:r>
              <w:rPr>
                <w:rFonts w:hint="eastAsia" w:hAnsi="宋体"/>
                <w:color w:val="000000"/>
                <w:spacing w:val="-10"/>
                <w:sz w:val="21"/>
                <w:szCs w:val="21"/>
              </w:rPr>
              <w:t>ZG431-H4至5#集DN150外输管线</w:t>
            </w:r>
          </w:p>
        </w:tc>
        <w:tc>
          <w:tcPr>
            <w:tcW w:w="0" w:type="auto"/>
            <w:vAlign w:val="center"/>
          </w:tcPr>
          <w:p w14:paraId="6A827219">
            <w:pPr>
              <w:spacing w:line="0" w:lineRule="atLeast"/>
              <w:jc w:val="center"/>
              <w:rPr>
                <w:rFonts w:hint="eastAsia" w:hAnsi="宋体"/>
                <w:color w:val="000000"/>
                <w:spacing w:val="-10"/>
                <w:sz w:val="21"/>
                <w:szCs w:val="21"/>
              </w:rPr>
            </w:pPr>
            <w:r>
              <w:rPr>
                <w:rFonts w:hint="eastAsia" w:hAnsi="宋体"/>
                <w:color w:val="000000"/>
                <w:spacing w:val="-10"/>
                <w:sz w:val="21"/>
                <w:szCs w:val="21"/>
              </w:rPr>
              <w:t>Ⅱ类</w:t>
            </w:r>
          </w:p>
        </w:tc>
        <w:tc>
          <w:tcPr>
            <w:tcW w:w="0" w:type="auto"/>
            <w:vAlign w:val="center"/>
          </w:tcPr>
          <w:p w14:paraId="5FD85B3B">
            <w:pPr>
              <w:spacing w:line="0" w:lineRule="atLeast"/>
              <w:jc w:val="center"/>
              <w:rPr>
                <w:rFonts w:hint="eastAsia" w:hAnsi="宋体"/>
                <w:color w:val="000000"/>
                <w:spacing w:val="-10"/>
                <w:sz w:val="21"/>
                <w:szCs w:val="21"/>
              </w:rPr>
            </w:pPr>
            <w:r>
              <w:rPr>
                <w:rFonts w:hint="eastAsia" w:hAnsi="宋体"/>
                <w:color w:val="000000"/>
                <w:spacing w:val="-10"/>
                <w:sz w:val="21"/>
                <w:szCs w:val="21"/>
              </w:rPr>
              <w:t>不敏感</w:t>
            </w:r>
          </w:p>
        </w:tc>
        <w:tc>
          <w:tcPr>
            <w:tcW w:w="0" w:type="auto"/>
            <w:vAlign w:val="center"/>
          </w:tcPr>
          <w:p w14:paraId="6A04CBF5">
            <w:pPr>
              <w:spacing w:line="0" w:lineRule="atLeast"/>
              <w:jc w:val="center"/>
              <w:rPr>
                <w:rFonts w:hint="eastAsia" w:hAnsi="宋体"/>
                <w:color w:val="000000"/>
                <w:spacing w:val="-10"/>
                <w:sz w:val="21"/>
                <w:szCs w:val="21"/>
              </w:rPr>
            </w:pPr>
            <w:r>
              <w:rPr>
                <w:rFonts w:hint="eastAsia" w:hAnsi="宋体"/>
                <w:color w:val="000000"/>
                <w:spacing w:val="-10"/>
                <w:sz w:val="21"/>
                <w:szCs w:val="21"/>
              </w:rPr>
              <w:t>三</w:t>
            </w:r>
          </w:p>
        </w:tc>
      </w:tr>
      <w:tr w14:paraId="7CA112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0" w:type="auto"/>
            <w:vAlign w:val="center"/>
          </w:tcPr>
          <w:p w14:paraId="4D40048B">
            <w:pPr>
              <w:spacing w:line="0" w:lineRule="atLeast"/>
              <w:jc w:val="center"/>
              <w:rPr>
                <w:rFonts w:hint="eastAsia" w:hAnsi="宋体"/>
                <w:color w:val="000000"/>
                <w:spacing w:val="-10"/>
                <w:sz w:val="21"/>
                <w:szCs w:val="21"/>
              </w:rPr>
            </w:pPr>
            <w:r>
              <w:rPr>
                <w:rFonts w:hint="eastAsia" w:hAnsi="宋体"/>
                <w:color w:val="000000"/>
                <w:spacing w:val="-10"/>
                <w:sz w:val="21"/>
                <w:szCs w:val="21"/>
              </w:rPr>
              <w:t>站内管线</w:t>
            </w:r>
          </w:p>
        </w:tc>
        <w:tc>
          <w:tcPr>
            <w:tcW w:w="0" w:type="auto"/>
            <w:vAlign w:val="center"/>
          </w:tcPr>
          <w:p w14:paraId="67FAF725">
            <w:pPr>
              <w:spacing w:line="0" w:lineRule="atLeast"/>
              <w:jc w:val="center"/>
              <w:rPr>
                <w:rFonts w:hint="eastAsia" w:hAnsi="宋体"/>
                <w:color w:val="000000"/>
                <w:spacing w:val="-10"/>
                <w:sz w:val="21"/>
                <w:szCs w:val="21"/>
              </w:rPr>
            </w:pPr>
            <w:r>
              <w:rPr>
                <w:rFonts w:hint="eastAsia" w:hAnsi="宋体"/>
                <w:color w:val="000000"/>
                <w:spacing w:val="-10"/>
                <w:sz w:val="21"/>
                <w:szCs w:val="21"/>
              </w:rPr>
              <w:t>Ⅱ类</w:t>
            </w:r>
          </w:p>
        </w:tc>
        <w:tc>
          <w:tcPr>
            <w:tcW w:w="0" w:type="auto"/>
            <w:vAlign w:val="center"/>
          </w:tcPr>
          <w:p w14:paraId="1D771CE3">
            <w:pPr>
              <w:spacing w:line="0" w:lineRule="atLeast"/>
              <w:jc w:val="center"/>
              <w:rPr>
                <w:rFonts w:hint="eastAsia" w:hAnsi="宋体"/>
                <w:color w:val="000000"/>
                <w:spacing w:val="-10"/>
                <w:sz w:val="21"/>
                <w:szCs w:val="21"/>
              </w:rPr>
            </w:pPr>
            <w:r>
              <w:rPr>
                <w:rFonts w:hint="eastAsia" w:hAnsi="宋体"/>
                <w:color w:val="000000"/>
                <w:spacing w:val="-10"/>
                <w:sz w:val="21"/>
                <w:szCs w:val="21"/>
              </w:rPr>
              <w:t>不敏感</w:t>
            </w:r>
          </w:p>
        </w:tc>
        <w:tc>
          <w:tcPr>
            <w:tcW w:w="0" w:type="auto"/>
            <w:vAlign w:val="center"/>
          </w:tcPr>
          <w:p w14:paraId="756CDCD2">
            <w:pPr>
              <w:spacing w:line="0" w:lineRule="atLeast"/>
              <w:jc w:val="center"/>
              <w:rPr>
                <w:rFonts w:hint="eastAsia" w:hAnsi="宋体"/>
                <w:color w:val="000000"/>
                <w:spacing w:val="-10"/>
                <w:sz w:val="21"/>
                <w:szCs w:val="21"/>
              </w:rPr>
            </w:pPr>
            <w:r>
              <w:rPr>
                <w:rFonts w:hint="eastAsia" w:hAnsi="宋体"/>
                <w:color w:val="000000"/>
                <w:spacing w:val="-10"/>
                <w:sz w:val="21"/>
                <w:szCs w:val="21"/>
              </w:rPr>
              <w:t>三</w:t>
            </w:r>
          </w:p>
        </w:tc>
      </w:tr>
    </w:tbl>
    <w:p w14:paraId="5D751147">
      <w:pPr>
        <w:pStyle w:val="34"/>
        <w:spacing w:before="240" w:line="480" w:lineRule="exact"/>
        <w:ind w:firstLine="526" w:firstLineChars="200"/>
        <w:rPr>
          <w:rFonts w:ascii="宋体" w:hAnsi="宋体" w:cs="宋体"/>
          <w:b w:val="0"/>
          <w:color w:val="000000"/>
        </w:rPr>
      </w:pPr>
      <w:r>
        <w:rPr>
          <w:rFonts w:ascii="宋体" w:hAnsi="宋体" w:cs="宋体"/>
          <w:b w:val="0"/>
          <w:color w:val="000000"/>
        </w:rPr>
        <w:t>由上表可知，拟建工程各管线土壤环境（污染影响型）影响评价工作等级均为三级。</w:t>
      </w:r>
    </w:p>
    <w:p w14:paraId="24579888">
      <w:pPr>
        <w:spacing w:line="463" w:lineRule="exact"/>
        <w:rPr>
          <w:rFonts w:hint="eastAsia" w:hAnsi="宋体"/>
          <w:color w:val="000000"/>
          <w:szCs w:val="24"/>
        </w:rPr>
      </w:pPr>
      <w:r>
        <w:rPr>
          <w:rFonts w:hint="eastAsia" w:hAnsi="宋体"/>
          <w:color w:val="000000"/>
          <w:szCs w:val="24"/>
        </w:rPr>
        <w:t>2.5.4.2 土壤环境影响评价范围</w:t>
      </w:r>
    </w:p>
    <w:p w14:paraId="5F4EE7D7">
      <w:pPr>
        <w:spacing w:line="463" w:lineRule="exact"/>
        <w:ind w:firstLine="506" w:firstLineChars="200"/>
        <w:rPr>
          <w:rFonts w:hint="eastAsia" w:hAnsi="宋体"/>
          <w:color w:val="000000"/>
          <w:spacing w:val="0"/>
          <w:szCs w:val="24"/>
        </w:rPr>
      </w:pPr>
      <w:r>
        <w:rPr>
          <w:rFonts w:hint="eastAsia" w:hAnsi="宋体"/>
          <w:color w:val="000000"/>
          <w:spacing w:val="0"/>
          <w:szCs w:val="24"/>
        </w:rPr>
        <w:t>根据《环境影响评价技术导则 土壤环境（试行）》（HJ964-2018），项目</w:t>
      </w:r>
      <w:r>
        <w:rPr>
          <w:rFonts w:hint="eastAsia" w:hAnsi="宋体"/>
          <w:color w:val="000000"/>
          <w:spacing w:val="0"/>
        </w:rPr>
        <w:t>土壤环境</w:t>
      </w:r>
      <w:r>
        <w:rPr>
          <w:rFonts w:hint="eastAsia" w:hAnsi="宋体" w:cs="宋体"/>
          <w:color w:val="000000"/>
          <w:spacing w:val="0"/>
        </w:rPr>
        <w:t>（污染影响型）</w:t>
      </w:r>
      <w:r>
        <w:rPr>
          <w:rFonts w:hint="eastAsia" w:hAnsi="宋体"/>
          <w:color w:val="000000"/>
          <w:spacing w:val="0"/>
        </w:rPr>
        <w:t>影响评价</w:t>
      </w:r>
      <w:r>
        <w:rPr>
          <w:rFonts w:hint="eastAsia" w:hAnsi="宋体"/>
          <w:color w:val="000000"/>
          <w:spacing w:val="0"/>
          <w:szCs w:val="24"/>
        </w:rPr>
        <w:t>范围为各管线边界两侧向外延200范围。</w:t>
      </w:r>
    </w:p>
    <w:p w14:paraId="38819C3F">
      <w:pPr>
        <w:spacing w:line="463" w:lineRule="exact"/>
        <w:outlineLvl w:val="2"/>
        <w:rPr>
          <w:rFonts w:hint="eastAsia" w:hAnsi="宋体"/>
          <w:color w:val="000000"/>
          <w:szCs w:val="24"/>
        </w:rPr>
      </w:pPr>
      <w:r>
        <w:rPr>
          <w:rFonts w:hint="eastAsia" w:hAnsi="宋体"/>
          <w:color w:val="000000"/>
          <w:szCs w:val="24"/>
        </w:rPr>
        <w:t>2.5.5 大气环境影响评价等级和评价范围</w:t>
      </w:r>
    </w:p>
    <w:p w14:paraId="206D14ED">
      <w:pPr>
        <w:spacing w:line="460" w:lineRule="exact"/>
        <w:ind w:firstLine="526" w:firstLineChars="200"/>
        <w:rPr>
          <w:rFonts w:hAnsi="宋体" w:cs="宋体"/>
          <w:snapToGrid w:val="0"/>
          <w:color w:val="000000"/>
          <w:kern w:val="0"/>
          <w:szCs w:val="24"/>
        </w:rPr>
      </w:pPr>
      <w:r>
        <w:rPr>
          <w:rFonts w:hint="eastAsia" w:hAnsi="宋体"/>
          <w:color w:val="000000"/>
        </w:rPr>
        <w:t>拟建工程</w:t>
      </w:r>
      <w:r>
        <w:rPr>
          <w:rFonts w:hint="eastAsia"/>
          <w:color w:val="000000"/>
        </w:rPr>
        <w:t>运营期无废气产生，不再进行等级判定</w:t>
      </w:r>
      <w:r>
        <w:rPr>
          <w:rFonts w:hint="eastAsia" w:hAnsi="宋体"/>
          <w:color w:val="000000"/>
          <w:szCs w:val="24"/>
        </w:rPr>
        <w:t>。</w:t>
      </w:r>
    </w:p>
    <w:p w14:paraId="538F5CD6">
      <w:pPr>
        <w:spacing w:line="470" w:lineRule="exact"/>
        <w:outlineLvl w:val="2"/>
        <w:rPr>
          <w:rFonts w:hint="eastAsia" w:hAnsi="宋体"/>
          <w:color w:val="000000"/>
          <w:szCs w:val="24"/>
        </w:rPr>
      </w:pPr>
      <w:r>
        <w:rPr>
          <w:rFonts w:hint="eastAsia" w:hAnsi="宋体"/>
          <w:color w:val="000000"/>
          <w:szCs w:val="24"/>
        </w:rPr>
        <w:t>2.5.6 声环境影响评价等级和评价范围</w:t>
      </w:r>
    </w:p>
    <w:p w14:paraId="54A6DFB3">
      <w:pPr>
        <w:spacing w:line="500" w:lineRule="exact"/>
        <w:ind w:firstLine="526" w:firstLineChars="200"/>
        <w:rPr>
          <w:rFonts w:hAnsi="宋体" w:cs="宋体"/>
          <w:snapToGrid w:val="0"/>
          <w:color w:val="000000"/>
          <w:spacing w:val="0"/>
          <w:kern w:val="0"/>
          <w:szCs w:val="24"/>
        </w:rPr>
      </w:pPr>
      <w:r>
        <w:rPr>
          <w:rFonts w:hint="eastAsia" w:hAnsi="宋体"/>
          <w:color w:val="000000"/>
        </w:rPr>
        <w:t>拟建工程</w:t>
      </w:r>
      <w:r>
        <w:rPr>
          <w:rFonts w:hint="eastAsia"/>
          <w:color w:val="000000"/>
        </w:rPr>
        <w:t>运营期无噪声产生，不再进行等级判定</w:t>
      </w:r>
      <w:r>
        <w:rPr>
          <w:rFonts w:hint="eastAsia" w:hAnsi="宋体" w:cs="宋体"/>
          <w:color w:val="000000"/>
          <w:spacing w:val="0"/>
          <w:szCs w:val="24"/>
          <w:lang w:val="zh-CN"/>
        </w:rPr>
        <w:t>。</w:t>
      </w:r>
    </w:p>
    <w:bookmarkEnd w:id="61"/>
    <w:p w14:paraId="7E95725D">
      <w:pPr>
        <w:spacing w:line="500" w:lineRule="exact"/>
        <w:outlineLvl w:val="2"/>
        <w:rPr>
          <w:rFonts w:hint="eastAsia" w:hAnsi="宋体"/>
          <w:color w:val="000000"/>
          <w:szCs w:val="24"/>
        </w:rPr>
      </w:pPr>
      <w:r>
        <w:rPr>
          <w:rFonts w:hint="eastAsia" w:hAnsi="宋体"/>
          <w:color w:val="000000"/>
          <w:szCs w:val="24"/>
        </w:rPr>
        <w:t>2.5.7 环境风险评价等级和评价范围</w:t>
      </w:r>
    </w:p>
    <w:p w14:paraId="16AFAD8D">
      <w:pPr>
        <w:pStyle w:val="13"/>
        <w:adjustRightInd w:val="0"/>
        <w:spacing w:after="0" w:line="500" w:lineRule="exact"/>
        <w:rPr>
          <w:rFonts w:hint="eastAsia" w:hAnsi="宋体" w:eastAsia="宋体"/>
          <w:color w:val="000000"/>
          <w:sz w:val="24"/>
          <w:szCs w:val="24"/>
        </w:rPr>
      </w:pPr>
      <w:r>
        <w:rPr>
          <w:rFonts w:hint="eastAsia" w:hAnsi="宋体" w:eastAsia="宋体"/>
          <w:color w:val="000000"/>
          <w:sz w:val="24"/>
          <w:szCs w:val="24"/>
        </w:rPr>
        <w:t>2.5.7.1 环境风险评价等级</w:t>
      </w:r>
    </w:p>
    <w:p w14:paraId="1F998CEF">
      <w:pPr>
        <w:spacing w:line="500" w:lineRule="exact"/>
        <w:ind w:firstLine="526" w:firstLineChars="200"/>
        <w:rPr>
          <w:rFonts w:hAnsi="宋体"/>
          <w:color w:val="000000"/>
          <w:szCs w:val="24"/>
        </w:rPr>
      </w:pPr>
      <w:r>
        <w:rPr>
          <w:rFonts w:hint="eastAsia" w:hAnsi="宋体"/>
          <w:color w:val="000000"/>
          <w:szCs w:val="24"/>
        </w:rPr>
        <w:t>（1）危险物质及工艺系统危险性（P）的分级确定</w:t>
      </w:r>
    </w:p>
    <w:p w14:paraId="413E33D1">
      <w:pPr>
        <w:spacing w:line="500" w:lineRule="exact"/>
        <w:ind w:firstLine="526" w:firstLineChars="200"/>
        <w:rPr>
          <w:rFonts w:hAnsi="宋体"/>
          <w:color w:val="000000"/>
          <w:szCs w:val="24"/>
        </w:rPr>
      </w:pPr>
      <w:r>
        <w:rPr>
          <w:rFonts w:hint="eastAsia" w:hAnsi="宋体"/>
          <w:color w:val="000000"/>
          <w:szCs w:val="24"/>
        </w:rPr>
        <w:t>拟建工程在生产、使用、储存过程中涉及有毒有害、易燃易爆物质，参照《建设项目环境风险评价技术导则》（HJ169-2018）附录B确定危险物质的临界量。定量分析危险物质数量与临界量的比值（Q）和所属行业及生产工艺特点（M），按附录C对危险物质及工艺系统危险性（P）等级进行判断。</w:t>
      </w:r>
    </w:p>
    <w:p w14:paraId="05021CF8">
      <w:pPr>
        <w:spacing w:line="500" w:lineRule="exact"/>
        <w:ind w:firstLine="526" w:firstLineChars="200"/>
        <w:rPr>
          <w:rFonts w:hAnsi="宋体"/>
          <w:color w:val="000000"/>
          <w:szCs w:val="24"/>
        </w:rPr>
      </w:pPr>
      <w:r>
        <w:rPr>
          <w:rFonts w:hint="eastAsia" w:hAnsi="宋体"/>
          <w:color w:val="000000"/>
          <w:szCs w:val="24"/>
        </w:rPr>
        <w:t xml:space="preserve">拟建工程存在多种危险物质，则按式（1-1）计算物质总质量与其临界量比值（Q）：  </w:t>
      </w:r>
    </w:p>
    <w:p w14:paraId="09F657D2">
      <w:pPr>
        <w:spacing w:line="480" w:lineRule="exact"/>
        <w:ind w:firstLine="526" w:firstLineChars="200"/>
        <w:jc w:val="center"/>
        <w:rPr>
          <w:rFonts w:hint="eastAsia" w:hAnsi="宋体"/>
          <w:color w:val="000000"/>
          <w:szCs w:val="24"/>
        </w:rPr>
      </w:pPr>
      <w:r>
        <w:rPr>
          <w:rFonts w:hint="eastAsia" w:hAnsi="宋体"/>
          <w:color w:val="000000"/>
          <w:szCs w:val="24"/>
        </w:rPr>
        <w:pict>
          <v:shape id="图片 14438" o:spid="_x0000_s1026" o:spt="75" type="#_x0000_t75" style="position:absolute;left:0pt;margin-left:261.1pt;margin-top:-6.1pt;height:34.5pt;width:20pt;z-index:251664384;mso-width-relative:page;mso-height-relative:page;" filled="f" o:preferrelative="t" stroked="f" coordsize="21600,21600">
            <v:path/>
            <v:fill on="f" focussize="0,0"/>
            <v:stroke on="f"/>
            <v:imagedata r:id="rId13" croptop="-8112f" o:title=""/>
            <o:lock v:ext="edit" aspectratio="t"/>
          </v:shape>
        </w:pict>
      </w:r>
      <w:r>
        <w:rPr>
          <w:rFonts w:hint="eastAsia" w:hAnsi="宋体"/>
          <w:color w:val="000000"/>
          <w:szCs w:val="24"/>
        </w:rPr>
        <w:pict>
          <v:shape id="图片 14437" o:spid="_x0000_s1027" o:spt="75" type="#_x0000_t75" style="position:absolute;left:0pt;margin-left:189.95pt;margin-top:-3.9pt;height:30.7pt;width:18.8pt;z-index:251663360;mso-width-relative:page;mso-height-relative:page;" filled="f" o:preferrelative="t" stroked="f" coordsize="21600,21600">
            <v:path/>
            <v:fill on="f" focussize="0,0"/>
            <v:stroke on="f"/>
            <v:imagedata r:id="rId14" o:title=""/>
            <o:lock v:ext="edit" aspectratio="t"/>
          </v:shape>
        </w:pict>
      </w:r>
      <w:r>
        <w:rPr>
          <w:rFonts w:hint="eastAsia" w:hAnsi="宋体"/>
          <w:color w:val="000000"/>
          <w:szCs w:val="24"/>
        </w:rPr>
        <w:pict>
          <v:shape id="图片 14436" o:spid="_x0000_s1028" o:spt="75" type="#_x0000_t75" style="position:absolute;left:0pt;margin-left:143.15pt;margin-top:-2.35pt;height:30.7pt;width:20.05pt;z-index:251662336;mso-width-relative:page;mso-height-relative:page;" filled="f" o:preferrelative="t" stroked="f" coordsize="21600,21600">
            <v:path/>
            <v:fill on="f" focussize="0,0"/>
            <v:stroke on="f"/>
            <v:imagedata r:id="rId15" o:title=""/>
            <o:lock v:ext="edit" aspectratio="t"/>
          </v:shape>
        </w:pict>
      </w:r>
      <w:r>
        <w:rPr>
          <w:rFonts w:hint="eastAsia" w:hAnsi="宋体"/>
          <w:color w:val="000000"/>
          <w:szCs w:val="24"/>
        </w:rPr>
        <w:t>Q=     +       +  …    （式1-1）</w:t>
      </w:r>
    </w:p>
    <w:p w14:paraId="7FD5BAE3">
      <w:pPr>
        <w:spacing w:before="240" w:line="500" w:lineRule="exact"/>
        <w:ind w:firstLine="526" w:firstLineChars="200"/>
        <w:rPr>
          <w:rFonts w:hAnsi="宋体"/>
          <w:color w:val="000000"/>
          <w:szCs w:val="24"/>
        </w:rPr>
      </w:pPr>
      <w:r>
        <w:rPr>
          <w:rFonts w:hint="eastAsia" w:hAnsi="宋体"/>
          <w:color w:val="000000"/>
          <w:szCs w:val="24"/>
        </w:rPr>
        <w:t>式中：q</w:t>
      </w:r>
      <w:r>
        <w:rPr>
          <w:rFonts w:hint="eastAsia" w:hAnsi="宋体"/>
          <w:color w:val="000000"/>
          <w:szCs w:val="24"/>
          <w:vertAlign w:val="subscript"/>
        </w:rPr>
        <w:t>1</w:t>
      </w:r>
      <w:r>
        <w:rPr>
          <w:rFonts w:hint="eastAsia" w:hAnsi="宋体"/>
          <w:color w:val="000000"/>
          <w:szCs w:val="24"/>
        </w:rPr>
        <w:t>，q</w:t>
      </w:r>
      <w:r>
        <w:rPr>
          <w:rFonts w:hint="eastAsia" w:hAnsi="宋体"/>
          <w:color w:val="000000"/>
          <w:szCs w:val="24"/>
          <w:vertAlign w:val="subscript"/>
        </w:rPr>
        <w:t>2</w:t>
      </w:r>
      <w:r>
        <w:rPr>
          <w:rFonts w:hint="eastAsia" w:hAnsi="宋体"/>
          <w:color w:val="000000"/>
          <w:szCs w:val="24"/>
        </w:rPr>
        <w:t>…q</w:t>
      </w:r>
      <w:r>
        <w:rPr>
          <w:rFonts w:hint="eastAsia" w:hAnsi="宋体"/>
          <w:color w:val="000000"/>
          <w:szCs w:val="24"/>
          <w:vertAlign w:val="subscript"/>
        </w:rPr>
        <w:t>n</w:t>
      </w:r>
      <w:r>
        <w:rPr>
          <w:rFonts w:hint="eastAsia" w:hAnsi="宋体"/>
          <w:color w:val="000000"/>
          <w:szCs w:val="24"/>
        </w:rPr>
        <w:t xml:space="preserve"> 每种危险物质的最大存在总量，t；</w:t>
      </w:r>
    </w:p>
    <w:p w14:paraId="452E8BF4">
      <w:pPr>
        <w:spacing w:line="500" w:lineRule="exact"/>
        <w:rPr>
          <w:rFonts w:hAnsi="宋体"/>
          <w:color w:val="000000"/>
          <w:szCs w:val="24"/>
        </w:rPr>
      </w:pPr>
      <w:r>
        <w:rPr>
          <w:rFonts w:hint="eastAsia" w:hAnsi="宋体"/>
          <w:color w:val="000000"/>
          <w:szCs w:val="24"/>
        </w:rPr>
        <w:t xml:space="preserve">         Q</w:t>
      </w:r>
      <w:r>
        <w:rPr>
          <w:rFonts w:hint="eastAsia" w:hAnsi="宋体"/>
          <w:color w:val="000000"/>
          <w:szCs w:val="24"/>
          <w:vertAlign w:val="subscript"/>
        </w:rPr>
        <w:t>1</w:t>
      </w:r>
      <w:r>
        <w:rPr>
          <w:rFonts w:hint="eastAsia" w:hAnsi="宋体"/>
          <w:color w:val="000000"/>
          <w:szCs w:val="24"/>
        </w:rPr>
        <w:t>，Q</w:t>
      </w:r>
      <w:r>
        <w:rPr>
          <w:rFonts w:hint="eastAsia" w:hAnsi="宋体"/>
          <w:color w:val="000000"/>
          <w:szCs w:val="24"/>
          <w:vertAlign w:val="subscript"/>
        </w:rPr>
        <w:t>2</w:t>
      </w:r>
      <w:r>
        <w:rPr>
          <w:rFonts w:hint="eastAsia" w:hAnsi="宋体"/>
          <w:color w:val="000000"/>
          <w:szCs w:val="24"/>
        </w:rPr>
        <w:t>…Q</w:t>
      </w:r>
      <w:r>
        <w:rPr>
          <w:rFonts w:hint="eastAsia" w:hAnsi="宋体"/>
          <w:color w:val="000000"/>
          <w:szCs w:val="24"/>
          <w:vertAlign w:val="subscript"/>
        </w:rPr>
        <w:t>n</w:t>
      </w:r>
      <w:r>
        <w:rPr>
          <w:rFonts w:hint="eastAsia" w:hAnsi="宋体"/>
          <w:color w:val="000000"/>
          <w:szCs w:val="24"/>
        </w:rPr>
        <w:t xml:space="preserve"> 每种危险物质的临界量，t。</w:t>
      </w:r>
    </w:p>
    <w:p w14:paraId="753793F8">
      <w:pPr>
        <w:spacing w:line="500" w:lineRule="exact"/>
        <w:ind w:firstLine="526" w:firstLineChars="200"/>
        <w:rPr>
          <w:rFonts w:hAnsi="宋体"/>
          <w:color w:val="000000"/>
          <w:szCs w:val="24"/>
        </w:rPr>
      </w:pPr>
      <w:r>
        <w:rPr>
          <w:rFonts w:hint="eastAsia" w:hAnsi="宋体"/>
          <w:color w:val="000000"/>
          <w:szCs w:val="24"/>
        </w:rPr>
        <w:t>当Q＜1 时，该项目环境风险潜势为Ⅰ；</w:t>
      </w:r>
    </w:p>
    <w:p w14:paraId="3E47562A">
      <w:pPr>
        <w:spacing w:line="500" w:lineRule="exact"/>
        <w:ind w:firstLine="526" w:firstLineChars="200"/>
        <w:rPr>
          <w:rFonts w:hAnsi="宋体"/>
          <w:color w:val="000000"/>
          <w:szCs w:val="24"/>
        </w:rPr>
      </w:pPr>
      <w:r>
        <w:rPr>
          <w:rFonts w:hint="eastAsia" w:hAnsi="宋体"/>
          <w:color w:val="000000"/>
          <w:szCs w:val="24"/>
        </w:rPr>
        <w:t>当Q≥1时，将Q值划分为：（1）1≤Q＜10；（2）10≤Q＜100；（3）Q≥100。</w:t>
      </w:r>
    </w:p>
    <w:p w14:paraId="54E4FA4E">
      <w:pPr>
        <w:spacing w:line="500" w:lineRule="exact"/>
        <w:ind w:firstLine="526" w:firstLineChars="200"/>
        <w:rPr>
          <w:rFonts w:hAnsi="宋体"/>
          <w:color w:val="000000"/>
          <w:szCs w:val="24"/>
        </w:rPr>
      </w:pPr>
      <w:r>
        <w:rPr>
          <w:rFonts w:hint="eastAsia" w:hAnsi="宋体"/>
          <w:color w:val="000000"/>
          <w:szCs w:val="24"/>
        </w:rPr>
        <w:t>拟建工程涉及的各危险物质在厂界内的最大存在总量与其在环境风险评价导则HJ169-2018附录B中对应的临界量的比值Q计算结果见表2.5-8。</w:t>
      </w:r>
    </w:p>
    <w:p w14:paraId="6DACB822">
      <w:pPr>
        <w:spacing w:line="480" w:lineRule="exact"/>
        <w:ind w:firstLine="526" w:firstLineChars="200"/>
        <w:rPr>
          <w:rFonts w:ascii="黑体" w:hAnsi="宋体" w:eastAsia="黑体" w:cs="仿宋"/>
          <w:color w:val="000000"/>
          <w:szCs w:val="24"/>
        </w:rPr>
      </w:pPr>
      <w:r>
        <w:rPr>
          <w:rFonts w:hint="eastAsia" w:ascii="黑体" w:hAnsi="宋体" w:eastAsia="黑体"/>
          <w:color w:val="000000"/>
          <w:szCs w:val="24"/>
        </w:rPr>
        <w:t>表2.5-8             建设项目Q值确定表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48"/>
        <w:gridCol w:w="668"/>
        <w:gridCol w:w="1364"/>
        <w:gridCol w:w="1306"/>
        <w:gridCol w:w="1833"/>
        <w:gridCol w:w="1233"/>
        <w:gridCol w:w="1763"/>
      </w:tblGrid>
      <w:tr w14:paraId="3B2A7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48" w:type="dxa"/>
            <w:noWrap/>
            <w:tcMar>
              <w:left w:w="28" w:type="dxa"/>
              <w:right w:w="28" w:type="dxa"/>
            </w:tcMar>
            <w:vAlign w:val="center"/>
          </w:tcPr>
          <w:p w14:paraId="257D286C">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风险源</w:t>
            </w:r>
          </w:p>
        </w:tc>
        <w:tc>
          <w:tcPr>
            <w:tcW w:w="668" w:type="dxa"/>
            <w:noWrap/>
            <w:tcMar>
              <w:left w:w="28" w:type="dxa"/>
              <w:right w:w="28" w:type="dxa"/>
            </w:tcMar>
            <w:vAlign w:val="center"/>
          </w:tcPr>
          <w:p w14:paraId="3DFE9013">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序号</w:t>
            </w:r>
          </w:p>
        </w:tc>
        <w:tc>
          <w:tcPr>
            <w:tcW w:w="1364" w:type="dxa"/>
            <w:noWrap/>
            <w:tcMar>
              <w:left w:w="28" w:type="dxa"/>
              <w:right w:w="28" w:type="dxa"/>
            </w:tcMar>
            <w:vAlign w:val="center"/>
          </w:tcPr>
          <w:p w14:paraId="7A531163">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危险物质名称</w:t>
            </w:r>
          </w:p>
        </w:tc>
        <w:tc>
          <w:tcPr>
            <w:tcW w:w="1306" w:type="dxa"/>
            <w:noWrap/>
            <w:tcMar>
              <w:left w:w="28" w:type="dxa"/>
              <w:right w:w="28" w:type="dxa"/>
            </w:tcMar>
            <w:vAlign w:val="center"/>
          </w:tcPr>
          <w:p w14:paraId="7EFC48E1">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CAS号</w:t>
            </w:r>
          </w:p>
        </w:tc>
        <w:tc>
          <w:tcPr>
            <w:tcW w:w="1833" w:type="dxa"/>
            <w:noWrap/>
            <w:tcMar>
              <w:left w:w="28" w:type="dxa"/>
              <w:right w:w="28" w:type="dxa"/>
            </w:tcMar>
            <w:vAlign w:val="center"/>
          </w:tcPr>
          <w:p w14:paraId="7B4D3B6C">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最大存在总量q</w:t>
            </w:r>
            <w:r>
              <w:rPr>
                <w:rFonts w:hint="eastAsia" w:hAnsi="宋体" w:cs="宋体"/>
                <w:color w:val="000000"/>
                <w:spacing w:val="-10"/>
                <w:sz w:val="21"/>
                <w:szCs w:val="21"/>
                <w:vertAlign w:val="subscript"/>
                <w:lang w:val="zh-CN"/>
              </w:rPr>
              <w:t>n</w:t>
            </w:r>
            <w:r>
              <w:rPr>
                <w:rFonts w:hint="eastAsia" w:hAnsi="宋体" w:cs="宋体"/>
                <w:color w:val="000000"/>
                <w:spacing w:val="-10"/>
                <w:sz w:val="21"/>
                <w:szCs w:val="21"/>
                <w:lang w:val="zh-CN"/>
              </w:rPr>
              <w:t>/t</w:t>
            </w:r>
          </w:p>
        </w:tc>
        <w:tc>
          <w:tcPr>
            <w:tcW w:w="1233" w:type="dxa"/>
            <w:noWrap/>
            <w:tcMar>
              <w:left w:w="28" w:type="dxa"/>
              <w:right w:w="28" w:type="dxa"/>
            </w:tcMar>
            <w:vAlign w:val="center"/>
          </w:tcPr>
          <w:p w14:paraId="40AE6394">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临界量Q</w:t>
            </w:r>
            <w:r>
              <w:rPr>
                <w:rFonts w:hint="eastAsia" w:hAnsi="宋体" w:cs="宋体"/>
                <w:color w:val="000000"/>
                <w:spacing w:val="-10"/>
                <w:sz w:val="21"/>
                <w:szCs w:val="21"/>
                <w:vertAlign w:val="subscript"/>
                <w:lang w:val="zh-CN"/>
              </w:rPr>
              <w:t>n</w:t>
            </w:r>
            <w:r>
              <w:rPr>
                <w:rFonts w:hint="eastAsia" w:hAnsi="宋体" w:cs="宋体"/>
                <w:color w:val="000000"/>
                <w:spacing w:val="-10"/>
                <w:sz w:val="21"/>
                <w:szCs w:val="21"/>
                <w:lang w:val="zh-CN"/>
              </w:rPr>
              <w:t>/t</w:t>
            </w:r>
          </w:p>
        </w:tc>
        <w:tc>
          <w:tcPr>
            <w:tcW w:w="1763" w:type="dxa"/>
            <w:noWrap/>
            <w:tcMar>
              <w:left w:w="28" w:type="dxa"/>
              <w:right w:w="28" w:type="dxa"/>
            </w:tcMar>
            <w:vAlign w:val="center"/>
          </w:tcPr>
          <w:p w14:paraId="18FBA78D">
            <w:pPr>
              <w:autoSpaceDE w:val="0"/>
              <w:autoSpaceDN w:val="0"/>
              <w:spacing w:line="0" w:lineRule="atLeast"/>
              <w:jc w:val="center"/>
              <w:rPr>
                <w:rFonts w:hAnsi="宋体" w:cs="宋体"/>
                <w:color w:val="000000"/>
                <w:spacing w:val="-10"/>
                <w:sz w:val="21"/>
                <w:szCs w:val="21"/>
                <w:lang w:val="zh-CN"/>
              </w:rPr>
            </w:pPr>
            <w:r>
              <w:rPr>
                <w:rFonts w:hint="eastAsia" w:hAnsi="宋体" w:cs="宋体"/>
                <w:color w:val="000000"/>
                <w:spacing w:val="-10"/>
                <w:sz w:val="21"/>
                <w:szCs w:val="21"/>
                <w:lang w:val="zh-CN"/>
              </w:rPr>
              <w:t>该种危险物质Q值</w:t>
            </w:r>
          </w:p>
        </w:tc>
      </w:tr>
      <w:tr w14:paraId="4AC62C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48" w:type="dxa"/>
            <w:vMerge w:val="restart"/>
            <w:noWrap/>
            <w:tcMar>
              <w:left w:w="28" w:type="dxa"/>
              <w:right w:w="28" w:type="dxa"/>
            </w:tcMar>
            <w:vAlign w:val="center"/>
          </w:tcPr>
          <w:p w14:paraId="2E81F332">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集输</w:t>
            </w:r>
          </w:p>
          <w:p w14:paraId="4BF92828">
            <w:pPr>
              <w:spacing w:line="0" w:lineRule="atLeast"/>
              <w:jc w:val="center"/>
              <w:textAlignment w:val="center"/>
              <w:rPr>
                <w:rFonts w:hAnsi="宋体" w:cs="宋体"/>
                <w:color w:val="000000"/>
                <w:spacing w:val="-10"/>
                <w:kern w:val="0"/>
                <w:sz w:val="21"/>
                <w:szCs w:val="21"/>
                <w:lang w:bidi="ar"/>
              </w:rPr>
            </w:pPr>
            <w:r>
              <w:rPr>
                <w:rFonts w:hint="eastAsia" w:hAnsi="宋体" w:cs="宋体"/>
                <w:color w:val="000000"/>
                <w:spacing w:val="-10"/>
                <w:kern w:val="0"/>
                <w:sz w:val="21"/>
                <w:szCs w:val="21"/>
                <w:lang w:bidi="ar"/>
              </w:rPr>
              <w:t>管线</w:t>
            </w:r>
          </w:p>
        </w:tc>
        <w:tc>
          <w:tcPr>
            <w:tcW w:w="668" w:type="dxa"/>
            <w:noWrap/>
            <w:tcMar>
              <w:left w:w="28" w:type="dxa"/>
              <w:right w:w="28" w:type="dxa"/>
            </w:tcMar>
            <w:vAlign w:val="center"/>
          </w:tcPr>
          <w:p w14:paraId="5BE9DFB7">
            <w:pPr>
              <w:spacing w:line="0" w:lineRule="atLeast"/>
              <w:jc w:val="center"/>
              <w:textAlignment w:val="center"/>
              <w:rPr>
                <w:rFonts w:hAnsi="宋体" w:cs="宋体"/>
                <w:color w:val="000000"/>
                <w:spacing w:val="-10"/>
                <w:kern w:val="0"/>
                <w:sz w:val="21"/>
                <w:szCs w:val="21"/>
                <w:lang w:bidi="ar"/>
              </w:rPr>
            </w:pPr>
            <w:r>
              <w:rPr>
                <w:rFonts w:hint="eastAsia" w:hAnsi="宋体" w:cs="宋体"/>
                <w:color w:val="000000"/>
                <w:spacing w:val="-10"/>
                <w:kern w:val="0"/>
                <w:sz w:val="21"/>
                <w:szCs w:val="21"/>
                <w:lang w:bidi="ar"/>
              </w:rPr>
              <w:t>1</w:t>
            </w:r>
          </w:p>
        </w:tc>
        <w:tc>
          <w:tcPr>
            <w:tcW w:w="1364" w:type="dxa"/>
            <w:noWrap/>
            <w:tcMar>
              <w:left w:w="28" w:type="dxa"/>
              <w:right w:w="28" w:type="dxa"/>
            </w:tcMar>
            <w:vAlign w:val="center"/>
          </w:tcPr>
          <w:p w14:paraId="651E7979">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凝析油</w:t>
            </w:r>
          </w:p>
        </w:tc>
        <w:tc>
          <w:tcPr>
            <w:tcW w:w="1306" w:type="dxa"/>
            <w:noWrap/>
            <w:tcMar>
              <w:left w:w="28" w:type="dxa"/>
              <w:right w:w="28" w:type="dxa"/>
            </w:tcMar>
            <w:vAlign w:val="center"/>
          </w:tcPr>
          <w:p w14:paraId="0468CB07">
            <w:pPr>
              <w:autoSpaceDE w:val="0"/>
              <w:autoSpaceDN w:val="0"/>
              <w:spacing w:line="0" w:lineRule="atLeast"/>
              <w:jc w:val="center"/>
              <w:rPr>
                <w:rFonts w:hint="eastAsia" w:hAnsi="宋体" w:cs="宋体"/>
                <w:color w:val="000000"/>
                <w:spacing w:val="-10"/>
                <w:kern w:val="0"/>
                <w:sz w:val="21"/>
                <w:szCs w:val="21"/>
                <w:lang w:bidi="ar"/>
              </w:rPr>
            </w:pPr>
            <w:r>
              <w:rPr>
                <w:rFonts w:hint="eastAsia" w:hAnsi="宋体" w:cs="宋体"/>
                <w:color w:val="000000"/>
                <w:spacing w:val="-10"/>
                <w:sz w:val="21"/>
                <w:szCs w:val="21"/>
                <w:lang w:val="zh-CN"/>
              </w:rPr>
              <w:t>—</w:t>
            </w:r>
          </w:p>
        </w:tc>
        <w:tc>
          <w:tcPr>
            <w:tcW w:w="1833" w:type="dxa"/>
            <w:noWrap/>
            <w:tcMar>
              <w:left w:w="28" w:type="dxa"/>
              <w:right w:w="28" w:type="dxa"/>
            </w:tcMar>
            <w:vAlign w:val="center"/>
          </w:tcPr>
          <w:p w14:paraId="4203F1AB">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25.3</w:t>
            </w:r>
          </w:p>
        </w:tc>
        <w:tc>
          <w:tcPr>
            <w:tcW w:w="1233" w:type="dxa"/>
            <w:noWrap/>
            <w:tcMar>
              <w:left w:w="28" w:type="dxa"/>
              <w:right w:w="28" w:type="dxa"/>
            </w:tcMar>
            <w:vAlign w:val="center"/>
          </w:tcPr>
          <w:p w14:paraId="50BE933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2500</w:t>
            </w:r>
          </w:p>
        </w:tc>
        <w:tc>
          <w:tcPr>
            <w:tcW w:w="1763" w:type="dxa"/>
            <w:noWrap/>
            <w:tcMar>
              <w:left w:w="28" w:type="dxa"/>
              <w:right w:w="28" w:type="dxa"/>
            </w:tcMar>
            <w:vAlign w:val="center"/>
          </w:tcPr>
          <w:p w14:paraId="0F8E19E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0.01</w:t>
            </w:r>
          </w:p>
        </w:tc>
      </w:tr>
      <w:tr w14:paraId="25E46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48" w:type="dxa"/>
            <w:vMerge w:val="continue"/>
            <w:noWrap/>
            <w:tcMar>
              <w:left w:w="28" w:type="dxa"/>
              <w:right w:w="28" w:type="dxa"/>
            </w:tcMar>
            <w:vAlign w:val="center"/>
          </w:tcPr>
          <w:p w14:paraId="6DF7961A">
            <w:pPr>
              <w:spacing w:line="0" w:lineRule="atLeast"/>
              <w:jc w:val="center"/>
              <w:textAlignment w:val="center"/>
              <w:rPr>
                <w:rFonts w:hAnsi="宋体" w:cs="宋体"/>
                <w:color w:val="000000"/>
                <w:spacing w:val="-10"/>
                <w:kern w:val="0"/>
                <w:sz w:val="21"/>
                <w:szCs w:val="21"/>
                <w:lang w:bidi="ar"/>
              </w:rPr>
            </w:pPr>
          </w:p>
        </w:tc>
        <w:tc>
          <w:tcPr>
            <w:tcW w:w="668" w:type="dxa"/>
            <w:noWrap/>
            <w:tcMar>
              <w:left w:w="28" w:type="dxa"/>
              <w:right w:w="28" w:type="dxa"/>
            </w:tcMar>
            <w:vAlign w:val="center"/>
          </w:tcPr>
          <w:p w14:paraId="1E90AB2E">
            <w:pPr>
              <w:spacing w:line="0" w:lineRule="atLeast"/>
              <w:jc w:val="center"/>
              <w:textAlignment w:val="center"/>
              <w:rPr>
                <w:rFonts w:hAnsi="宋体" w:cs="宋体"/>
                <w:color w:val="000000"/>
                <w:spacing w:val="-10"/>
                <w:kern w:val="0"/>
                <w:sz w:val="21"/>
                <w:szCs w:val="21"/>
                <w:lang w:bidi="ar"/>
              </w:rPr>
            </w:pPr>
            <w:r>
              <w:rPr>
                <w:rFonts w:hint="eastAsia" w:hAnsi="宋体" w:cs="宋体"/>
                <w:color w:val="000000"/>
                <w:spacing w:val="-10"/>
                <w:kern w:val="0"/>
                <w:sz w:val="21"/>
                <w:szCs w:val="21"/>
                <w:lang w:bidi="ar"/>
              </w:rPr>
              <w:t>2</w:t>
            </w:r>
          </w:p>
        </w:tc>
        <w:tc>
          <w:tcPr>
            <w:tcW w:w="1364" w:type="dxa"/>
            <w:noWrap/>
            <w:tcMar>
              <w:left w:w="28" w:type="dxa"/>
              <w:right w:w="28" w:type="dxa"/>
            </w:tcMar>
            <w:vAlign w:val="center"/>
          </w:tcPr>
          <w:p w14:paraId="0E6357C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天然气</w:t>
            </w:r>
          </w:p>
        </w:tc>
        <w:tc>
          <w:tcPr>
            <w:tcW w:w="1306" w:type="dxa"/>
            <w:noWrap/>
            <w:tcMar>
              <w:left w:w="28" w:type="dxa"/>
              <w:right w:w="28" w:type="dxa"/>
            </w:tcMar>
            <w:vAlign w:val="center"/>
          </w:tcPr>
          <w:p w14:paraId="277A36DF">
            <w:pPr>
              <w:autoSpaceDE w:val="0"/>
              <w:autoSpaceDN w:val="0"/>
              <w:spacing w:line="0" w:lineRule="atLeast"/>
              <w:jc w:val="center"/>
              <w:rPr>
                <w:rFonts w:hint="eastAsia" w:hAnsi="宋体" w:cs="宋体"/>
                <w:color w:val="000000"/>
                <w:spacing w:val="-10"/>
                <w:sz w:val="21"/>
                <w:szCs w:val="21"/>
                <w:lang w:val="zh-CN"/>
              </w:rPr>
            </w:pPr>
            <w:r>
              <w:rPr>
                <w:rFonts w:hint="eastAsia" w:hAnsi="宋体" w:cs="宋体"/>
                <w:color w:val="000000"/>
                <w:spacing w:val="-10"/>
                <w:kern w:val="0"/>
                <w:sz w:val="21"/>
                <w:szCs w:val="21"/>
                <w:lang w:bidi="ar"/>
              </w:rPr>
              <w:t>74-82-8</w:t>
            </w:r>
          </w:p>
        </w:tc>
        <w:tc>
          <w:tcPr>
            <w:tcW w:w="1833" w:type="dxa"/>
            <w:noWrap/>
            <w:tcMar>
              <w:left w:w="28" w:type="dxa"/>
              <w:right w:w="28" w:type="dxa"/>
            </w:tcMar>
            <w:vAlign w:val="center"/>
          </w:tcPr>
          <w:p w14:paraId="64B3D74F">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9.37</w:t>
            </w:r>
          </w:p>
        </w:tc>
        <w:tc>
          <w:tcPr>
            <w:tcW w:w="1233" w:type="dxa"/>
            <w:noWrap/>
            <w:tcMar>
              <w:left w:w="28" w:type="dxa"/>
              <w:right w:w="28" w:type="dxa"/>
            </w:tcMar>
            <w:vAlign w:val="center"/>
          </w:tcPr>
          <w:p w14:paraId="3FC84A4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1763" w:type="dxa"/>
            <w:noWrap/>
            <w:tcMar>
              <w:left w:w="28" w:type="dxa"/>
              <w:right w:w="28" w:type="dxa"/>
            </w:tcMar>
            <w:vAlign w:val="center"/>
          </w:tcPr>
          <w:p w14:paraId="0E80DB6A">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0.937</w:t>
            </w:r>
          </w:p>
        </w:tc>
      </w:tr>
      <w:tr w14:paraId="40311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48" w:type="dxa"/>
            <w:vMerge w:val="continue"/>
            <w:noWrap/>
            <w:tcMar>
              <w:left w:w="28" w:type="dxa"/>
              <w:right w:w="28" w:type="dxa"/>
            </w:tcMar>
            <w:vAlign w:val="center"/>
          </w:tcPr>
          <w:p w14:paraId="1380B0B4">
            <w:pPr>
              <w:spacing w:line="0" w:lineRule="atLeast"/>
              <w:jc w:val="center"/>
              <w:textAlignment w:val="center"/>
              <w:rPr>
                <w:rFonts w:hAnsi="宋体" w:cs="宋体"/>
                <w:color w:val="000000"/>
                <w:spacing w:val="-10"/>
                <w:kern w:val="0"/>
                <w:sz w:val="21"/>
                <w:szCs w:val="21"/>
                <w:lang w:bidi="ar"/>
              </w:rPr>
            </w:pPr>
          </w:p>
        </w:tc>
        <w:tc>
          <w:tcPr>
            <w:tcW w:w="668" w:type="dxa"/>
            <w:noWrap/>
            <w:tcMar>
              <w:left w:w="28" w:type="dxa"/>
              <w:right w:w="28" w:type="dxa"/>
            </w:tcMar>
            <w:vAlign w:val="center"/>
          </w:tcPr>
          <w:p w14:paraId="675B6C44">
            <w:pPr>
              <w:spacing w:line="0" w:lineRule="atLeast"/>
              <w:jc w:val="center"/>
              <w:textAlignment w:val="center"/>
              <w:rPr>
                <w:rFonts w:hAnsi="宋体" w:cs="宋体"/>
                <w:color w:val="000000"/>
                <w:spacing w:val="-10"/>
                <w:kern w:val="0"/>
                <w:sz w:val="21"/>
                <w:szCs w:val="21"/>
                <w:lang w:bidi="ar"/>
              </w:rPr>
            </w:pPr>
            <w:r>
              <w:rPr>
                <w:rFonts w:hint="eastAsia" w:hAnsi="宋体" w:cs="宋体"/>
                <w:color w:val="000000"/>
                <w:spacing w:val="-10"/>
                <w:kern w:val="0"/>
                <w:sz w:val="21"/>
                <w:szCs w:val="21"/>
                <w:lang w:bidi="ar"/>
              </w:rPr>
              <w:t>3</w:t>
            </w:r>
          </w:p>
        </w:tc>
        <w:tc>
          <w:tcPr>
            <w:tcW w:w="1364" w:type="dxa"/>
            <w:noWrap/>
            <w:tcMar>
              <w:left w:w="28" w:type="dxa"/>
              <w:right w:w="28" w:type="dxa"/>
            </w:tcMar>
            <w:vAlign w:val="center"/>
          </w:tcPr>
          <w:p w14:paraId="665C6C0D">
            <w:pPr>
              <w:widowControl/>
              <w:spacing w:line="0" w:lineRule="atLeast"/>
              <w:jc w:val="center"/>
              <w:textAlignment w:val="center"/>
              <w:rPr>
                <w:rFonts w:hAnsi="宋体" w:cs="宋体"/>
                <w:color w:val="000000"/>
                <w:spacing w:val="-10"/>
                <w:sz w:val="21"/>
                <w:szCs w:val="21"/>
              </w:rPr>
            </w:pPr>
            <w:r>
              <w:rPr>
                <w:rFonts w:hint="eastAsia" w:hAnsi="宋体" w:cs="宋体"/>
                <w:color w:val="000000"/>
                <w:spacing w:val="-10"/>
                <w:kern w:val="0"/>
                <w:sz w:val="21"/>
                <w:szCs w:val="21"/>
                <w:lang w:bidi="ar"/>
              </w:rPr>
              <w:t>硫化氢</w:t>
            </w:r>
          </w:p>
        </w:tc>
        <w:tc>
          <w:tcPr>
            <w:tcW w:w="1306" w:type="dxa"/>
            <w:noWrap/>
            <w:tcMar>
              <w:left w:w="28" w:type="dxa"/>
              <w:right w:w="28" w:type="dxa"/>
            </w:tcMar>
            <w:vAlign w:val="center"/>
          </w:tcPr>
          <w:p w14:paraId="6C782F77">
            <w:pPr>
              <w:widowControl/>
              <w:spacing w:line="0" w:lineRule="atLeast"/>
              <w:jc w:val="center"/>
              <w:textAlignment w:val="center"/>
              <w:rPr>
                <w:rFonts w:hint="eastAsia" w:hAnsi="宋体" w:cs="宋体"/>
                <w:color w:val="000000"/>
                <w:spacing w:val="-10"/>
                <w:sz w:val="21"/>
                <w:szCs w:val="21"/>
                <w:lang w:val="zh-CN"/>
              </w:rPr>
            </w:pPr>
            <w:r>
              <w:rPr>
                <w:rFonts w:hint="eastAsia" w:hAnsi="宋体" w:cs="宋体"/>
                <w:color w:val="000000"/>
                <w:spacing w:val="-10"/>
                <w:kern w:val="0"/>
                <w:sz w:val="21"/>
                <w:szCs w:val="21"/>
                <w:lang w:bidi="ar"/>
              </w:rPr>
              <w:t>7783-06-4</w:t>
            </w:r>
          </w:p>
        </w:tc>
        <w:tc>
          <w:tcPr>
            <w:tcW w:w="1833" w:type="dxa"/>
            <w:noWrap/>
            <w:tcMar>
              <w:left w:w="28" w:type="dxa"/>
              <w:right w:w="28" w:type="dxa"/>
            </w:tcMar>
            <w:vAlign w:val="center"/>
          </w:tcPr>
          <w:p w14:paraId="5CB86134">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0.091</w:t>
            </w:r>
          </w:p>
        </w:tc>
        <w:tc>
          <w:tcPr>
            <w:tcW w:w="1233" w:type="dxa"/>
            <w:noWrap/>
            <w:tcMar>
              <w:left w:w="28" w:type="dxa"/>
              <w:right w:w="28" w:type="dxa"/>
            </w:tcMar>
            <w:vAlign w:val="center"/>
          </w:tcPr>
          <w:p w14:paraId="433EF93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2.5</w:t>
            </w:r>
          </w:p>
        </w:tc>
        <w:tc>
          <w:tcPr>
            <w:tcW w:w="1763" w:type="dxa"/>
            <w:noWrap/>
            <w:tcMar>
              <w:left w:w="28" w:type="dxa"/>
              <w:right w:w="28" w:type="dxa"/>
            </w:tcMar>
            <w:vAlign w:val="center"/>
          </w:tcPr>
          <w:p w14:paraId="60AEA341">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0.036</w:t>
            </w:r>
          </w:p>
        </w:tc>
      </w:tr>
      <w:tr w14:paraId="6649BD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2" w:type="dxa"/>
            <w:gridSpan w:val="6"/>
            <w:noWrap/>
            <w:tcMar>
              <w:left w:w="28" w:type="dxa"/>
              <w:right w:w="28" w:type="dxa"/>
            </w:tcMar>
            <w:vAlign w:val="center"/>
          </w:tcPr>
          <w:p w14:paraId="4FE6E58B">
            <w:pPr>
              <w:autoSpaceDE w:val="0"/>
              <w:autoSpaceDN w:val="0"/>
              <w:spacing w:line="0" w:lineRule="atLeast"/>
              <w:jc w:val="center"/>
              <w:rPr>
                <w:rFonts w:hAnsi="宋体" w:cs="宋体"/>
                <w:color w:val="000000"/>
                <w:spacing w:val="-10"/>
                <w:kern w:val="0"/>
                <w:sz w:val="21"/>
                <w:szCs w:val="21"/>
                <w:lang w:bidi="ar"/>
              </w:rPr>
            </w:pPr>
            <w:r>
              <w:rPr>
                <w:rFonts w:hint="eastAsia" w:hAnsi="宋体" w:cs="宋体"/>
                <w:color w:val="000000"/>
                <w:spacing w:val="-10"/>
                <w:sz w:val="21"/>
                <w:szCs w:val="21"/>
              </w:rPr>
              <w:t>项目</w:t>
            </w:r>
            <w:r>
              <w:rPr>
                <w:rFonts w:hint="eastAsia" w:hAnsi="宋体" w:cs="宋体"/>
                <w:color w:val="000000"/>
                <w:spacing w:val="-10"/>
                <w:sz w:val="21"/>
                <w:szCs w:val="21"/>
                <w:lang w:val="zh-CN"/>
              </w:rPr>
              <w:t>Q值∑</w:t>
            </w:r>
          </w:p>
        </w:tc>
        <w:tc>
          <w:tcPr>
            <w:tcW w:w="1763" w:type="dxa"/>
            <w:noWrap/>
            <w:tcMar>
              <w:left w:w="28" w:type="dxa"/>
              <w:right w:w="28" w:type="dxa"/>
            </w:tcMar>
            <w:vAlign w:val="center"/>
          </w:tcPr>
          <w:p w14:paraId="727816A7">
            <w:pPr>
              <w:spacing w:line="0" w:lineRule="atLeast"/>
              <w:jc w:val="center"/>
              <w:textAlignment w:val="center"/>
              <w:rPr>
                <w:rFonts w:hAnsi="宋体" w:cs="宋体"/>
                <w:color w:val="000000"/>
                <w:spacing w:val="-10"/>
                <w:sz w:val="21"/>
                <w:szCs w:val="21"/>
              </w:rPr>
            </w:pPr>
            <w:r>
              <w:rPr>
                <w:rFonts w:hint="eastAsia" w:hAnsi="宋体" w:cs="宋体"/>
                <w:color w:val="000000"/>
                <w:spacing w:val="-10"/>
                <w:kern w:val="0"/>
                <w:sz w:val="21"/>
                <w:szCs w:val="21"/>
                <w:lang w:bidi="ar"/>
              </w:rPr>
              <w:t>0.983</w:t>
            </w:r>
          </w:p>
        </w:tc>
      </w:tr>
    </w:tbl>
    <w:p w14:paraId="4010F900">
      <w:pPr>
        <w:spacing w:before="120" w:line="480" w:lineRule="exact"/>
        <w:ind w:firstLine="526" w:firstLineChars="200"/>
        <w:rPr>
          <w:rFonts w:hAnsi="宋体"/>
          <w:color w:val="000000"/>
          <w:szCs w:val="24"/>
        </w:rPr>
      </w:pPr>
      <w:r>
        <w:rPr>
          <w:rFonts w:hint="eastAsia" w:hAnsi="宋体"/>
          <w:color w:val="000000"/>
          <w:szCs w:val="24"/>
        </w:rPr>
        <w:t>注：本次评价选取最长管线（ZG431-H4至5#集DN150外输管线）进行核算，管线长度为10.35km，DN150,管线压力为10MPa。</w:t>
      </w:r>
    </w:p>
    <w:p w14:paraId="3E42D6C4">
      <w:pPr>
        <w:spacing w:before="120" w:line="480" w:lineRule="exact"/>
        <w:ind w:firstLine="526" w:firstLineChars="200"/>
        <w:rPr>
          <w:rFonts w:hAnsi="宋体"/>
          <w:color w:val="000000"/>
          <w:szCs w:val="24"/>
        </w:rPr>
      </w:pPr>
      <w:r>
        <w:rPr>
          <w:rFonts w:hint="eastAsia" w:hAnsi="宋体"/>
          <w:color w:val="000000"/>
          <w:szCs w:val="24"/>
        </w:rPr>
        <w:t>经计算，拟建工程Q值＜1，风险潜势为Ⅰ。</w:t>
      </w:r>
    </w:p>
    <w:p w14:paraId="7600C1FA">
      <w:pPr>
        <w:spacing w:line="480" w:lineRule="exact"/>
        <w:ind w:firstLine="526" w:firstLineChars="200"/>
        <w:rPr>
          <w:rFonts w:hAnsi="宋体"/>
          <w:color w:val="000000"/>
          <w:szCs w:val="24"/>
        </w:rPr>
      </w:pPr>
      <w:r>
        <w:rPr>
          <w:rFonts w:hint="eastAsia" w:hAnsi="宋体"/>
          <w:color w:val="000000"/>
          <w:szCs w:val="24"/>
        </w:rPr>
        <w:t>（2）评价工作等级的划分</w:t>
      </w:r>
    </w:p>
    <w:p w14:paraId="3EAB35AD">
      <w:pPr>
        <w:autoSpaceDE w:val="0"/>
        <w:autoSpaceDN w:val="0"/>
        <w:adjustRightInd w:val="0"/>
        <w:spacing w:line="480" w:lineRule="exact"/>
        <w:ind w:firstLine="526" w:firstLineChars="200"/>
        <w:rPr>
          <w:rFonts w:hAnsi="宋体"/>
          <w:color w:val="000000"/>
          <w:szCs w:val="24"/>
        </w:rPr>
      </w:pPr>
      <w:r>
        <w:rPr>
          <w:rFonts w:hint="eastAsia" w:hAnsi="宋体"/>
          <w:color w:val="000000"/>
          <w:szCs w:val="24"/>
        </w:rPr>
        <w:t>根据导则规定，环境风险评价工作等级划分方法见表2.5-9。</w:t>
      </w:r>
    </w:p>
    <w:p w14:paraId="3D1540FB">
      <w:pPr>
        <w:autoSpaceDE w:val="0"/>
        <w:autoSpaceDN w:val="0"/>
        <w:adjustRightInd w:val="0"/>
        <w:spacing w:line="480" w:lineRule="exact"/>
        <w:ind w:firstLine="526" w:firstLineChars="200"/>
        <w:rPr>
          <w:rFonts w:ascii="黑体" w:hAnsi="宋体" w:eastAsia="黑体"/>
          <w:color w:val="000000"/>
          <w:szCs w:val="24"/>
        </w:rPr>
      </w:pPr>
      <w:r>
        <w:rPr>
          <w:rFonts w:hint="eastAsia" w:ascii="黑体" w:hAnsi="宋体" w:eastAsia="黑体"/>
          <w:color w:val="000000"/>
          <w:szCs w:val="24"/>
        </w:rPr>
        <w:t>表2.5-9        环境风险评价工作等级划分一览表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991"/>
        <w:gridCol w:w="1754"/>
        <w:gridCol w:w="1756"/>
        <w:gridCol w:w="1756"/>
        <w:gridCol w:w="1758"/>
      </w:tblGrid>
      <w:tr w14:paraId="04520C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90" w:type="dxa"/>
            <w:noWrap/>
            <w:tcMar>
              <w:left w:w="28" w:type="dxa"/>
              <w:right w:w="28" w:type="dxa"/>
            </w:tcMar>
            <w:vAlign w:val="center"/>
          </w:tcPr>
          <w:p w14:paraId="363E2FD2">
            <w:pPr>
              <w:spacing w:line="0" w:lineRule="atLeast"/>
              <w:jc w:val="center"/>
              <w:rPr>
                <w:rFonts w:hAnsi="宋体" w:cs="宋体"/>
                <w:color w:val="000000"/>
                <w:spacing w:val="-10"/>
                <w:sz w:val="21"/>
                <w:szCs w:val="21"/>
              </w:rPr>
            </w:pPr>
            <w:r>
              <w:rPr>
                <w:rFonts w:hint="eastAsia" w:hAnsi="宋体"/>
                <w:color w:val="000000"/>
                <w:spacing w:val="-10"/>
                <w:sz w:val="21"/>
                <w:szCs w:val="21"/>
              </w:rPr>
              <w:t>环境风险潜势</w:t>
            </w:r>
          </w:p>
        </w:tc>
        <w:tc>
          <w:tcPr>
            <w:tcW w:w="1754" w:type="dxa"/>
            <w:noWrap/>
            <w:tcMar>
              <w:left w:w="28" w:type="dxa"/>
              <w:right w:w="28" w:type="dxa"/>
            </w:tcMar>
            <w:vAlign w:val="center"/>
          </w:tcPr>
          <w:p w14:paraId="55916C50">
            <w:pPr>
              <w:spacing w:line="0" w:lineRule="atLeast"/>
              <w:jc w:val="center"/>
              <w:rPr>
                <w:rFonts w:hAnsi="宋体"/>
                <w:color w:val="000000"/>
                <w:spacing w:val="-10"/>
                <w:sz w:val="21"/>
                <w:szCs w:val="21"/>
              </w:rPr>
            </w:pPr>
            <w:r>
              <w:rPr>
                <w:rFonts w:hint="eastAsia" w:hAnsi="宋体"/>
                <w:color w:val="000000"/>
                <w:spacing w:val="-10"/>
                <w:sz w:val="21"/>
                <w:szCs w:val="21"/>
              </w:rPr>
              <w:t>Ⅳ、Ⅳ</w:t>
            </w:r>
            <w:r>
              <w:rPr>
                <w:rFonts w:hint="eastAsia" w:hAnsi="宋体"/>
                <w:color w:val="000000"/>
                <w:spacing w:val="-10"/>
                <w:sz w:val="21"/>
                <w:szCs w:val="21"/>
                <w:vertAlign w:val="superscript"/>
              </w:rPr>
              <w:t>+</w:t>
            </w:r>
          </w:p>
        </w:tc>
        <w:tc>
          <w:tcPr>
            <w:tcW w:w="1756" w:type="dxa"/>
            <w:noWrap/>
            <w:tcMar>
              <w:left w:w="28" w:type="dxa"/>
              <w:right w:w="28" w:type="dxa"/>
            </w:tcMar>
            <w:vAlign w:val="center"/>
          </w:tcPr>
          <w:p w14:paraId="1606113E">
            <w:pPr>
              <w:spacing w:line="0" w:lineRule="atLeast"/>
              <w:jc w:val="center"/>
              <w:rPr>
                <w:rFonts w:hAnsi="宋体"/>
                <w:color w:val="000000"/>
                <w:spacing w:val="-10"/>
                <w:sz w:val="21"/>
                <w:szCs w:val="21"/>
              </w:rPr>
            </w:pPr>
            <w:r>
              <w:rPr>
                <w:rFonts w:hint="eastAsia" w:hAnsi="宋体"/>
                <w:color w:val="000000"/>
                <w:spacing w:val="-10"/>
                <w:sz w:val="21"/>
                <w:szCs w:val="21"/>
              </w:rPr>
              <w:t>Ⅲ</w:t>
            </w:r>
          </w:p>
        </w:tc>
        <w:tc>
          <w:tcPr>
            <w:tcW w:w="1756" w:type="dxa"/>
            <w:noWrap/>
            <w:tcMar>
              <w:left w:w="28" w:type="dxa"/>
              <w:right w:w="28" w:type="dxa"/>
            </w:tcMar>
            <w:vAlign w:val="center"/>
          </w:tcPr>
          <w:p w14:paraId="78681E11">
            <w:pPr>
              <w:spacing w:line="0" w:lineRule="atLeast"/>
              <w:jc w:val="center"/>
              <w:rPr>
                <w:rFonts w:hAnsi="宋体"/>
                <w:color w:val="000000"/>
                <w:spacing w:val="-10"/>
                <w:sz w:val="21"/>
                <w:szCs w:val="21"/>
              </w:rPr>
            </w:pPr>
            <w:r>
              <w:rPr>
                <w:rFonts w:hint="eastAsia" w:hAnsi="宋体"/>
                <w:color w:val="000000"/>
                <w:spacing w:val="-10"/>
                <w:sz w:val="21"/>
                <w:szCs w:val="21"/>
              </w:rPr>
              <w:t>Ⅱ</w:t>
            </w:r>
          </w:p>
        </w:tc>
        <w:tc>
          <w:tcPr>
            <w:tcW w:w="1758" w:type="dxa"/>
            <w:noWrap/>
            <w:tcMar>
              <w:left w:w="28" w:type="dxa"/>
              <w:right w:w="28" w:type="dxa"/>
            </w:tcMar>
            <w:vAlign w:val="center"/>
          </w:tcPr>
          <w:p w14:paraId="1168B44E">
            <w:pPr>
              <w:spacing w:line="0" w:lineRule="atLeast"/>
              <w:jc w:val="center"/>
              <w:rPr>
                <w:rFonts w:hAnsi="宋体"/>
                <w:color w:val="000000"/>
                <w:spacing w:val="-10"/>
                <w:sz w:val="21"/>
                <w:szCs w:val="21"/>
              </w:rPr>
            </w:pPr>
            <w:r>
              <w:rPr>
                <w:rFonts w:hint="eastAsia" w:hAnsi="宋体"/>
                <w:color w:val="000000"/>
                <w:spacing w:val="-10"/>
                <w:sz w:val="21"/>
                <w:szCs w:val="21"/>
              </w:rPr>
              <w:t>Ⅰ</w:t>
            </w:r>
          </w:p>
        </w:tc>
      </w:tr>
      <w:tr w14:paraId="66F68B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90" w:type="dxa"/>
            <w:noWrap/>
            <w:tcMar>
              <w:left w:w="28" w:type="dxa"/>
              <w:right w:w="28" w:type="dxa"/>
            </w:tcMar>
            <w:vAlign w:val="center"/>
          </w:tcPr>
          <w:p w14:paraId="01A8D096">
            <w:pPr>
              <w:spacing w:line="0" w:lineRule="atLeast"/>
              <w:jc w:val="center"/>
              <w:rPr>
                <w:rFonts w:hAnsi="宋体" w:cs="宋体"/>
                <w:color w:val="000000"/>
                <w:spacing w:val="-10"/>
                <w:sz w:val="21"/>
                <w:szCs w:val="21"/>
              </w:rPr>
            </w:pPr>
            <w:r>
              <w:rPr>
                <w:rFonts w:hint="eastAsia" w:hAnsi="宋体"/>
                <w:color w:val="000000"/>
                <w:spacing w:val="-10"/>
                <w:sz w:val="21"/>
                <w:szCs w:val="21"/>
              </w:rPr>
              <w:t>评价工作等级</w:t>
            </w:r>
          </w:p>
        </w:tc>
        <w:tc>
          <w:tcPr>
            <w:tcW w:w="1754" w:type="dxa"/>
            <w:noWrap/>
            <w:tcMar>
              <w:left w:w="28" w:type="dxa"/>
              <w:right w:w="28" w:type="dxa"/>
            </w:tcMar>
            <w:vAlign w:val="center"/>
          </w:tcPr>
          <w:p w14:paraId="76AB9939">
            <w:pPr>
              <w:spacing w:line="0" w:lineRule="atLeast"/>
              <w:jc w:val="center"/>
              <w:rPr>
                <w:rFonts w:hAnsi="宋体"/>
                <w:color w:val="000000"/>
                <w:spacing w:val="-10"/>
                <w:sz w:val="21"/>
                <w:szCs w:val="21"/>
              </w:rPr>
            </w:pPr>
            <w:r>
              <w:rPr>
                <w:rFonts w:hint="eastAsia" w:hAnsi="宋体"/>
                <w:color w:val="000000"/>
                <w:spacing w:val="-10"/>
                <w:sz w:val="21"/>
                <w:szCs w:val="21"/>
              </w:rPr>
              <w:t>一</w:t>
            </w:r>
          </w:p>
        </w:tc>
        <w:tc>
          <w:tcPr>
            <w:tcW w:w="1756" w:type="dxa"/>
            <w:noWrap/>
            <w:tcMar>
              <w:left w:w="28" w:type="dxa"/>
              <w:right w:w="28" w:type="dxa"/>
            </w:tcMar>
            <w:vAlign w:val="center"/>
          </w:tcPr>
          <w:p w14:paraId="20DFFD0F">
            <w:pPr>
              <w:spacing w:line="0" w:lineRule="atLeast"/>
              <w:jc w:val="center"/>
              <w:rPr>
                <w:rFonts w:hAnsi="宋体"/>
                <w:color w:val="000000"/>
                <w:spacing w:val="-10"/>
                <w:sz w:val="21"/>
                <w:szCs w:val="21"/>
              </w:rPr>
            </w:pPr>
            <w:r>
              <w:rPr>
                <w:rFonts w:hint="eastAsia" w:hAnsi="宋体"/>
                <w:color w:val="000000"/>
                <w:spacing w:val="-10"/>
                <w:sz w:val="21"/>
                <w:szCs w:val="21"/>
              </w:rPr>
              <w:t>二</w:t>
            </w:r>
          </w:p>
        </w:tc>
        <w:tc>
          <w:tcPr>
            <w:tcW w:w="1756" w:type="dxa"/>
            <w:noWrap/>
            <w:tcMar>
              <w:left w:w="28" w:type="dxa"/>
              <w:right w:w="28" w:type="dxa"/>
            </w:tcMar>
            <w:vAlign w:val="center"/>
          </w:tcPr>
          <w:p w14:paraId="5751F7EF">
            <w:pPr>
              <w:spacing w:line="0" w:lineRule="atLeast"/>
              <w:jc w:val="center"/>
              <w:rPr>
                <w:rFonts w:hAnsi="宋体"/>
                <w:color w:val="000000"/>
                <w:spacing w:val="-10"/>
                <w:sz w:val="21"/>
                <w:szCs w:val="21"/>
              </w:rPr>
            </w:pPr>
            <w:r>
              <w:rPr>
                <w:rFonts w:hint="eastAsia" w:hAnsi="宋体"/>
                <w:color w:val="000000"/>
                <w:spacing w:val="-10"/>
                <w:sz w:val="21"/>
                <w:szCs w:val="21"/>
              </w:rPr>
              <w:t>三</w:t>
            </w:r>
          </w:p>
        </w:tc>
        <w:tc>
          <w:tcPr>
            <w:tcW w:w="1758" w:type="dxa"/>
            <w:noWrap/>
            <w:tcMar>
              <w:left w:w="28" w:type="dxa"/>
              <w:right w:w="28" w:type="dxa"/>
            </w:tcMar>
            <w:vAlign w:val="center"/>
          </w:tcPr>
          <w:p w14:paraId="2BD585D2">
            <w:pPr>
              <w:spacing w:line="0" w:lineRule="atLeast"/>
              <w:jc w:val="center"/>
              <w:rPr>
                <w:rFonts w:hAnsi="宋体"/>
                <w:color w:val="000000"/>
                <w:spacing w:val="-10"/>
                <w:sz w:val="21"/>
                <w:szCs w:val="21"/>
              </w:rPr>
            </w:pPr>
            <w:r>
              <w:rPr>
                <w:rFonts w:hint="eastAsia" w:hAnsi="宋体"/>
                <w:color w:val="000000"/>
                <w:spacing w:val="-10"/>
                <w:sz w:val="21"/>
                <w:szCs w:val="21"/>
              </w:rPr>
              <w:t>简单分析</w:t>
            </w:r>
            <w:r>
              <w:rPr>
                <w:rFonts w:hint="eastAsia" w:hAnsi="宋体"/>
                <w:color w:val="000000"/>
                <w:spacing w:val="-10"/>
                <w:sz w:val="21"/>
                <w:szCs w:val="21"/>
                <w:vertAlign w:val="superscript"/>
              </w:rPr>
              <w:t>a</w:t>
            </w:r>
          </w:p>
        </w:tc>
      </w:tr>
      <w:tr w14:paraId="4E1408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14" w:type="dxa"/>
            <w:gridSpan w:val="5"/>
            <w:noWrap/>
            <w:tcMar>
              <w:left w:w="28" w:type="dxa"/>
              <w:right w:w="28" w:type="dxa"/>
            </w:tcMar>
            <w:vAlign w:val="center"/>
          </w:tcPr>
          <w:p w14:paraId="34404F1F">
            <w:pPr>
              <w:spacing w:line="0" w:lineRule="atLeast"/>
              <w:rPr>
                <w:rFonts w:hAnsi="宋体"/>
                <w:color w:val="000000"/>
                <w:spacing w:val="-10"/>
                <w:sz w:val="21"/>
                <w:szCs w:val="21"/>
              </w:rPr>
            </w:pPr>
            <w:r>
              <w:rPr>
                <w:rFonts w:hint="eastAsia" w:hAnsi="宋体"/>
                <w:color w:val="000000"/>
                <w:spacing w:val="-10"/>
                <w:sz w:val="21"/>
                <w:szCs w:val="21"/>
              </w:rPr>
              <w:t>a是相对于详细评价工作内容而言，在描述危险物质、环境影响途径、环境危害后果、风险防范措施等方面给出定性的说明。</w:t>
            </w:r>
          </w:p>
        </w:tc>
      </w:tr>
    </w:tbl>
    <w:p w14:paraId="15EB74A1">
      <w:pPr>
        <w:autoSpaceDE w:val="0"/>
        <w:autoSpaceDN w:val="0"/>
        <w:adjustRightInd w:val="0"/>
        <w:spacing w:before="240" w:line="480" w:lineRule="exact"/>
        <w:ind w:firstLine="526" w:firstLineChars="200"/>
        <w:rPr>
          <w:rFonts w:hAnsi="宋体"/>
          <w:color w:val="000000"/>
          <w:szCs w:val="24"/>
        </w:rPr>
      </w:pPr>
      <w:r>
        <w:rPr>
          <w:rFonts w:hint="eastAsia" w:hAnsi="宋体"/>
          <w:color w:val="000000"/>
          <w:szCs w:val="24"/>
        </w:rPr>
        <w:t>对照表2.5-9可知，拟建工程环境风险潜势为Ⅰ，因此拟建工程环境风险评价等级为简单分析。</w:t>
      </w:r>
    </w:p>
    <w:p w14:paraId="49B0A484">
      <w:pPr>
        <w:spacing w:line="480" w:lineRule="exact"/>
        <w:rPr>
          <w:rFonts w:hint="eastAsia" w:hAnsi="宋体"/>
          <w:color w:val="000000"/>
          <w:szCs w:val="24"/>
        </w:rPr>
      </w:pPr>
      <w:r>
        <w:rPr>
          <w:rFonts w:hint="eastAsia" w:hAnsi="宋体"/>
          <w:color w:val="000000"/>
          <w:szCs w:val="24"/>
        </w:rPr>
        <w:t>2.5.7.2 环境风险评价范围</w:t>
      </w:r>
    </w:p>
    <w:p w14:paraId="24C442F0">
      <w:pPr>
        <w:spacing w:line="480" w:lineRule="exact"/>
        <w:ind w:firstLine="526" w:firstLineChars="200"/>
        <w:rPr>
          <w:rFonts w:hint="eastAsia" w:hAnsi="宋体"/>
          <w:color w:val="000000"/>
          <w:szCs w:val="24"/>
        </w:rPr>
      </w:pPr>
      <w:r>
        <w:rPr>
          <w:rFonts w:hint="eastAsia" w:hAnsi="宋体"/>
          <w:color w:val="000000"/>
          <w:szCs w:val="24"/>
        </w:rPr>
        <w:t>根据《建设项目环境风险评价技术导则》（HJ169-2018），拟建工程环境风险评价等级为简单分析，不再设置环境风险评价范围。</w:t>
      </w:r>
    </w:p>
    <w:p w14:paraId="6B1FE9EB">
      <w:pPr>
        <w:spacing w:line="480" w:lineRule="exact"/>
        <w:outlineLvl w:val="1"/>
        <w:rPr>
          <w:rFonts w:ascii="黑体" w:hAnsi="黑体" w:eastAsia="黑体" w:cs="黑体"/>
          <w:color w:val="000000"/>
          <w:sz w:val="28"/>
          <w:szCs w:val="28"/>
          <w:lang w:bidi="ar"/>
        </w:rPr>
      </w:pPr>
      <w:bookmarkStart w:id="75" w:name="_Toc230178780"/>
      <w:bookmarkStart w:id="76" w:name="_Toc198040314"/>
      <w:bookmarkStart w:id="77" w:name="_Toc198040170"/>
      <w:bookmarkStart w:id="78" w:name="_Toc38101965"/>
      <w:bookmarkStart w:id="79" w:name="_Toc208474663"/>
      <w:bookmarkStart w:id="80" w:name="_Toc38101962"/>
      <w:r>
        <w:rPr>
          <w:rFonts w:hint="eastAsia" w:ascii="黑体" w:hAnsi="黑体" w:eastAsia="黑体" w:cs="黑体"/>
          <w:color w:val="000000"/>
          <w:sz w:val="28"/>
          <w:szCs w:val="28"/>
          <w:lang w:bidi="ar"/>
        </w:rPr>
        <w:t>2.6 环境保护目标</w:t>
      </w:r>
      <w:bookmarkEnd w:id="75"/>
      <w:bookmarkEnd w:id="76"/>
      <w:bookmarkEnd w:id="77"/>
      <w:bookmarkEnd w:id="78"/>
      <w:bookmarkEnd w:id="79"/>
    </w:p>
    <w:p w14:paraId="716BE284">
      <w:pPr>
        <w:spacing w:line="480" w:lineRule="exact"/>
        <w:ind w:firstLine="526" w:firstLineChars="200"/>
        <w:rPr>
          <w:rFonts w:hint="eastAsia" w:cs="宋体"/>
          <w:color w:val="000000"/>
        </w:rPr>
      </w:pPr>
      <w:r>
        <w:rPr>
          <w:rFonts w:hint="eastAsia" w:hAnsi="宋体" w:cs="宋体"/>
          <w:color w:val="000000"/>
          <w:lang w:bidi="ar"/>
        </w:rPr>
        <w:t>拟建工程评价区域内无自然保护区、风景名胜区和其他需要特殊保护的区域，以及居住区、文化区和农村地区中人群较集中的区域等，不设置环境空气保护目标；</w:t>
      </w:r>
      <w:r>
        <w:rPr>
          <w:rFonts w:hint="eastAsia" w:hAnsi="宋体" w:cs="宋体"/>
          <w:color w:val="000000"/>
          <w:spacing w:val="0"/>
        </w:rPr>
        <w:t>拟建</w:t>
      </w:r>
      <w:r>
        <w:rPr>
          <w:rFonts w:hint="eastAsia" w:hAnsi="宋体" w:cs="宋体"/>
          <w:color w:val="000000"/>
          <w:lang w:val="zh-CN"/>
        </w:rPr>
        <w:t>工程</w:t>
      </w:r>
      <w:r>
        <w:rPr>
          <w:rFonts w:hint="eastAsia" w:hAnsi="宋体" w:cs="宋体"/>
          <w:color w:val="000000"/>
          <w:spacing w:val="0"/>
        </w:rPr>
        <w:t>周边无地表水体，且项目无废水外排，故不设置地表水保护目标；</w:t>
      </w:r>
      <w:r>
        <w:rPr>
          <w:rFonts w:hint="eastAsia" w:hAnsi="宋体" w:cs="宋体"/>
          <w:color w:val="000000"/>
          <w:lang w:bidi="ar"/>
        </w:rPr>
        <w:t>将地下水评价范围内潜水含水层作为地下水保护目标；工程200m范围内不涉及学校、医院、居住区等，不设置声环境保护目标；土壤</w:t>
      </w:r>
      <w:r>
        <w:rPr>
          <w:rFonts w:hint="eastAsia"/>
          <w:color w:val="000000"/>
        </w:rPr>
        <w:t>评价范围内不涉及耕地、园地、牧草地、饮用水水源地或村庄、学校等敏感点及其他土壤环境敏感目标，</w:t>
      </w:r>
      <w:r>
        <w:rPr>
          <w:rFonts w:hint="eastAsia" w:hAnsi="宋体" w:cs="宋体"/>
          <w:color w:val="000000"/>
          <w:lang w:bidi="ar"/>
        </w:rPr>
        <w:t>不设置</w:t>
      </w:r>
      <w:r>
        <w:rPr>
          <w:rFonts w:hint="eastAsia"/>
          <w:color w:val="000000"/>
        </w:rPr>
        <w:t>土壤环境保护目标</w:t>
      </w:r>
      <w:r>
        <w:rPr>
          <w:rFonts w:hint="eastAsia" w:hAnsi="宋体" w:cs="宋体"/>
          <w:color w:val="000000"/>
          <w:lang w:bidi="ar"/>
        </w:rPr>
        <w:t>；将生态影响评价范围内</w:t>
      </w:r>
      <w:r>
        <w:rPr>
          <w:rFonts w:hint="eastAsia"/>
          <w:color w:val="000000"/>
        </w:rPr>
        <w:t>塔里木河流域水土流失重点治理区</w:t>
      </w:r>
      <w:r>
        <w:rPr>
          <w:rFonts w:hint="eastAsia" w:hAnsi="宋体" w:cs="宋体"/>
          <w:color w:val="000000"/>
          <w:lang w:bidi="ar"/>
        </w:rPr>
        <w:t>作为生态保护目标；</w:t>
      </w:r>
      <w:r>
        <w:rPr>
          <w:rFonts w:hint="eastAsia"/>
          <w:color w:val="000000"/>
        </w:rPr>
        <w:t>将区域环境空气、区域潜水含水层分别作为环境空气风险保护目标和地下水风险保护目标。</w:t>
      </w:r>
      <w:r>
        <w:rPr>
          <w:rFonts w:hint="eastAsia" w:cs="宋体"/>
          <w:color w:val="000000"/>
        </w:rPr>
        <w:t>环境保护目标见表2.6-1至2.6-3。</w:t>
      </w:r>
    </w:p>
    <w:p w14:paraId="3B6483F8">
      <w:pPr>
        <w:spacing w:line="480" w:lineRule="exact"/>
        <w:ind w:firstLine="482"/>
        <w:rPr>
          <w:rFonts w:hint="eastAsia" w:ascii="黑体" w:hAnsi="黑体" w:eastAsia="黑体"/>
          <w:color w:val="000000"/>
        </w:rPr>
      </w:pPr>
      <w:r>
        <w:rPr>
          <w:rFonts w:hint="eastAsia" w:ascii="黑体" w:hAnsi="黑体" w:eastAsia="黑体"/>
          <w:color w:val="000000"/>
        </w:rPr>
        <w:t>表2.6-1           地下水环境保护目标一览表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320"/>
        <w:gridCol w:w="796"/>
        <w:gridCol w:w="897"/>
        <w:gridCol w:w="769"/>
        <w:gridCol w:w="565"/>
        <w:gridCol w:w="403"/>
        <w:gridCol w:w="3261"/>
      </w:tblGrid>
      <w:tr w14:paraId="22CB0B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88" w:type="pct"/>
            <w:vMerge w:val="restart"/>
            <w:tcMar>
              <w:left w:w="28" w:type="dxa"/>
              <w:right w:w="28" w:type="dxa"/>
            </w:tcMar>
            <w:vAlign w:val="center"/>
          </w:tcPr>
          <w:p w14:paraId="55277CA9">
            <w:pPr>
              <w:spacing w:line="0" w:lineRule="atLeast"/>
              <w:jc w:val="center"/>
              <w:rPr>
                <w:rFonts w:hAnsi="宋体"/>
                <w:color w:val="000000"/>
                <w:spacing w:val="-10"/>
                <w:sz w:val="21"/>
                <w:szCs w:val="21"/>
              </w:rPr>
            </w:pPr>
            <w:r>
              <w:rPr>
                <w:rFonts w:hint="eastAsia" w:hAnsi="宋体"/>
                <w:color w:val="000000"/>
                <w:spacing w:val="-10"/>
                <w:sz w:val="21"/>
                <w:szCs w:val="21"/>
              </w:rPr>
              <w:t>名称</w:t>
            </w:r>
          </w:p>
        </w:tc>
        <w:tc>
          <w:tcPr>
            <w:tcW w:w="940" w:type="pct"/>
            <w:gridSpan w:val="2"/>
            <w:tcMar>
              <w:left w:w="28" w:type="dxa"/>
              <w:right w:w="28" w:type="dxa"/>
            </w:tcMar>
            <w:vAlign w:val="center"/>
          </w:tcPr>
          <w:p w14:paraId="0A32E08C">
            <w:pPr>
              <w:spacing w:line="0" w:lineRule="atLeast"/>
              <w:jc w:val="center"/>
              <w:rPr>
                <w:rFonts w:hAnsi="宋体"/>
                <w:color w:val="000000"/>
                <w:spacing w:val="-10"/>
                <w:sz w:val="21"/>
                <w:szCs w:val="21"/>
              </w:rPr>
            </w:pPr>
            <w:r>
              <w:rPr>
                <w:rFonts w:hint="eastAsia" w:hAnsi="宋体"/>
                <w:color w:val="000000"/>
                <w:spacing w:val="-10"/>
                <w:sz w:val="21"/>
                <w:szCs w:val="21"/>
              </w:rPr>
              <w:t>与项目位置关系</w:t>
            </w:r>
          </w:p>
        </w:tc>
        <w:tc>
          <w:tcPr>
            <w:tcW w:w="427" w:type="pct"/>
            <w:vMerge w:val="restart"/>
            <w:tcMar>
              <w:left w:w="28" w:type="dxa"/>
              <w:right w:w="28" w:type="dxa"/>
            </w:tcMar>
            <w:vAlign w:val="center"/>
          </w:tcPr>
          <w:p w14:paraId="690180DA">
            <w:pPr>
              <w:spacing w:line="0" w:lineRule="atLeast"/>
              <w:jc w:val="center"/>
              <w:rPr>
                <w:rFonts w:hint="eastAsia" w:hAnsi="宋体"/>
                <w:color w:val="000000"/>
                <w:spacing w:val="-10"/>
                <w:sz w:val="21"/>
                <w:szCs w:val="21"/>
              </w:rPr>
            </w:pPr>
            <w:r>
              <w:rPr>
                <w:rFonts w:hint="eastAsia" w:hAnsi="宋体"/>
                <w:color w:val="000000"/>
                <w:spacing w:val="-10"/>
                <w:sz w:val="21"/>
                <w:szCs w:val="21"/>
              </w:rPr>
              <w:t>供水人口（人）</w:t>
            </w:r>
          </w:p>
        </w:tc>
        <w:tc>
          <w:tcPr>
            <w:tcW w:w="310" w:type="pct"/>
            <w:vMerge w:val="restart"/>
            <w:tcMar>
              <w:left w:w="28" w:type="dxa"/>
              <w:right w:w="28" w:type="dxa"/>
            </w:tcMar>
            <w:vAlign w:val="center"/>
          </w:tcPr>
          <w:p w14:paraId="5BDE43F4">
            <w:pPr>
              <w:spacing w:line="0" w:lineRule="atLeast"/>
              <w:jc w:val="center"/>
              <w:rPr>
                <w:rFonts w:hAnsi="宋体"/>
                <w:color w:val="000000"/>
                <w:spacing w:val="-10"/>
                <w:sz w:val="21"/>
                <w:szCs w:val="21"/>
              </w:rPr>
            </w:pPr>
            <w:r>
              <w:rPr>
                <w:rFonts w:hint="eastAsia" w:hAnsi="宋体"/>
                <w:color w:val="000000"/>
                <w:spacing w:val="-10"/>
                <w:sz w:val="21"/>
                <w:szCs w:val="21"/>
              </w:rPr>
              <w:t>井深</w:t>
            </w:r>
          </w:p>
          <w:p w14:paraId="064BC94E">
            <w:pPr>
              <w:spacing w:line="0" w:lineRule="atLeast"/>
              <w:jc w:val="center"/>
              <w:rPr>
                <w:rFonts w:hint="eastAsia" w:hAnsi="宋体"/>
                <w:color w:val="000000"/>
                <w:spacing w:val="-10"/>
                <w:sz w:val="21"/>
                <w:szCs w:val="21"/>
              </w:rPr>
            </w:pPr>
            <w:r>
              <w:rPr>
                <w:rFonts w:hint="eastAsia" w:hAnsi="宋体"/>
                <w:color w:val="000000"/>
                <w:spacing w:val="-10"/>
                <w:sz w:val="21"/>
                <w:szCs w:val="21"/>
              </w:rPr>
              <w:t>（m）</w:t>
            </w:r>
          </w:p>
        </w:tc>
        <w:tc>
          <w:tcPr>
            <w:tcW w:w="224" w:type="pct"/>
            <w:vMerge w:val="restart"/>
            <w:tcMar>
              <w:left w:w="28" w:type="dxa"/>
              <w:right w:w="28" w:type="dxa"/>
            </w:tcMar>
            <w:vAlign w:val="center"/>
          </w:tcPr>
          <w:p w14:paraId="06EFBDD7">
            <w:pPr>
              <w:spacing w:line="0" w:lineRule="atLeast"/>
              <w:jc w:val="center"/>
              <w:rPr>
                <w:rFonts w:hAnsi="宋体"/>
                <w:color w:val="000000"/>
                <w:spacing w:val="-10"/>
                <w:sz w:val="21"/>
                <w:szCs w:val="21"/>
              </w:rPr>
            </w:pPr>
            <w:r>
              <w:rPr>
                <w:rFonts w:hint="eastAsia" w:hAnsi="宋体"/>
                <w:color w:val="000000"/>
                <w:spacing w:val="-10"/>
                <w:sz w:val="21"/>
                <w:szCs w:val="21"/>
              </w:rPr>
              <w:t>备注</w:t>
            </w:r>
          </w:p>
        </w:tc>
        <w:tc>
          <w:tcPr>
            <w:tcW w:w="1809" w:type="pct"/>
            <w:vMerge w:val="restart"/>
            <w:tcMar>
              <w:left w:w="28" w:type="dxa"/>
              <w:right w:w="28" w:type="dxa"/>
            </w:tcMar>
            <w:vAlign w:val="center"/>
          </w:tcPr>
          <w:p w14:paraId="3D3E647B">
            <w:pPr>
              <w:spacing w:line="0" w:lineRule="atLeast"/>
              <w:jc w:val="center"/>
              <w:rPr>
                <w:rFonts w:hAnsi="宋体"/>
                <w:color w:val="000000"/>
                <w:spacing w:val="-10"/>
                <w:sz w:val="21"/>
                <w:szCs w:val="21"/>
              </w:rPr>
            </w:pPr>
            <w:r>
              <w:rPr>
                <w:rFonts w:hint="eastAsia" w:hAnsi="宋体"/>
                <w:color w:val="000000"/>
                <w:spacing w:val="-10"/>
                <w:sz w:val="21"/>
                <w:szCs w:val="21"/>
              </w:rPr>
              <w:t>功能要求</w:t>
            </w:r>
          </w:p>
        </w:tc>
      </w:tr>
      <w:tr w14:paraId="3F6675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88" w:type="pct"/>
            <w:vMerge w:val="continue"/>
            <w:tcMar>
              <w:left w:w="28" w:type="dxa"/>
              <w:right w:w="28" w:type="dxa"/>
            </w:tcMar>
            <w:vAlign w:val="center"/>
          </w:tcPr>
          <w:p w14:paraId="5F565F4F">
            <w:pPr>
              <w:spacing w:line="0" w:lineRule="atLeast"/>
              <w:jc w:val="left"/>
              <w:rPr>
                <w:rFonts w:hAnsi="宋体"/>
                <w:color w:val="000000"/>
                <w:spacing w:val="-10"/>
                <w:sz w:val="21"/>
                <w:szCs w:val="21"/>
              </w:rPr>
            </w:pPr>
          </w:p>
        </w:tc>
        <w:tc>
          <w:tcPr>
            <w:tcW w:w="442" w:type="pct"/>
            <w:tcMar>
              <w:left w:w="28" w:type="dxa"/>
              <w:right w:w="28" w:type="dxa"/>
            </w:tcMar>
            <w:vAlign w:val="center"/>
          </w:tcPr>
          <w:p w14:paraId="39E1BA05">
            <w:pPr>
              <w:spacing w:line="0" w:lineRule="atLeast"/>
              <w:jc w:val="center"/>
              <w:rPr>
                <w:rFonts w:hAnsi="宋体"/>
                <w:color w:val="000000"/>
                <w:spacing w:val="-10"/>
                <w:sz w:val="21"/>
                <w:szCs w:val="21"/>
              </w:rPr>
            </w:pPr>
            <w:r>
              <w:rPr>
                <w:rFonts w:hint="eastAsia" w:hAnsi="宋体"/>
                <w:color w:val="000000"/>
                <w:spacing w:val="-10"/>
                <w:sz w:val="21"/>
                <w:szCs w:val="21"/>
              </w:rPr>
              <w:t>方位</w:t>
            </w:r>
          </w:p>
        </w:tc>
        <w:tc>
          <w:tcPr>
            <w:tcW w:w="497" w:type="pct"/>
            <w:tcMar>
              <w:left w:w="28" w:type="dxa"/>
              <w:right w:w="28" w:type="dxa"/>
            </w:tcMar>
            <w:vAlign w:val="center"/>
          </w:tcPr>
          <w:p w14:paraId="193037F8">
            <w:pPr>
              <w:spacing w:line="0" w:lineRule="atLeast"/>
              <w:jc w:val="center"/>
              <w:rPr>
                <w:rFonts w:hint="eastAsia" w:hAnsi="宋体"/>
                <w:color w:val="000000"/>
                <w:spacing w:val="-10"/>
                <w:sz w:val="21"/>
                <w:szCs w:val="21"/>
              </w:rPr>
            </w:pPr>
            <w:r>
              <w:rPr>
                <w:rFonts w:hint="eastAsia" w:hAnsi="宋体"/>
                <w:color w:val="000000"/>
                <w:spacing w:val="-10"/>
                <w:sz w:val="21"/>
                <w:szCs w:val="21"/>
              </w:rPr>
              <w:t>距离（m）</w:t>
            </w:r>
          </w:p>
        </w:tc>
        <w:tc>
          <w:tcPr>
            <w:tcW w:w="427" w:type="pct"/>
            <w:vMerge w:val="continue"/>
            <w:tcMar>
              <w:left w:w="28" w:type="dxa"/>
              <w:right w:w="28" w:type="dxa"/>
            </w:tcMar>
            <w:vAlign w:val="center"/>
          </w:tcPr>
          <w:p w14:paraId="1658C827">
            <w:pPr>
              <w:spacing w:line="0" w:lineRule="atLeast"/>
              <w:jc w:val="left"/>
              <w:rPr>
                <w:rFonts w:hAnsi="宋体"/>
                <w:color w:val="000000"/>
                <w:spacing w:val="-10"/>
                <w:sz w:val="21"/>
                <w:szCs w:val="21"/>
              </w:rPr>
            </w:pPr>
          </w:p>
        </w:tc>
        <w:tc>
          <w:tcPr>
            <w:tcW w:w="310" w:type="pct"/>
            <w:vMerge w:val="continue"/>
            <w:tcMar>
              <w:left w:w="28" w:type="dxa"/>
              <w:right w:w="28" w:type="dxa"/>
            </w:tcMar>
            <w:vAlign w:val="center"/>
          </w:tcPr>
          <w:p w14:paraId="6C16F0D4">
            <w:pPr>
              <w:spacing w:line="0" w:lineRule="atLeast"/>
              <w:jc w:val="left"/>
              <w:rPr>
                <w:rFonts w:hAnsi="宋体"/>
                <w:color w:val="000000"/>
                <w:spacing w:val="-10"/>
                <w:sz w:val="21"/>
                <w:szCs w:val="21"/>
              </w:rPr>
            </w:pPr>
          </w:p>
        </w:tc>
        <w:tc>
          <w:tcPr>
            <w:tcW w:w="224" w:type="pct"/>
            <w:vMerge w:val="continue"/>
            <w:tcMar>
              <w:left w:w="28" w:type="dxa"/>
              <w:right w:w="28" w:type="dxa"/>
            </w:tcMar>
            <w:vAlign w:val="center"/>
          </w:tcPr>
          <w:p w14:paraId="43C71C44">
            <w:pPr>
              <w:spacing w:line="0" w:lineRule="atLeast"/>
              <w:jc w:val="left"/>
              <w:rPr>
                <w:rFonts w:hAnsi="宋体"/>
                <w:color w:val="000000"/>
                <w:spacing w:val="-10"/>
                <w:sz w:val="21"/>
                <w:szCs w:val="21"/>
              </w:rPr>
            </w:pPr>
          </w:p>
        </w:tc>
        <w:tc>
          <w:tcPr>
            <w:tcW w:w="1809" w:type="pct"/>
            <w:vMerge w:val="continue"/>
            <w:tcMar>
              <w:left w:w="28" w:type="dxa"/>
              <w:right w:w="28" w:type="dxa"/>
            </w:tcMar>
            <w:vAlign w:val="center"/>
          </w:tcPr>
          <w:p w14:paraId="3FD3D39A">
            <w:pPr>
              <w:spacing w:line="0" w:lineRule="atLeast"/>
              <w:jc w:val="left"/>
              <w:rPr>
                <w:rFonts w:hAnsi="宋体"/>
                <w:color w:val="000000"/>
                <w:spacing w:val="-10"/>
                <w:sz w:val="21"/>
                <w:szCs w:val="21"/>
              </w:rPr>
            </w:pPr>
          </w:p>
        </w:tc>
      </w:tr>
      <w:tr w14:paraId="2F5825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88" w:type="pct"/>
            <w:tcMar>
              <w:left w:w="28" w:type="dxa"/>
              <w:right w:w="28" w:type="dxa"/>
            </w:tcMar>
            <w:vAlign w:val="center"/>
          </w:tcPr>
          <w:p w14:paraId="3E28025E">
            <w:pPr>
              <w:spacing w:line="0" w:lineRule="atLeast"/>
              <w:jc w:val="center"/>
              <w:rPr>
                <w:rFonts w:hAnsi="宋体"/>
                <w:color w:val="000000"/>
                <w:spacing w:val="-10"/>
                <w:sz w:val="21"/>
                <w:szCs w:val="21"/>
              </w:rPr>
            </w:pPr>
            <w:r>
              <w:rPr>
                <w:rFonts w:hint="eastAsia" w:hAnsi="宋体"/>
                <w:color w:val="000000"/>
                <w:spacing w:val="-10"/>
                <w:sz w:val="21"/>
                <w:szCs w:val="21"/>
              </w:rPr>
              <w:t>评价范围内潜水含水层</w:t>
            </w:r>
          </w:p>
        </w:tc>
        <w:tc>
          <w:tcPr>
            <w:tcW w:w="442" w:type="pct"/>
            <w:tcMar>
              <w:left w:w="28" w:type="dxa"/>
              <w:right w:w="28" w:type="dxa"/>
            </w:tcMar>
            <w:vAlign w:val="center"/>
          </w:tcPr>
          <w:p w14:paraId="22649E3F">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497" w:type="pct"/>
            <w:tcMar>
              <w:left w:w="28" w:type="dxa"/>
              <w:right w:w="28" w:type="dxa"/>
            </w:tcMar>
            <w:vAlign w:val="center"/>
          </w:tcPr>
          <w:p w14:paraId="454B830E">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427" w:type="pct"/>
            <w:tcMar>
              <w:left w:w="28" w:type="dxa"/>
              <w:right w:w="28" w:type="dxa"/>
            </w:tcMar>
            <w:vAlign w:val="center"/>
          </w:tcPr>
          <w:p w14:paraId="5DB20382">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310" w:type="pct"/>
            <w:tcMar>
              <w:left w:w="28" w:type="dxa"/>
              <w:right w:w="28" w:type="dxa"/>
            </w:tcMar>
            <w:vAlign w:val="center"/>
          </w:tcPr>
          <w:p w14:paraId="4D991326">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224" w:type="pct"/>
            <w:tcMar>
              <w:left w:w="28" w:type="dxa"/>
              <w:right w:w="28" w:type="dxa"/>
            </w:tcMar>
            <w:vAlign w:val="center"/>
          </w:tcPr>
          <w:p w14:paraId="257B9737">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809" w:type="pct"/>
            <w:tcMar>
              <w:left w:w="28" w:type="dxa"/>
              <w:right w:w="28" w:type="dxa"/>
            </w:tcMar>
            <w:vAlign w:val="center"/>
          </w:tcPr>
          <w:p w14:paraId="1B0BDB90">
            <w:pPr>
              <w:spacing w:line="0" w:lineRule="atLeast"/>
              <w:jc w:val="center"/>
              <w:rPr>
                <w:rFonts w:hint="eastAsia" w:hAnsi="宋体"/>
                <w:color w:val="000000"/>
                <w:spacing w:val="-10"/>
                <w:sz w:val="21"/>
                <w:szCs w:val="21"/>
              </w:rPr>
            </w:pPr>
            <w:r>
              <w:rPr>
                <w:rFonts w:hint="eastAsia" w:hAnsi="宋体"/>
                <w:color w:val="000000"/>
                <w:spacing w:val="-10"/>
                <w:sz w:val="21"/>
                <w:szCs w:val="21"/>
              </w:rPr>
              <w:t>《地下水质量标准》（GB/T14848-2017）</w:t>
            </w:r>
            <w:r>
              <w:rPr>
                <w:rFonts w:hint="eastAsia" w:hAnsi="宋体" w:cs="宋体"/>
                <w:color w:val="000000"/>
                <w:spacing w:val="-10"/>
                <w:sz w:val="21"/>
                <w:szCs w:val="21"/>
              </w:rPr>
              <w:t>Ⅲ类</w:t>
            </w:r>
          </w:p>
        </w:tc>
      </w:tr>
    </w:tbl>
    <w:p w14:paraId="0B400C07">
      <w:pPr>
        <w:autoSpaceDE w:val="0"/>
        <w:autoSpaceDN w:val="0"/>
        <w:adjustRightInd w:val="0"/>
        <w:spacing w:before="160" w:line="480" w:lineRule="exact"/>
        <w:ind w:firstLine="515" w:firstLineChars="196"/>
        <w:rPr>
          <w:rFonts w:hint="eastAsia" w:ascii="黑体" w:hAnsi="黑体" w:eastAsia="黑体" w:cs="黑体"/>
          <w:color w:val="000000"/>
          <w:lang w:val="zh-CN"/>
        </w:rPr>
      </w:pPr>
      <w:r>
        <w:rPr>
          <w:rFonts w:hint="eastAsia" w:ascii="黑体" w:hAnsi="黑体" w:eastAsia="黑体" w:cs="黑体"/>
          <w:color w:val="000000"/>
          <w:lang w:val="zh-CN"/>
        </w:rPr>
        <w:t>表</w:t>
      </w:r>
      <w:r>
        <w:rPr>
          <w:rFonts w:hint="eastAsia" w:ascii="黑体" w:hAnsi="黑体" w:eastAsia="黑体" w:cs="黑体"/>
          <w:color w:val="000000"/>
        </w:rPr>
        <w:t>2</w:t>
      </w:r>
      <w:r>
        <w:rPr>
          <w:rFonts w:hint="eastAsia" w:ascii="黑体" w:hAnsi="黑体" w:eastAsia="黑体" w:cs="黑体"/>
          <w:color w:val="000000"/>
          <w:lang w:val="zh-CN"/>
        </w:rPr>
        <w:t>.</w:t>
      </w:r>
      <w:r>
        <w:rPr>
          <w:rFonts w:hint="eastAsia" w:ascii="黑体" w:hAnsi="黑体" w:eastAsia="黑体" w:cs="黑体"/>
          <w:color w:val="000000"/>
        </w:rPr>
        <w:t>6-2</w:t>
      </w:r>
      <w:r>
        <w:rPr>
          <w:rFonts w:hint="eastAsia" w:ascii="黑体" w:hAnsi="黑体" w:eastAsia="黑体" w:cs="黑体"/>
          <w:color w:val="000000"/>
          <w:lang w:val="zh-CN"/>
        </w:rPr>
        <w:t xml:space="preserve">          生态保护目标一览表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05"/>
        <w:gridCol w:w="3544"/>
        <w:gridCol w:w="2212"/>
        <w:gridCol w:w="2349"/>
      </w:tblGrid>
      <w:tr w14:paraId="43B323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2" w:type="pct"/>
            <w:tcMar>
              <w:left w:w="28" w:type="dxa"/>
              <w:right w:w="28" w:type="dxa"/>
            </w:tcMar>
            <w:vAlign w:val="center"/>
          </w:tcPr>
          <w:p w14:paraId="3187C731">
            <w:pPr>
              <w:pStyle w:val="23"/>
              <w:adjustRightInd w:val="0"/>
              <w:spacing w:line="0" w:lineRule="atLeast"/>
              <w:jc w:val="center"/>
              <w:rPr>
                <w:rFonts w:hAnsi="宋体" w:cs="宋体"/>
                <w:color w:val="000000"/>
                <w:spacing w:val="-10"/>
                <w:sz w:val="21"/>
                <w:szCs w:val="21"/>
                <w:lang w:val="en-US" w:eastAsia="zh-CN"/>
              </w:rPr>
            </w:pPr>
            <w:r>
              <w:rPr>
                <w:rFonts w:hint="eastAsia" w:hAnsi="宋体" w:cs="宋体"/>
                <w:color w:val="000000"/>
                <w:spacing w:val="-10"/>
                <w:sz w:val="21"/>
                <w:szCs w:val="21"/>
                <w:lang w:val="en-US" w:eastAsia="zh-CN"/>
              </w:rPr>
              <w:t>环境要素</w:t>
            </w:r>
          </w:p>
        </w:tc>
        <w:tc>
          <w:tcPr>
            <w:tcW w:w="1966" w:type="pct"/>
            <w:tcMar>
              <w:left w:w="28" w:type="dxa"/>
              <w:right w:w="28" w:type="dxa"/>
            </w:tcMar>
            <w:vAlign w:val="center"/>
          </w:tcPr>
          <w:p w14:paraId="17AA7AD7">
            <w:pPr>
              <w:pStyle w:val="23"/>
              <w:adjustRightInd w:val="0"/>
              <w:spacing w:line="0" w:lineRule="atLeast"/>
              <w:jc w:val="center"/>
              <w:rPr>
                <w:rFonts w:hAnsi="宋体" w:cs="宋体"/>
                <w:color w:val="000000"/>
                <w:spacing w:val="-10"/>
                <w:sz w:val="21"/>
                <w:szCs w:val="21"/>
                <w:lang w:val="en-US" w:eastAsia="zh-CN"/>
              </w:rPr>
            </w:pPr>
            <w:r>
              <w:rPr>
                <w:rFonts w:hint="eastAsia" w:hAnsi="宋体" w:cs="宋体"/>
                <w:color w:val="000000"/>
                <w:spacing w:val="-10"/>
                <w:sz w:val="21"/>
                <w:szCs w:val="21"/>
                <w:lang w:val="en-US" w:eastAsia="zh-CN"/>
              </w:rPr>
              <w:t>保护目标</w:t>
            </w:r>
          </w:p>
        </w:tc>
        <w:tc>
          <w:tcPr>
            <w:tcW w:w="1227" w:type="pct"/>
            <w:tcMar>
              <w:left w:w="28" w:type="dxa"/>
              <w:right w:w="28" w:type="dxa"/>
            </w:tcMar>
            <w:vAlign w:val="center"/>
          </w:tcPr>
          <w:p w14:paraId="41091DB4">
            <w:pPr>
              <w:pStyle w:val="23"/>
              <w:adjustRightInd w:val="0"/>
              <w:spacing w:line="0" w:lineRule="atLeast"/>
              <w:jc w:val="center"/>
              <w:rPr>
                <w:rFonts w:hAnsi="宋体" w:cs="宋体"/>
                <w:color w:val="000000"/>
                <w:spacing w:val="-10"/>
                <w:sz w:val="21"/>
                <w:szCs w:val="21"/>
                <w:lang w:val="en-US" w:eastAsia="zh-CN"/>
              </w:rPr>
            </w:pPr>
            <w:r>
              <w:rPr>
                <w:rFonts w:hint="eastAsia" w:hAnsi="宋体" w:cs="宋体"/>
                <w:color w:val="000000"/>
                <w:spacing w:val="-10"/>
                <w:sz w:val="21"/>
                <w:szCs w:val="21"/>
                <w:lang w:val="en-US" w:eastAsia="zh-CN"/>
              </w:rPr>
              <w:t>保护范围</w:t>
            </w:r>
          </w:p>
        </w:tc>
        <w:tc>
          <w:tcPr>
            <w:tcW w:w="1303" w:type="pct"/>
            <w:tcMar>
              <w:left w:w="28" w:type="dxa"/>
              <w:right w:w="28" w:type="dxa"/>
            </w:tcMar>
            <w:vAlign w:val="center"/>
          </w:tcPr>
          <w:p w14:paraId="74A7F7C5">
            <w:pPr>
              <w:pStyle w:val="23"/>
              <w:adjustRightInd w:val="0"/>
              <w:spacing w:line="0" w:lineRule="atLeast"/>
              <w:jc w:val="center"/>
              <w:rPr>
                <w:rFonts w:hAnsi="宋体" w:cs="宋体"/>
                <w:color w:val="000000"/>
                <w:spacing w:val="-10"/>
                <w:sz w:val="21"/>
                <w:szCs w:val="21"/>
                <w:lang w:val="en-US" w:eastAsia="zh-CN"/>
              </w:rPr>
            </w:pPr>
            <w:r>
              <w:rPr>
                <w:rFonts w:hint="eastAsia" w:hAnsi="宋体" w:cs="宋体"/>
                <w:color w:val="000000"/>
                <w:spacing w:val="-10"/>
                <w:sz w:val="21"/>
                <w:szCs w:val="21"/>
                <w:lang w:val="en-US" w:eastAsia="zh-CN"/>
              </w:rPr>
              <w:t>距最近距离</w:t>
            </w:r>
          </w:p>
        </w:tc>
      </w:tr>
      <w:tr w14:paraId="44EEB7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2" w:type="pct"/>
            <w:tcMar>
              <w:left w:w="28" w:type="dxa"/>
              <w:right w:w="28" w:type="dxa"/>
            </w:tcMar>
            <w:vAlign w:val="center"/>
          </w:tcPr>
          <w:p w14:paraId="6FCC2758">
            <w:pPr>
              <w:pStyle w:val="23"/>
              <w:adjustRightInd w:val="0"/>
              <w:spacing w:line="0" w:lineRule="atLeast"/>
              <w:jc w:val="center"/>
              <w:rPr>
                <w:rFonts w:hint="eastAsia" w:hAnsi="宋体" w:cs="宋体"/>
                <w:color w:val="000000"/>
                <w:spacing w:val="-10"/>
                <w:sz w:val="21"/>
                <w:szCs w:val="21"/>
                <w:lang w:val="en-US" w:eastAsia="zh-CN"/>
              </w:rPr>
            </w:pPr>
            <w:r>
              <w:rPr>
                <w:rFonts w:hint="eastAsia" w:hAnsi="宋体" w:cs="宋体"/>
                <w:color w:val="000000"/>
                <w:spacing w:val="-10"/>
                <w:sz w:val="21"/>
                <w:szCs w:val="21"/>
                <w:lang w:val="en-US" w:eastAsia="zh-CN"/>
              </w:rPr>
              <w:t>生态影响</w:t>
            </w:r>
          </w:p>
        </w:tc>
        <w:tc>
          <w:tcPr>
            <w:tcW w:w="1966" w:type="pct"/>
            <w:tcMar>
              <w:left w:w="28" w:type="dxa"/>
              <w:right w:w="28" w:type="dxa"/>
            </w:tcMar>
            <w:vAlign w:val="center"/>
          </w:tcPr>
          <w:p w14:paraId="25E3B035">
            <w:pPr>
              <w:pStyle w:val="23"/>
              <w:adjustRightInd w:val="0"/>
              <w:spacing w:line="0" w:lineRule="atLeast"/>
              <w:jc w:val="center"/>
              <w:rPr>
                <w:rFonts w:hint="eastAsia" w:hAnsi="宋体" w:cs="宋体"/>
                <w:color w:val="000000"/>
                <w:spacing w:val="-10"/>
                <w:sz w:val="21"/>
                <w:szCs w:val="21"/>
                <w:lang w:val="en-US" w:eastAsia="zh-CN"/>
              </w:rPr>
            </w:pPr>
            <w:r>
              <w:rPr>
                <w:rFonts w:hint="eastAsia" w:hAnsi="宋体"/>
                <w:color w:val="000000"/>
                <w:spacing w:val="-10"/>
                <w:sz w:val="21"/>
                <w:szCs w:val="21"/>
                <w:lang w:val="en-US" w:eastAsia="zh-CN"/>
              </w:rPr>
              <w:t>塔里木河流域水土流失重点治理区范围</w:t>
            </w:r>
          </w:p>
        </w:tc>
        <w:tc>
          <w:tcPr>
            <w:tcW w:w="1227" w:type="pct"/>
            <w:tcMar>
              <w:left w:w="28" w:type="dxa"/>
              <w:right w:w="28" w:type="dxa"/>
            </w:tcMar>
            <w:vAlign w:val="center"/>
          </w:tcPr>
          <w:p w14:paraId="2CF39E1F">
            <w:pPr>
              <w:pStyle w:val="23"/>
              <w:adjustRightInd w:val="0"/>
              <w:spacing w:line="0" w:lineRule="atLeast"/>
              <w:jc w:val="center"/>
              <w:rPr>
                <w:rFonts w:hint="eastAsia" w:hAnsi="宋体"/>
                <w:color w:val="000000"/>
                <w:spacing w:val="-10"/>
                <w:sz w:val="21"/>
                <w:szCs w:val="21"/>
                <w:lang w:val="en-US" w:eastAsia="zh-CN"/>
              </w:rPr>
            </w:pPr>
            <w:r>
              <w:rPr>
                <w:rFonts w:hint="eastAsia" w:hAnsi="宋体"/>
                <w:color w:val="000000"/>
                <w:spacing w:val="-10"/>
                <w:sz w:val="21"/>
                <w:szCs w:val="21"/>
                <w:lang w:val="en-US" w:eastAsia="zh-CN"/>
              </w:rPr>
              <w:t>管线中心线两侧300m</w:t>
            </w:r>
          </w:p>
        </w:tc>
        <w:tc>
          <w:tcPr>
            <w:tcW w:w="1303" w:type="pct"/>
            <w:tcMar>
              <w:left w:w="28" w:type="dxa"/>
              <w:right w:w="28" w:type="dxa"/>
            </w:tcMar>
            <w:vAlign w:val="center"/>
          </w:tcPr>
          <w:p w14:paraId="400229A3">
            <w:pPr>
              <w:pStyle w:val="23"/>
              <w:adjustRightInd w:val="0"/>
              <w:spacing w:line="0" w:lineRule="atLeast"/>
              <w:jc w:val="center"/>
              <w:rPr>
                <w:rFonts w:hAnsi="宋体" w:cs="宋体"/>
                <w:color w:val="000000"/>
                <w:spacing w:val="-10"/>
                <w:sz w:val="21"/>
                <w:szCs w:val="21"/>
                <w:lang w:val="en-US" w:eastAsia="zh-CN"/>
              </w:rPr>
            </w:pPr>
            <w:r>
              <w:rPr>
                <w:rFonts w:hint="eastAsia" w:hAnsi="宋体"/>
                <w:color w:val="000000"/>
                <w:spacing w:val="-10"/>
                <w:sz w:val="21"/>
                <w:szCs w:val="21"/>
                <w:lang w:val="en-US" w:eastAsia="zh-CN"/>
              </w:rPr>
              <w:t>占用</w:t>
            </w:r>
          </w:p>
        </w:tc>
      </w:tr>
    </w:tbl>
    <w:p w14:paraId="29FDD2C0">
      <w:pPr>
        <w:autoSpaceDE w:val="0"/>
        <w:autoSpaceDN w:val="0"/>
        <w:adjustRightInd w:val="0"/>
        <w:spacing w:before="160" w:line="460" w:lineRule="exact"/>
        <w:ind w:firstLine="515" w:firstLineChars="196"/>
        <w:rPr>
          <w:rFonts w:ascii="黑体" w:hAnsi="黑体" w:eastAsia="黑体"/>
          <w:color w:val="000000"/>
          <w:szCs w:val="24"/>
          <w:lang w:val="zh-CN"/>
        </w:rPr>
      </w:pPr>
      <w:bookmarkStart w:id="81" w:name="_Toc198040315"/>
      <w:bookmarkStart w:id="82" w:name="_Toc198040171"/>
      <w:bookmarkStart w:id="83" w:name="_Toc208474664"/>
      <w:r>
        <w:rPr>
          <w:rFonts w:hint="eastAsia" w:ascii="黑体" w:hAnsi="黑体" w:eastAsia="黑体"/>
          <w:color w:val="000000"/>
          <w:szCs w:val="24"/>
          <w:lang w:val="zh-CN"/>
        </w:rPr>
        <w:t>表</w:t>
      </w:r>
      <w:r>
        <w:rPr>
          <w:rFonts w:hint="eastAsia" w:ascii="黑体" w:hAnsi="黑体" w:eastAsia="黑体"/>
          <w:color w:val="000000"/>
          <w:szCs w:val="24"/>
        </w:rPr>
        <w:t>2</w:t>
      </w:r>
      <w:r>
        <w:rPr>
          <w:rFonts w:hint="eastAsia" w:ascii="黑体" w:hAnsi="黑体" w:eastAsia="黑体"/>
          <w:color w:val="000000"/>
          <w:szCs w:val="24"/>
          <w:lang w:val="zh-CN"/>
        </w:rPr>
        <w:t>.6-</w:t>
      </w:r>
      <w:r>
        <w:rPr>
          <w:rFonts w:hint="eastAsia" w:ascii="黑体" w:hAnsi="黑体" w:eastAsia="黑体"/>
          <w:color w:val="000000"/>
          <w:szCs w:val="24"/>
        </w:rPr>
        <w:t xml:space="preserve">3        </w:t>
      </w:r>
      <w:r>
        <w:rPr>
          <w:rFonts w:hint="eastAsia" w:ascii="黑体" w:hAnsi="黑体" w:eastAsia="黑体"/>
          <w:color w:val="000000"/>
          <w:szCs w:val="24"/>
          <w:lang w:val="zh-CN"/>
        </w:rPr>
        <w:t>环境风险保护目标一览表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34"/>
        <w:gridCol w:w="599"/>
        <w:gridCol w:w="1493"/>
        <w:gridCol w:w="1457"/>
        <w:gridCol w:w="2106"/>
        <w:gridCol w:w="1201"/>
        <w:gridCol w:w="1525"/>
      </w:tblGrid>
      <w:tr w14:paraId="5735F1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2" w:type="pct"/>
            <w:vAlign w:val="center"/>
          </w:tcPr>
          <w:p w14:paraId="33A7ADE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4648" w:type="pct"/>
            <w:gridSpan w:val="6"/>
            <w:vAlign w:val="center"/>
          </w:tcPr>
          <w:p w14:paraId="216A935A">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环境敏感特征</w:t>
            </w:r>
          </w:p>
        </w:tc>
      </w:tr>
      <w:tr w14:paraId="3F6C20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2" w:type="pct"/>
            <w:vMerge w:val="restart"/>
            <w:vAlign w:val="center"/>
          </w:tcPr>
          <w:p w14:paraId="312030F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环境空气</w:t>
            </w:r>
          </w:p>
        </w:tc>
        <w:tc>
          <w:tcPr>
            <w:tcW w:w="4648" w:type="pct"/>
            <w:gridSpan w:val="6"/>
            <w:vAlign w:val="center"/>
          </w:tcPr>
          <w:p w14:paraId="2EC239C0">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场址周边3km范围内</w:t>
            </w:r>
          </w:p>
        </w:tc>
      </w:tr>
      <w:tr w14:paraId="56733F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2" w:type="pct"/>
            <w:vMerge w:val="continue"/>
            <w:vAlign w:val="center"/>
          </w:tcPr>
          <w:p w14:paraId="4EF931CD">
            <w:pPr>
              <w:widowControl/>
              <w:spacing w:line="0" w:lineRule="atLeast"/>
              <w:jc w:val="center"/>
              <w:rPr>
                <w:rFonts w:hint="eastAsia" w:hAnsi="宋体" w:cs="宋体"/>
                <w:color w:val="000000"/>
                <w:spacing w:val="-10"/>
                <w:sz w:val="21"/>
                <w:szCs w:val="21"/>
              </w:rPr>
            </w:pPr>
          </w:p>
        </w:tc>
        <w:tc>
          <w:tcPr>
            <w:tcW w:w="332" w:type="pct"/>
            <w:vAlign w:val="center"/>
          </w:tcPr>
          <w:p w14:paraId="38A43355">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序号</w:t>
            </w:r>
          </w:p>
        </w:tc>
        <w:tc>
          <w:tcPr>
            <w:tcW w:w="828" w:type="pct"/>
            <w:vAlign w:val="center"/>
          </w:tcPr>
          <w:p w14:paraId="24C5BC1E">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敏感目标名称</w:t>
            </w:r>
          </w:p>
        </w:tc>
        <w:tc>
          <w:tcPr>
            <w:tcW w:w="808" w:type="pct"/>
            <w:vAlign w:val="center"/>
          </w:tcPr>
          <w:p w14:paraId="6BFB4542">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相对方位</w:t>
            </w:r>
          </w:p>
        </w:tc>
        <w:tc>
          <w:tcPr>
            <w:tcW w:w="1168" w:type="pct"/>
            <w:vAlign w:val="center"/>
          </w:tcPr>
          <w:p w14:paraId="67409CC3">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距离/m</w:t>
            </w:r>
          </w:p>
        </w:tc>
        <w:tc>
          <w:tcPr>
            <w:tcW w:w="666" w:type="pct"/>
            <w:vAlign w:val="center"/>
          </w:tcPr>
          <w:p w14:paraId="1D1E1826">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属性</w:t>
            </w:r>
          </w:p>
        </w:tc>
        <w:tc>
          <w:tcPr>
            <w:tcW w:w="845" w:type="pct"/>
            <w:vAlign w:val="center"/>
          </w:tcPr>
          <w:p w14:paraId="0A1A8F27">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人口数</w:t>
            </w:r>
          </w:p>
        </w:tc>
      </w:tr>
      <w:tr w14:paraId="310EA2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2" w:type="pct"/>
            <w:vMerge w:val="continue"/>
            <w:vAlign w:val="center"/>
          </w:tcPr>
          <w:p w14:paraId="2F57E36D">
            <w:pPr>
              <w:widowControl/>
              <w:spacing w:line="0" w:lineRule="atLeast"/>
              <w:jc w:val="center"/>
              <w:rPr>
                <w:rFonts w:hint="eastAsia" w:hAnsi="宋体" w:cs="宋体"/>
                <w:color w:val="000000"/>
                <w:spacing w:val="-10"/>
                <w:sz w:val="21"/>
                <w:szCs w:val="21"/>
              </w:rPr>
            </w:pPr>
          </w:p>
        </w:tc>
        <w:tc>
          <w:tcPr>
            <w:tcW w:w="332" w:type="pct"/>
            <w:vAlign w:val="center"/>
          </w:tcPr>
          <w:p w14:paraId="7B24E03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828" w:type="pct"/>
            <w:vAlign w:val="center"/>
          </w:tcPr>
          <w:p w14:paraId="795D236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区域大气环境</w:t>
            </w:r>
          </w:p>
        </w:tc>
        <w:tc>
          <w:tcPr>
            <w:tcW w:w="808" w:type="pct"/>
            <w:vAlign w:val="center"/>
          </w:tcPr>
          <w:p w14:paraId="5A785741">
            <w:pPr>
              <w:spacing w:line="0" w:lineRule="atLeast"/>
              <w:jc w:val="center"/>
              <w:rPr>
                <w:rFonts w:hint="eastAsia" w:hAnsi="宋体" w:cs="宋体"/>
                <w:bCs/>
                <w:color w:val="000000"/>
                <w:spacing w:val="-10"/>
                <w:sz w:val="21"/>
                <w:szCs w:val="21"/>
              </w:rPr>
            </w:pPr>
            <w:r>
              <w:rPr>
                <w:rFonts w:hint="eastAsia" w:hAnsi="宋体" w:cs="宋体"/>
                <w:bCs/>
                <w:color w:val="000000"/>
                <w:spacing w:val="-10"/>
                <w:sz w:val="21"/>
                <w:szCs w:val="21"/>
              </w:rPr>
              <w:t>--</w:t>
            </w:r>
          </w:p>
        </w:tc>
        <w:tc>
          <w:tcPr>
            <w:tcW w:w="1168" w:type="pct"/>
            <w:vAlign w:val="center"/>
          </w:tcPr>
          <w:p w14:paraId="336B5F9D">
            <w:pPr>
              <w:spacing w:line="0" w:lineRule="atLeast"/>
              <w:jc w:val="center"/>
              <w:rPr>
                <w:rFonts w:hint="eastAsia" w:hAnsi="宋体" w:cs="宋体"/>
                <w:bCs/>
                <w:color w:val="000000"/>
                <w:spacing w:val="-10"/>
                <w:sz w:val="21"/>
                <w:szCs w:val="21"/>
              </w:rPr>
            </w:pPr>
            <w:r>
              <w:rPr>
                <w:rFonts w:hint="eastAsia" w:hAnsi="宋体" w:cs="宋体"/>
                <w:bCs/>
                <w:color w:val="000000"/>
                <w:spacing w:val="-10"/>
                <w:sz w:val="21"/>
                <w:szCs w:val="21"/>
              </w:rPr>
              <w:t>--</w:t>
            </w:r>
          </w:p>
        </w:tc>
        <w:tc>
          <w:tcPr>
            <w:tcW w:w="666" w:type="pct"/>
            <w:vAlign w:val="center"/>
          </w:tcPr>
          <w:p w14:paraId="656E245F">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w:t>
            </w:r>
          </w:p>
        </w:tc>
        <w:tc>
          <w:tcPr>
            <w:tcW w:w="845" w:type="pct"/>
            <w:vAlign w:val="center"/>
          </w:tcPr>
          <w:p w14:paraId="50A617E3">
            <w:pPr>
              <w:spacing w:line="0" w:lineRule="atLeast"/>
              <w:jc w:val="center"/>
              <w:rPr>
                <w:rFonts w:hint="eastAsia" w:hAnsi="宋体" w:cs="宋体"/>
                <w:bCs/>
                <w:color w:val="000000"/>
                <w:spacing w:val="-10"/>
                <w:sz w:val="21"/>
                <w:szCs w:val="21"/>
              </w:rPr>
            </w:pPr>
            <w:r>
              <w:rPr>
                <w:rFonts w:hint="eastAsia" w:hAnsi="宋体" w:cs="宋体"/>
                <w:bCs/>
                <w:color w:val="000000"/>
                <w:spacing w:val="-10"/>
                <w:sz w:val="21"/>
                <w:szCs w:val="21"/>
              </w:rPr>
              <w:t>0</w:t>
            </w:r>
          </w:p>
        </w:tc>
      </w:tr>
    </w:tbl>
    <w:p w14:paraId="53DBF2D7">
      <w:pPr>
        <w:autoSpaceDE w:val="0"/>
        <w:autoSpaceDN w:val="0"/>
        <w:adjustRightInd w:val="0"/>
        <w:spacing w:line="460" w:lineRule="exact"/>
        <w:ind w:firstLine="515" w:firstLineChars="196"/>
        <w:rPr>
          <w:rFonts w:ascii="黑体" w:hAnsi="黑体" w:eastAsia="黑体"/>
          <w:color w:val="000000"/>
          <w:szCs w:val="24"/>
          <w:lang w:val="zh-CN"/>
        </w:rPr>
      </w:pPr>
      <w:r>
        <w:br w:type="page"/>
      </w:r>
      <w:r>
        <w:rPr>
          <w:rFonts w:hint="eastAsia" w:ascii="黑体" w:hAnsi="黑体" w:eastAsia="黑体"/>
          <w:color w:val="000000"/>
          <w:szCs w:val="24"/>
        </w:rPr>
        <w:t>续</w:t>
      </w:r>
      <w:r>
        <w:rPr>
          <w:rFonts w:hint="eastAsia" w:ascii="黑体" w:hAnsi="黑体" w:eastAsia="黑体"/>
          <w:color w:val="000000"/>
          <w:szCs w:val="24"/>
          <w:lang w:val="zh-CN"/>
        </w:rPr>
        <w:t>表</w:t>
      </w:r>
      <w:r>
        <w:rPr>
          <w:rFonts w:hint="eastAsia" w:ascii="黑体" w:hAnsi="黑体" w:eastAsia="黑体"/>
          <w:color w:val="000000"/>
          <w:szCs w:val="24"/>
        </w:rPr>
        <w:t>2</w:t>
      </w:r>
      <w:r>
        <w:rPr>
          <w:rFonts w:hint="eastAsia" w:ascii="黑体" w:hAnsi="黑体" w:eastAsia="黑体"/>
          <w:color w:val="000000"/>
          <w:szCs w:val="24"/>
          <w:lang w:val="zh-CN"/>
        </w:rPr>
        <w:t>.6-</w:t>
      </w:r>
      <w:r>
        <w:rPr>
          <w:rFonts w:hint="eastAsia" w:ascii="黑体" w:hAnsi="黑体" w:eastAsia="黑体"/>
          <w:color w:val="000000"/>
          <w:szCs w:val="24"/>
        </w:rPr>
        <w:t xml:space="preserve">3        </w:t>
      </w:r>
      <w:r>
        <w:rPr>
          <w:rFonts w:hint="eastAsia" w:ascii="黑体" w:hAnsi="黑体" w:eastAsia="黑体"/>
          <w:color w:val="000000"/>
          <w:szCs w:val="24"/>
          <w:lang w:val="zh-CN"/>
        </w:rPr>
        <w:t>环境风险保护目标一览表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34"/>
        <w:gridCol w:w="100"/>
        <w:gridCol w:w="718"/>
        <w:gridCol w:w="9"/>
        <w:gridCol w:w="2180"/>
        <w:gridCol w:w="9"/>
        <w:gridCol w:w="1293"/>
        <w:gridCol w:w="1017"/>
        <w:gridCol w:w="9"/>
        <w:gridCol w:w="1522"/>
        <w:gridCol w:w="1524"/>
      </w:tblGrid>
      <w:tr w14:paraId="75891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2" w:type="pct"/>
            <w:vAlign w:val="center"/>
          </w:tcPr>
          <w:p w14:paraId="4A7D80A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4648" w:type="pct"/>
            <w:gridSpan w:val="10"/>
            <w:vAlign w:val="center"/>
          </w:tcPr>
          <w:p w14:paraId="59B85B26">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环境敏感特征</w:t>
            </w:r>
          </w:p>
        </w:tc>
      </w:tr>
      <w:tr w14:paraId="2A6BE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55" w:type="pct"/>
            <w:gridSpan w:val="10"/>
            <w:vAlign w:val="center"/>
          </w:tcPr>
          <w:p w14:paraId="41DA31A4">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管线周边500m范围内人口数小计</w:t>
            </w:r>
          </w:p>
        </w:tc>
        <w:tc>
          <w:tcPr>
            <w:tcW w:w="845" w:type="pct"/>
            <w:vAlign w:val="center"/>
          </w:tcPr>
          <w:p w14:paraId="44448DE2">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0</w:t>
            </w:r>
          </w:p>
        </w:tc>
      </w:tr>
      <w:tr w14:paraId="36EFD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55" w:type="pct"/>
            <w:gridSpan w:val="10"/>
            <w:vAlign w:val="center"/>
          </w:tcPr>
          <w:p w14:paraId="7B83E40C">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管线周边200m范围内</w:t>
            </w:r>
          </w:p>
        </w:tc>
        <w:tc>
          <w:tcPr>
            <w:tcW w:w="845" w:type="pct"/>
            <w:vAlign w:val="center"/>
          </w:tcPr>
          <w:p w14:paraId="35E84872">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0</w:t>
            </w:r>
          </w:p>
        </w:tc>
      </w:tr>
      <w:tr w14:paraId="750D3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55" w:type="pct"/>
            <w:gridSpan w:val="10"/>
            <w:tcBorders>
              <w:bottom w:val="double" w:color="auto" w:sz="4" w:space="0"/>
            </w:tcBorders>
            <w:vAlign w:val="center"/>
          </w:tcPr>
          <w:p w14:paraId="6CFF9E22">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大气环境敏感程度E值</w:t>
            </w:r>
          </w:p>
        </w:tc>
        <w:tc>
          <w:tcPr>
            <w:tcW w:w="845" w:type="pct"/>
            <w:tcBorders>
              <w:bottom w:val="double" w:color="auto" w:sz="4" w:space="0"/>
            </w:tcBorders>
            <w:vAlign w:val="center"/>
          </w:tcPr>
          <w:p w14:paraId="6366E207">
            <w:pPr>
              <w:spacing w:line="0" w:lineRule="atLeast"/>
              <w:jc w:val="center"/>
              <w:textAlignment w:val="center"/>
              <w:rPr>
                <w:rFonts w:hint="eastAsia" w:hAnsi="宋体" w:cs="宋体"/>
                <w:bCs/>
                <w:color w:val="000000"/>
                <w:spacing w:val="-10"/>
                <w:sz w:val="21"/>
                <w:szCs w:val="21"/>
              </w:rPr>
            </w:pPr>
            <w:r>
              <w:rPr>
                <w:rFonts w:hint="eastAsia" w:hAnsi="宋体" w:cs="宋体"/>
                <w:bCs/>
                <w:color w:val="000000"/>
                <w:spacing w:val="-10"/>
                <w:sz w:val="21"/>
                <w:szCs w:val="21"/>
              </w:rPr>
              <w:t>E3</w:t>
            </w:r>
          </w:p>
        </w:tc>
      </w:tr>
      <w:tr w14:paraId="4482CB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vMerge w:val="restart"/>
            <w:tcBorders>
              <w:top w:val="double" w:color="auto" w:sz="4" w:space="0"/>
            </w:tcBorders>
            <w:vAlign w:val="center"/>
          </w:tcPr>
          <w:p w14:paraId="2B06FD10">
            <w:pPr>
              <w:spacing w:line="0" w:lineRule="atLeast"/>
              <w:jc w:val="center"/>
              <w:rPr>
                <w:rFonts w:hint="eastAsia" w:hAnsi="宋体" w:cs="宋体"/>
                <w:color w:val="000000"/>
                <w:spacing w:val="-10"/>
                <w:sz w:val="21"/>
                <w:szCs w:val="21"/>
              </w:rPr>
            </w:pPr>
            <w:r>
              <w:rPr>
                <w:rFonts w:hint="eastAsia" w:hAnsi="宋体" w:cs="宋体"/>
                <w:bCs/>
                <w:color w:val="000000"/>
                <w:spacing w:val="-10"/>
                <w:sz w:val="21"/>
                <w:szCs w:val="21"/>
              </w:rPr>
              <w:t>地表水</w:t>
            </w:r>
          </w:p>
        </w:tc>
        <w:tc>
          <w:tcPr>
            <w:tcW w:w="403" w:type="pct"/>
            <w:gridSpan w:val="2"/>
            <w:tcBorders>
              <w:top w:val="double" w:color="auto" w:sz="4" w:space="0"/>
            </w:tcBorders>
            <w:vAlign w:val="center"/>
          </w:tcPr>
          <w:p w14:paraId="67DC25F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1214" w:type="pct"/>
            <w:gridSpan w:val="2"/>
            <w:tcBorders>
              <w:top w:val="double" w:color="auto" w:sz="4" w:space="0"/>
            </w:tcBorders>
            <w:vAlign w:val="center"/>
          </w:tcPr>
          <w:p w14:paraId="010924F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受纳水体名称</w:t>
            </w:r>
          </w:p>
        </w:tc>
        <w:tc>
          <w:tcPr>
            <w:tcW w:w="1286" w:type="pct"/>
            <w:gridSpan w:val="3"/>
            <w:tcBorders>
              <w:top w:val="double" w:color="auto" w:sz="4" w:space="0"/>
            </w:tcBorders>
            <w:vAlign w:val="center"/>
          </w:tcPr>
          <w:p w14:paraId="3FCEE21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水域环境功能</w:t>
            </w:r>
          </w:p>
        </w:tc>
        <w:tc>
          <w:tcPr>
            <w:tcW w:w="844" w:type="pct"/>
            <w:tcBorders>
              <w:top w:val="double" w:color="auto" w:sz="4" w:space="0"/>
            </w:tcBorders>
            <w:vAlign w:val="center"/>
          </w:tcPr>
          <w:p w14:paraId="5F20546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24h内流经范围</w:t>
            </w:r>
          </w:p>
        </w:tc>
        <w:tc>
          <w:tcPr>
            <w:tcW w:w="845" w:type="pct"/>
            <w:tcBorders>
              <w:top w:val="double" w:color="auto" w:sz="4" w:space="0"/>
            </w:tcBorders>
            <w:vAlign w:val="center"/>
          </w:tcPr>
          <w:p w14:paraId="41262218">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与排放点距离</w:t>
            </w:r>
          </w:p>
        </w:tc>
      </w:tr>
      <w:tr w14:paraId="66B86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vMerge w:val="continue"/>
            <w:vAlign w:val="center"/>
          </w:tcPr>
          <w:p w14:paraId="5FC0207A">
            <w:pPr>
              <w:spacing w:line="0" w:lineRule="atLeast"/>
              <w:jc w:val="center"/>
              <w:rPr>
                <w:rFonts w:hint="eastAsia" w:hAnsi="宋体" w:cs="宋体"/>
                <w:color w:val="000000"/>
                <w:spacing w:val="-10"/>
                <w:sz w:val="21"/>
                <w:szCs w:val="21"/>
              </w:rPr>
            </w:pPr>
          </w:p>
        </w:tc>
        <w:tc>
          <w:tcPr>
            <w:tcW w:w="403" w:type="pct"/>
            <w:gridSpan w:val="2"/>
            <w:vAlign w:val="center"/>
          </w:tcPr>
          <w:p w14:paraId="5FDBFD9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214" w:type="pct"/>
            <w:gridSpan w:val="2"/>
            <w:vAlign w:val="center"/>
          </w:tcPr>
          <w:p w14:paraId="5FE6DD27">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w:t>
            </w:r>
          </w:p>
        </w:tc>
        <w:tc>
          <w:tcPr>
            <w:tcW w:w="1286" w:type="pct"/>
            <w:gridSpan w:val="3"/>
            <w:vAlign w:val="center"/>
          </w:tcPr>
          <w:p w14:paraId="536BCF81">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w:t>
            </w:r>
          </w:p>
        </w:tc>
        <w:tc>
          <w:tcPr>
            <w:tcW w:w="844" w:type="pct"/>
            <w:vAlign w:val="center"/>
          </w:tcPr>
          <w:p w14:paraId="0BBD0F1E">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w:t>
            </w:r>
          </w:p>
        </w:tc>
        <w:tc>
          <w:tcPr>
            <w:tcW w:w="845" w:type="pct"/>
            <w:vAlign w:val="center"/>
          </w:tcPr>
          <w:p w14:paraId="3BDE7AFD">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w:t>
            </w:r>
          </w:p>
        </w:tc>
      </w:tr>
      <w:tr w14:paraId="71FACE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vMerge w:val="continue"/>
            <w:tcBorders>
              <w:bottom w:val="double" w:color="auto" w:sz="4" w:space="0"/>
            </w:tcBorders>
            <w:vAlign w:val="center"/>
          </w:tcPr>
          <w:p w14:paraId="198AF6F0">
            <w:pPr>
              <w:spacing w:line="0" w:lineRule="atLeast"/>
              <w:jc w:val="center"/>
              <w:rPr>
                <w:rFonts w:hint="eastAsia" w:hAnsi="宋体" w:cs="宋体"/>
                <w:color w:val="000000"/>
                <w:spacing w:val="-10"/>
                <w:sz w:val="21"/>
                <w:szCs w:val="21"/>
              </w:rPr>
            </w:pPr>
          </w:p>
        </w:tc>
        <w:tc>
          <w:tcPr>
            <w:tcW w:w="3747" w:type="pct"/>
            <w:gridSpan w:val="8"/>
            <w:tcBorders>
              <w:bottom w:val="double" w:color="auto" w:sz="4" w:space="0"/>
            </w:tcBorders>
            <w:vAlign w:val="center"/>
          </w:tcPr>
          <w:p w14:paraId="75ADADA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地表水环境敏感程度E值</w:t>
            </w:r>
          </w:p>
        </w:tc>
        <w:tc>
          <w:tcPr>
            <w:tcW w:w="845" w:type="pct"/>
            <w:tcBorders>
              <w:bottom w:val="double" w:color="auto" w:sz="4" w:space="0"/>
            </w:tcBorders>
            <w:vAlign w:val="center"/>
          </w:tcPr>
          <w:p w14:paraId="542C9F43">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w:t>
            </w:r>
          </w:p>
        </w:tc>
      </w:tr>
      <w:tr w14:paraId="29A02C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tcBorders>
              <w:top w:val="double" w:color="auto" w:sz="4" w:space="0"/>
            </w:tcBorders>
            <w:vAlign w:val="center"/>
          </w:tcPr>
          <w:p w14:paraId="7915B33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398" w:type="pct"/>
            <w:tcBorders>
              <w:top w:val="double" w:color="auto" w:sz="4" w:space="0"/>
            </w:tcBorders>
            <w:vAlign w:val="center"/>
          </w:tcPr>
          <w:p w14:paraId="5129094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1214" w:type="pct"/>
            <w:gridSpan w:val="2"/>
            <w:tcBorders>
              <w:top w:val="double" w:color="auto" w:sz="4" w:space="0"/>
            </w:tcBorders>
            <w:vAlign w:val="center"/>
          </w:tcPr>
          <w:p w14:paraId="7383373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环境敏感区名称</w:t>
            </w:r>
          </w:p>
        </w:tc>
        <w:tc>
          <w:tcPr>
            <w:tcW w:w="722" w:type="pct"/>
            <w:gridSpan w:val="2"/>
            <w:tcBorders>
              <w:top w:val="double" w:color="auto" w:sz="4" w:space="0"/>
            </w:tcBorders>
            <w:vAlign w:val="center"/>
          </w:tcPr>
          <w:p w14:paraId="2298DE9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环境敏感</w:t>
            </w:r>
          </w:p>
          <w:p w14:paraId="5F8D422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特征</w:t>
            </w:r>
          </w:p>
        </w:tc>
        <w:tc>
          <w:tcPr>
            <w:tcW w:w="564" w:type="pct"/>
            <w:tcBorders>
              <w:top w:val="double" w:color="auto" w:sz="4" w:space="0"/>
            </w:tcBorders>
            <w:vAlign w:val="center"/>
          </w:tcPr>
          <w:p w14:paraId="1452C56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水质目标</w:t>
            </w:r>
          </w:p>
        </w:tc>
        <w:tc>
          <w:tcPr>
            <w:tcW w:w="849" w:type="pct"/>
            <w:gridSpan w:val="2"/>
            <w:tcBorders>
              <w:top w:val="double" w:color="auto" w:sz="4" w:space="0"/>
            </w:tcBorders>
            <w:vAlign w:val="center"/>
          </w:tcPr>
          <w:p w14:paraId="17C6E3B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包气带防污</w:t>
            </w:r>
          </w:p>
          <w:p w14:paraId="7D4A748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性能</w:t>
            </w:r>
          </w:p>
        </w:tc>
        <w:tc>
          <w:tcPr>
            <w:tcW w:w="845" w:type="pct"/>
            <w:tcBorders>
              <w:top w:val="double" w:color="auto" w:sz="4" w:space="0"/>
            </w:tcBorders>
            <w:vAlign w:val="center"/>
          </w:tcPr>
          <w:p w14:paraId="3785622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与下游厂界距离(m)</w:t>
            </w:r>
          </w:p>
        </w:tc>
      </w:tr>
      <w:tr w14:paraId="00F81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vMerge w:val="restart"/>
            <w:vAlign w:val="center"/>
          </w:tcPr>
          <w:p w14:paraId="3CC3704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398" w:type="pct"/>
            <w:vAlign w:val="center"/>
          </w:tcPr>
          <w:p w14:paraId="7AE4C51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214" w:type="pct"/>
            <w:gridSpan w:val="2"/>
            <w:vAlign w:val="center"/>
          </w:tcPr>
          <w:p w14:paraId="3BAF6D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调查评价范围内潜水含水层</w:t>
            </w:r>
          </w:p>
        </w:tc>
        <w:tc>
          <w:tcPr>
            <w:tcW w:w="722" w:type="pct"/>
            <w:gridSpan w:val="2"/>
            <w:vAlign w:val="center"/>
          </w:tcPr>
          <w:p w14:paraId="7013543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G3</w:t>
            </w:r>
          </w:p>
        </w:tc>
        <w:tc>
          <w:tcPr>
            <w:tcW w:w="564" w:type="pct"/>
            <w:vAlign w:val="center"/>
          </w:tcPr>
          <w:p w14:paraId="2C421EA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Ⅲ类</w:t>
            </w:r>
          </w:p>
        </w:tc>
        <w:tc>
          <w:tcPr>
            <w:tcW w:w="849" w:type="pct"/>
            <w:gridSpan w:val="2"/>
            <w:vAlign w:val="center"/>
          </w:tcPr>
          <w:p w14:paraId="3D53FF2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D1</w:t>
            </w:r>
          </w:p>
        </w:tc>
        <w:tc>
          <w:tcPr>
            <w:tcW w:w="845" w:type="pct"/>
            <w:vAlign w:val="center"/>
          </w:tcPr>
          <w:p w14:paraId="6164375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BB82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gridSpan w:val="2"/>
            <w:vMerge w:val="continue"/>
            <w:vAlign w:val="center"/>
          </w:tcPr>
          <w:p w14:paraId="2F2B467A">
            <w:pPr>
              <w:widowControl/>
              <w:spacing w:line="0" w:lineRule="atLeast"/>
              <w:jc w:val="center"/>
              <w:rPr>
                <w:rFonts w:hint="eastAsia" w:hAnsi="宋体" w:cs="宋体"/>
                <w:color w:val="000000"/>
                <w:spacing w:val="-10"/>
                <w:sz w:val="21"/>
                <w:szCs w:val="21"/>
              </w:rPr>
            </w:pPr>
          </w:p>
        </w:tc>
        <w:tc>
          <w:tcPr>
            <w:tcW w:w="3747" w:type="pct"/>
            <w:gridSpan w:val="8"/>
            <w:vAlign w:val="center"/>
          </w:tcPr>
          <w:p w14:paraId="6EE7E4C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地下水环境敏感程度E值</w:t>
            </w:r>
          </w:p>
        </w:tc>
        <w:tc>
          <w:tcPr>
            <w:tcW w:w="845" w:type="pct"/>
            <w:vAlign w:val="center"/>
          </w:tcPr>
          <w:p w14:paraId="2A1C57EB">
            <w:pPr>
              <w:spacing w:line="0" w:lineRule="atLeast"/>
              <w:jc w:val="center"/>
              <w:textAlignment w:val="center"/>
              <w:rPr>
                <w:rFonts w:hint="eastAsia" w:hAnsi="宋体" w:cs="宋体"/>
                <w:color w:val="000000"/>
                <w:spacing w:val="-10"/>
                <w:sz w:val="21"/>
                <w:szCs w:val="21"/>
              </w:rPr>
            </w:pPr>
            <w:r>
              <w:rPr>
                <w:rFonts w:hint="eastAsia" w:hAnsi="宋体" w:cs="宋体"/>
                <w:bCs/>
                <w:color w:val="000000"/>
                <w:spacing w:val="-10"/>
                <w:sz w:val="21"/>
                <w:szCs w:val="21"/>
              </w:rPr>
              <w:t>E2</w:t>
            </w:r>
          </w:p>
        </w:tc>
      </w:tr>
    </w:tbl>
    <w:p w14:paraId="1A77004F">
      <w:pPr>
        <w:spacing w:before="160" w:line="480" w:lineRule="exact"/>
        <w:outlineLvl w:val="1"/>
        <w:rPr>
          <w:rFonts w:ascii="黑体" w:hAnsi="黑体" w:eastAsia="黑体" w:cs="黑体"/>
          <w:color w:val="000000"/>
          <w:sz w:val="28"/>
          <w:szCs w:val="28"/>
          <w:lang w:bidi="ar"/>
        </w:rPr>
      </w:pPr>
      <w:bookmarkStart w:id="84" w:name="_Toc230178781"/>
      <w:r>
        <w:rPr>
          <w:rFonts w:hint="eastAsia" w:ascii="黑体" w:hAnsi="黑体" w:eastAsia="黑体" w:cs="黑体"/>
          <w:color w:val="000000"/>
          <w:sz w:val="28"/>
          <w:szCs w:val="28"/>
          <w:lang w:bidi="ar"/>
        </w:rPr>
        <w:t>2.7 评价内容和评价重点</w:t>
      </w:r>
      <w:bookmarkEnd w:id="80"/>
      <w:bookmarkEnd w:id="81"/>
      <w:bookmarkEnd w:id="82"/>
      <w:bookmarkEnd w:id="83"/>
      <w:bookmarkEnd w:id="84"/>
    </w:p>
    <w:p w14:paraId="7AB77539">
      <w:pPr>
        <w:spacing w:line="480" w:lineRule="exact"/>
        <w:outlineLvl w:val="2"/>
        <w:rPr>
          <w:rFonts w:hAnsi="宋体"/>
          <w:color w:val="000000"/>
          <w:szCs w:val="24"/>
        </w:rPr>
      </w:pPr>
      <w:r>
        <w:rPr>
          <w:rFonts w:hint="eastAsia" w:hAnsi="宋体"/>
          <w:color w:val="000000"/>
          <w:szCs w:val="24"/>
        </w:rPr>
        <w:t>2.7.1 评价内容</w:t>
      </w:r>
    </w:p>
    <w:p w14:paraId="5AC7D4C3">
      <w:pPr>
        <w:spacing w:line="480" w:lineRule="exact"/>
        <w:ind w:firstLine="526" w:firstLineChars="200"/>
        <w:rPr>
          <w:rFonts w:hAnsi="宋体"/>
          <w:color w:val="000000"/>
          <w:szCs w:val="24"/>
        </w:rPr>
      </w:pPr>
      <w:r>
        <w:rPr>
          <w:rFonts w:hint="eastAsia" w:hAnsi="宋体"/>
          <w:color w:val="000000"/>
          <w:szCs w:val="24"/>
        </w:rPr>
        <w:t>根据拟建工程特点及周围环境特征，将本次评价工作内容列于表2.7-1。</w:t>
      </w:r>
    </w:p>
    <w:p w14:paraId="74D8960A">
      <w:pPr>
        <w:spacing w:line="480" w:lineRule="exact"/>
        <w:ind w:firstLine="526" w:firstLineChars="200"/>
        <w:rPr>
          <w:rFonts w:ascii="黑体" w:hAnsi="宋体" w:eastAsia="黑体"/>
          <w:color w:val="000000"/>
          <w:szCs w:val="24"/>
        </w:rPr>
      </w:pPr>
      <w:r>
        <w:rPr>
          <w:rFonts w:hint="eastAsia" w:ascii="黑体" w:hAnsi="宋体" w:eastAsia="黑体"/>
          <w:color w:val="000000"/>
          <w:szCs w:val="24"/>
        </w:rPr>
        <w:t>表2.7-1            评价内容一览表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473"/>
        <w:gridCol w:w="840"/>
        <w:gridCol w:w="7724"/>
      </w:tblGrid>
      <w:tr w14:paraId="149C48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3998AA4E">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序号</w:t>
            </w:r>
          </w:p>
        </w:tc>
        <w:tc>
          <w:tcPr>
            <w:tcW w:w="840" w:type="dxa"/>
            <w:noWrap/>
            <w:tcMar>
              <w:left w:w="28" w:type="dxa"/>
              <w:right w:w="28" w:type="dxa"/>
            </w:tcMar>
            <w:vAlign w:val="center"/>
          </w:tcPr>
          <w:p w14:paraId="5924E4E3">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项 目</w:t>
            </w:r>
          </w:p>
        </w:tc>
        <w:tc>
          <w:tcPr>
            <w:tcW w:w="7724" w:type="dxa"/>
            <w:noWrap/>
            <w:tcMar>
              <w:left w:w="28" w:type="dxa"/>
              <w:right w:w="28" w:type="dxa"/>
            </w:tcMar>
            <w:vAlign w:val="center"/>
          </w:tcPr>
          <w:p w14:paraId="69AF74BB">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内         容</w:t>
            </w:r>
          </w:p>
        </w:tc>
      </w:tr>
      <w:tr w14:paraId="26973E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03" w:hRule="atLeast"/>
          <w:jc w:val="center"/>
        </w:trPr>
        <w:tc>
          <w:tcPr>
            <w:tcW w:w="473" w:type="dxa"/>
            <w:noWrap/>
            <w:tcMar>
              <w:left w:w="28" w:type="dxa"/>
              <w:right w:w="28" w:type="dxa"/>
            </w:tcMar>
            <w:vAlign w:val="center"/>
          </w:tcPr>
          <w:p w14:paraId="5AFF3D6A">
            <w:pPr>
              <w:spacing w:line="0" w:lineRule="atLeast"/>
              <w:jc w:val="center"/>
              <w:rPr>
                <w:rFonts w:hAnsi="宋体"/>
                <w:color w:val="000000"/>
                <w:spacing w:val="-10"/>
                <w:sz w:val="21"/>
                <w:szCs w:val="21"/>
              </w:rPr>
            </w:pPr>
            <w:r>
              <w:rPr>
                <w:rFonts w:hint="eastAsia" w:hAnsi="宋体"/>
                <w:color w:val="000000"/>
                <w:spacing w:val="-10"/>
                <w:sz w:val="21"/>
                <w:szCs w:val="21"/>
              </w:rPr>
              <w:t>1</w:t>
            </w:r>
          </w:p>
        </w:tc>
        <w:tc>
          <w:tcPr>
            <w:tcW w:w="840" w:type="dxa"/>
            <w:noWrap/>
            <w:tcMar>
              <w:left w:w="28" w:type="dxa"/>
              <w:right w:w="28" w:type="dxa"/>
            </w:tcMar>
            <w:vAlign w:val="center"/>
          </w:tcPr>
          <w:p w14:paraId="1BB74D53">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概述</w:t>
            </w:r>
          </w:p>
        </w:tc>
        <w:tc>
          <w:tcPr>
            <w:tcW w:w="7724" w:type="dxa"/>
            <w:noWrap/>
            <w:tcMar>
              <w:left w:w="28" w:type="dxa"/>
              <w:right w:w="28" w:type="dxa"/>
            </w:tcMar>
            <w:vAlign w:val="center"/>
          </w:tcPr>
          <w:p w14:paraId="4066F3A8">
            <w:pPr>
              <w:autoSpaceDE w:val="0"/>
              <w:autoSpaceDN w:val="0"/>
              <w:adjustRightInd w:val="0"/>
              <w:spacing w:line="0" w:lineRule="atLeast"/>
              <w:jc w:val="left"/>
              <w:rPr>
                <w:rFonts w:hAnsi="宋体"/>
                <w:color w:val="000000"/>
                <w:spacing w:val="-10"/>
                <w:sz w:val="21"/>
                <w:szCs w:val="21"/>
              </w:rPr>
            </w:pPr>
            <w:r>
              <w:rPr>
                <w:rFonts w:hint="eastAsia" w:hAnsi="宋体"/>
                <w:color w:val="000000"/>
                <w:spacing w:val="-10"/>
                <w:sz w:val="21"/>
                <w:szCs w:val="21"/>
              </w:rPr>
              <w:t>建设项目特点、环境影响评价工作过程、分析判定相关情况、关注的主要环境问题及环境影响、主要结论</w:t>
            </w:r>
          </w:p>
        </w:tc>
      </w:tr>
      <w:tr w14:paraId="001ECB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05" w:hRule="atLeast"/>
          <w:jc w:val="center"/>
        </w:trPr>
        <w:tc>
          <w:tcPr>
            <w:tcW w:w="473" w:type="dxa"/>
            <w:noWrap/>
            <w:tcMar>
              <w:left w:w="28" w:type="dxa"/>
              <w:right w:w="28" w:type="dxa"/>
            </w:tcMar>
            <w:vAlign w:val="center"/>
          </w:tcPr>
          <w:p w14:paraId="57A333DB">
            <w:pPr>
              <w:spacing w:line="0" w:lineRule="atLeast"/>
              <w:jc w:val="center"/>
              <w:rPr>
                <w:rFonts w:hAnsi="宋体"/>
                <w:color w:val="000000"/>
                <w:spacing w:val="-10"/>
                <w:sz w:val="21"/>
                <w:szCs w:val="21"/>
              </w:rPr>
            </w:pPr>
            <w:r>
              <w:rPr>
                <w:rFonts w:hint="eastAsia" w:hAnsi="宋体"/>
                <w:color w:val="000000"/>
                <w:spacing w:val="-10"/>
                <w:sz w:val="21"/>
                <w:szCs w:val="21"/>
              </w:rPr>
              <w:t>2</w:t>
            </w:r>
          </w:p>
        </w:tc>
        <w:tc>
          <w:tcPr>
            <w:tcW w:w="840" w:type="dxa"/>
            <w:noWrap/>
            <w:tcMar>
              <w:left w:w="28" w:type="dxa"/>
              <w:right w:w="28" w:type="dxa"/>
            </w:tcMar>
            <w:vAlign w:val="center"/>
          </w:tcPr>
          <w:p w14:paraId="1B594AB8">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总则</w:t>
            </w:r>
          </w:p>
        </w:tc>
        <w:tc>
          <w:tcPr>
            <w:tcW w:w="7724" w:type="dxa"/>
            <w:noWrap/>
            <w:tcMar>
              <w:left w:w="28" w:type="dxa"/>
              <w:right w:w="28" w:type="dxa"/>
            </w:tcMar>
            <w:vAlign w:val="center"/>
          </w:tcPr>
          <w:p w14:paraId="11C48221">
            <w:pPr>
              <w:spacing w:line="0" w:lineRule="atLeast"/>
              <w:rPr>
                <w:rFonts w:hAnsi="宋体"/>
                <w:color w:val="000000"/>
                <w:spacing w:val="-10"/>
                <w:sz w:val="21"/>
                <w:szCs w:val="21"/>
              </w:rPr>
            </w:pPr>
            <w:r>
              <w:fldChar w:fldCharType="begin"/>
            </w:r>
            <w:r>
              <w:instrText xml:space="preserve"> HYPERLINK \l "_Toc9575" </w:instrText>
            </w:r>
            <w:r>
              <w:fldChar w:fldCharType="separate"/>
            </w:r>
            <w:r>
              <w:rPr>
                <w:rFonts w:hint="eastAsia" w:hAnsi="宋体"/>
                <w:color w:val="000000"/>
                <w:spacing w:val="-10"/>
                <w:sz w:val="21"/>
                <w:szCs w:val="21"/>
              </w:rPr>
              <w:t>编制依据</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"_Toc21170" </w:instrText>
            </w:r>
            <w:r>
              <w:fldChar w:fldCharType="separate"/>
            </w:r>
            <w:r>
              <w:rPr>
                <w:rFonts w:hint="eastAsia" w:hAnsi="宋体"/>
                <w:color w:val="000000"/>
                <w:spacing w:val="-10"/>
                <w:sz w:val="21"/>
                <w:szCs w:val="21"/>
              </w:rPr>
              <w:t>评价目的和评价原则</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"_Toc9969" </w:instrText>
            </w:r>
            <w:r>
              <w:fldChar w:fldCharType="separate"/>
            </w:r>
            <w:r>
              <w:rPr>
                <w:rFonts w:hint="eastAsia" w:hAnsi="宋体"/>
                <w:color w:val="000000"/>
                <w:spacing w:val="-10"/>
                <w:sz w:val="21"/>
                <w:szCs w:val="21"/>
              </w:rPr>
              <w:t>环境影响因素和评价因子</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"_Toc14939" </w:instrText>
            </w:r>
            <w:r>
              <w:fldChar w:fldCharType="separate"/>
            </w:r>
            <w:r>
              <w:rPr>
                <w:rFonts w:hint="eastAsia" w:hAnsi="宋体"/>
                <w:color w:val="000000"/>
                <w:spacing w:val="-10"/>
                <w:sz w:val="21"/>
                <w:szCs w:val="21"/>
              </w:rPr>
              <w:t>环境功能区划及评价标准</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"_Toc7582" </w:instrText>
            </w:r>
            <w:r>
              <w:fldChar w:fldCharType="separate"/>
            </w:r>
            <w:r>
              <w:rPr>
                <w:rFonts w:hint="eastAsia" w:hAnsi="宋体"/>
                <w:color w:val="000000"/>
                <w:spacing w:val="-10"/>
                <w:sz w:val="21"/>
                <w:szCs w:val="21"/>
              </w:rPr>
              <w:t>评价工作等级和评价范围</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"_Toc21101" </w:instrText>
            </w:r>
            <w:r>
              <w:fldChar w:fldCharType="separate"/>
            </w:r>
            <w:r>
              <w:rPr>
                <w:rFonts w:hint="eastAsia" w:hAnsi="宋体"/>
                <w:color w:val="000000"/>
                <w:spacing w:val="-10"/>
                <w:sz w:val="21"/>
                <w:szCs w:val="21"/>
              </w:rPr>
              <w:t>环境保护目标</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"_Toc24838" </w:instrText>
            </w:r>
            <w:r>
              <w:fldChar w:fldCharType="separate"/>
            </w:r>
            <w:r>
              <w:rPr>
                <w:rFonts w:hint="eastAsia" w:hAnsi="宋体"/>
                <w:color w:val="000000"/>
                <w:spacing w:val="-10"/>
                <w:sz w:val="21"/>
                <w:szCs w:val="21"/>
              </w:rPr>
              <w:t>评价内容和评价重点</w:t>
            </w:r>
            <w:r>
              <w:rPr>
                <w:rFonts w:hint="eastAsia" w:hAnsi="宋体"/>
                <w:color w:val="000000"/>
                <w:spacing w:val="-10"/>
                <w:sz w:val="21"/>
                <w:szCs w:val="21"/>
              </w:rPr>
              <w:fldChar w:fldCharType="end"/>
            </w:r>
            <w:r>
              <w:rPr>
                <w:rFonts w:hint="eastAsia" w:hAnsi="宋体"/>
                <w:color w:val="000000"/>
                <w:spacing w:val="-10"/>
                <w:sz w:val="21"/>
                <w:szCs w:val="21"/>
              </w:rPr>
              <w:t>、</w:t>
            </w:r>
            <w:r>
              <w:fldChar w:fldCharType="begin"/>
            </w:r>
            <w:r>
              <w:instrText xml:space="preserve"> HYPERLINK \l "_Toc24966" </w:instrText>
            </w:r>
            <w:r>
              <w:fldChar w:fldCharType="separate"/>
            </w:r>
            <w:r>
              <w:rPr>
                <w:rFonts w:hAnsi="宋体"/>
                <w:color w:val="000000"/>
                <w:spacing w:val="-10"/>
                <w:sz w:val="21"/>
                <w:szCs w:val="21"/>
              </w:rPr>
              <w:t>评价时段</w:t>
            </w:r>
            <w:r>
              <w:rPr>
                <w:rFonts w:hAnsi="宋体"/>
                <w:color w:val="000000"/>
                <w:spacing w:val="-10"/>
                <w:sz w:val="21"/>
                <w:szCs w:val="21"/>
              </w:rPr>
              <w:fldChar w:fldCharType="end"/>
            </w:r>
            <w:r>
              <w:rPr>
                <w:rFonts w:hint="eastAsia" w:hAnsi="宋体"/>
                <w:color w:val="000000"/>
                <w:spacing w:val="-10"/>
                <w:sz w:val="21"/>
                <w:szCs w:val="21"/>
              </w:rPr>
              <w:t>和评价方法</w:t>
            </w:r>
          </w:p>
        </w:tc>
      </w:tr>
      <w:tr w14:paraId="1B538B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536" w:hRule="atLeast"/>
          <w:jc w:val="center"/>
        </w:trPr>
        <w:tc>
          <w:tcPr>
            <w:tcW w:w="473" w:type="dxa"/>
            <w:noWrap/>
            <w:tcMar>
              <w:left w:w="28" w:type="dxa"/>
              <w:right w:w="28" w:type="dxa"/>
            </w:tcMar>
            <w:vAlign w:val="center"/>
          </w:tcPr>
          <w:p w14:paraId="3CBA0017">
            <w:pPr>
              <w:spacing w:line="0" w:lineRule="atLeast"/>
              <w:jc w:val="center"/>
              <w:rPr>
                <w:rFonts w:hAnsi="宋体"/>
                <w:color w:val="000000"/>
                <w:spacing w:val="-10"/>
                <w:sz w:val="21"/>
                <w:szCs w:val="21"/>
              </w:rPr>
            </w:pPr>
            <w:r>
              <w:rPr>
                <w:rFonts w:hint="eastAsia" w:hAnsi="宋体"/>
                <w:color w:val="000000"/>
                <w:spacing w:val="-10"/>
                <w:sz w:val="21"/>
                <w:szCs w:val="21"/>
              </w:rPr>
              <w:t>3</w:t>
            </w:r>
          </w:p>
        </w:tc>
        <w:tc>
          <w:tcPr>
            <w:tcW w:w="840" w:type="dxa"/>
            <w:noWrap/>
            <w:tcMar>
              <w:left w:w="28" w:type="dxa"/>
              <w:right w:w="28" w:type="dxa"/>
            </w:tcMar>
            <w:vAlign w:val="center"/>
          </w:tcPr>
          <w:p w14:paraId="691D83D3">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建设项目工程概况和工程分析</w:t>
            </w:r>
          </w:p>
        </w:tc>
        <w:tc>
          <w:tcPr>
            <w:tcW w:w="7724" w:type="dxa"/>
            <w:noWrap/>
            <w:tcMar>
              <w:left w:w="28" w:type="dxa"/>
              <w:right w:w="28" w:type="dxa"/>
            </w:tcMar>
            <w:vAlign w:val="center"/>
          </w:tcPr>
          <w:p w14:paraId="6E3C9DA3">
            <w:pPr>
              <w:spacing w:line="0" w:lineRule="atLeast"/>
              <w:rPr>
                <w:rFonts w:hAnsi="宋体"/>
                <w:color w:val="000000"/>
                <w:spacing w:val="-10"/>
                <w:sz w:val="21"/>
                <w:szCs w:val="21"/>
              </w:rPr>
            </w:pPr>
            <w:r>
              <w:rPr>
                <w:rFonts w:hint="eastAsia" w:hAnsi="宋体"/>
                <w:color w:val="000000"/>
                <w:spacing w:val="-10"/>
                <w:sz w:val="21"/>
                <w:szCs w:val="21"/>
              </w:rPr>
              <w:t>塔中Ⅰ号气田Ⅲ区开发现状及环境影响回顾：开发现状、“三同时”执行情况、环境影响回顾评价、现有区块污染物排放情况、环境问题及“以新带老”改进意见。</w:t>
            </w:r>
          </w:p>
          <w:p w14:paraId="35B5B031">
            <w:pPr>
              <w:spacing w:line="0" w:lineRule="atLeast"/>
              <w:rPr>
                <w:color w:val="000000"/>
                <w:sz w:val="21"/>
                <w:szCs w:val="21"/>
              </w:rPr>
            </w:pPr>
            <w:r>
              <w:rPr>
                <w:rFonts w:hint="eastAsia" w:hAnsi="宋体"/>
                <w:color w:val="000000"/>
                <w:spacing w:val="-10"/>
                <w:sz w:val="21"/>
                <w:szCs w:val="21"/>
              </w:rPr>
              <w:t>现有工程：现有工程概况、现有工程手续履行情况、现有工程污染物达标情况、现有</w:t>
            </w:r>
            <w:r>
              <w:rPr>
                <w:rFonts w:hint="eastAsia" w:hAnsi="宋体"/>
                <w:color w:val="000000"/>
                <w:spacing w:val="-10"/>
                <w:sz w:val="21"/>
                <w:szCs w:val="21"/>
                <w:lang w:val="zh-CN"/>
              </w:rPr>
              <w:t>工程</w:t>
            </w:r>
            <w:r>
              <w:rPr>
                <w:rFonts w:hint="eastAsia" w:hAnsi="宋体"/>
                <w:color w:val="000000"/>
                <w:spacing w:val="-10"/>
                <w:sz w:val="21"/>
                <w:szCs w:val="21"/>
              </w:rPr>
              <w:t>环境影响回顾</w:t>
            </w:r>
            <w:r>
              <w:rPr>
                <w:rFonts w:hint="eastAsia" w:hAnsi="宋体"/>
                <w:color w:val="000000"/>
                <w:spacing w:val="-10"/>
                <w:sz w:val="21"/>
                <w:szCs w:val="21"/>
                <w:lang w:val="zh-CN"/>
              </w:rPr>
              <w:t>、</w:t>
            </w:r>
            <w:r>
              <w:rPr>
                <w:rFonts w:hint="eastAsia" w:hAnsi="宋体"/>
                <w:color w:val="000000"/>
                <w:spacing w:val="-10"/>
                <w:sz w:val="21"/>
                <w:szCs w:val="21"/>
              </w:rPr>
              <w:t>现有工程环境问题及“以新带老”改进意见；</w:t>
            </w:r>
          </w:p>
          <w:p w14:paraId="59F31B4E">
            <w:pPr>
              <w:spacing w:line="0" w:lineRule="atLeast"/>
              <w:rPr>
                <w:rFonts w:hAnsi="宋体"/>
                <w:color w:val="000000"/>
                <w:spacing w:val="-10"/>
                <w:sz w:val="21"/>
                <w:szCs w:val="21"/>
              </w:rPr>
            </w:pPr>
            <w:r>
              <w:rPr>
                <w:rFonts w:hint="eastAsia" w:hAnsi="宋体"/>
                <w:color w:val="000000"/>
                <w:spacing w:val="-10"/>
                <w:sz w:val="21"/>
                <w:szCs w:val="21"/>
              </w:rPr>
              <w:t>拟建项目：基本概况、油气资源概况、预测开发指标、主要经济技术指标、工程组成。</w:t>
            </w:r>
          </w:p>
          <w:p w14:paraId="286B59BF">
            <w:pPr>
              <w:spacing w:line="0" w:lineRule="atLeast"/>
              <w:rPr>
                <w:rFonts w:hint="eastAsia" w:hAnsi="宋体"/>
                <w:color w:val="000000"/>
                <w:spacing w:val="-10"/>
                <w:sz w:val="21"/>
                <w:szCs w:val="21"/>
              </w:rPr>
            </w:pPr>
            <w:r>
              <w:rPr>
                <w:rFonts w:hint="eastAsia" w:hAnsi="宋体"/>
                <w:color w:val="000000"/>
                <w:spacing w:val="-10"/>
                <w:sz w:val="21"/>
                <w:szCs w:val="21"/>
              </w:rPr>
              <w:t>工程分析：工艺流程及排污节点分析、施工期环境影响因素分析、运营期环境影响因素分析、退役期环境影响因素分析、非正常排放、清洁生产分析、“三本账”、污染物总量控制分析。</w:t>
            </w:r>
          </w:p>
          <w:p w14:paraId="0C5A987B">
            <w:pPr>
              <w:spacing w:line="0" w:lineRule="atLeast"/>
              <w:rPr>
                <w:rFonts w:hint="eastAsia" w:hAnsi="宋体"/>
                <w:color w:val="000000"/>
                <w:spacing w:val="-10"/>
                <w:sz w:val="21"/>
                <w:szCs w:val="21"/>
              </w:rPr>
            </w:pPr>
            <w:r>
              <w:rPr>
                <w:rFonts w:hint="eastAsia" w:hAnsi="宋体"/>
                <w:color w:val="000000"/>
                <w:spacing w:val="-10"/>
                <w:sz w:val="21"/>
                <w:szCs w:val="21"/>
              </w:rPr>
              <w:t>相关政策法规、规划符合性分析、选址合理性分析</w:t>
            </w:r>
          </w:p>
        </w:tc>
      </w:tr>
      <w:tr w14:paraId="4CD3C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0148C44E">
            <w:pPr>
              <w:spacing w:line="0" w:lineRule="atLeast"/>
              <w:jc w:val="center"/>
              <w:rPr>
                <w:rFonts w:hint="eastAsia" w:hAnsi="宋体"/>
                <w:color w:val="000000"/>
                <w:spacing w:val="-10"/>
                <w:sz w:val="21"/>
                <w:szCs w:val="21"/>
              </w:rPr>
            </w:pPr>
            <w:r>
              <w:rPr>
                <w:rFonts w:hint="eastAsia" w:hAnsi="宋体"/>
                <w:color w:val="000000"/>
                <w:spacing w:val="-10"/>
                <w:sz w:val="21"/>
                <w:szCs w:val="21"/>
              </w:rPr>
              <w:t>4</w:t>
            </w:r>
          </w:p>
        </w:tc>
        <w:tc>
          <w:tcPr>
            <w:tcW w:w="840" w:type="dxa"/>
            <w:noWrap/>
            <w:tcMar>
              <w:left w:w="28" w:type="dxa"/>
              <w:right w:w="28" w:type="dxa"/>
            </w:tcMar>
            <w:vAlign w:val="center"/>
          </w:tcPr>
          <w:p w14:paraId="415448DE">
            <w:pPr>
              <w:autoSpaceDE w:val="0"/>
              <w:autoSpaceDN w:val="0"/>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环境现状调查与评价</w:t>
            </w:r>
          </w:p>
        </w:tc>
        <w:tc>
          <w:tcPr>
            <w:tcW w:w="7724" w:type="dxa"/>
            <w:noWrap/>
            <w:tcMar>
              <w:left w:w="28" w:type="dxa"/>
              <w:right w:w="28" w:type="dxa"/>
            </w:tcMar>
            <w:vAlign w:val="center"/>
          </w:tcPr>
          <w:p w14:paraId="2F4313A3">
            <w:pPr>
              <w:spacing w:line="0" w:lineRule="atLeast"/>
              <w:rPr>
                <w:rFonts w:hint="eastAsia" w:hAnsi="宋体"/>
                <w:color w:val="000000"/>
                <w:spacing w:val="-15"/>
                <w:sz w:val="21"/>
                <w:szCs w:val="21"/>
              </w:rPr>
            </w:pPr>
            <w:r>
              <w:fldChar w:fldCharType="begin"/>
            </w:r>
            <w:r>
              <w:instrText xml:space="preserve"> HYPERLINK \l "_Toc24892" </w:instrText>
            </w:r>
            <w:r>
              <w:fldChar w:fldCharType="separate"/>
            </w:r>
            <w:r>
              <w:rPr>
                <w:rFonts w:hint="eastAsia" w:hAnsi="宋体"/>
                <w:color w:val="000000"/>
                <w:spacing w:val="-15"/>
                <w:sz w:val="21"/>
                <w:szCs w:val="21"/>
              </w:rPr>
              <w:t>自然环境概况</w:t>
            </w:r>
            <w:r>
              <w:rPr>
                <w:rFonts w:hint="eastAsia" w:hAnsi="宋体"/>
                <w:color w:val="000000"/>
                <w:spacing w:val="-15"/>
                <w:sz w:val="21"/>
                <w:szCs w:val="21"/>
              </w:rPr>
              <w:fldChar w:fldCharType="end"/>
            </w:r>
            <w:r>
              <w:rPr>
                <w:rFonts w:hint="eastAsia" w:hAnsi="宋体"/>
                <w:color w:val="000000"/>
                <w:spacing w:val="-15"/>
                <w:sz w:val="21"/>
                <w:szCs w:val="21"/>
              </w:rPr>
              <w:t>、</w:t>
            </w:r>
            <w:r>
              <w:fldChar w:fldCharType="begin"/>
            </w:r>
            <w:r>
              <w:instrText xml:space="preserve"> HYPERLINK \l "_Toc29437" </w:instrText>
            </w:r>
            <w:r>
              <w:fldChar w:fldCharType="separate"/>
            </w:r>
            <w:r>
              <w:rPr>
                <w:rFonts w:hint="eastAsia" w:hAnsi="宋体"/>
                <w:color w:val="000000"/>
                <w:spacing w:val="-15"/>
                <w:sz w:val="21"/>
                <w:szCs w:val="21"/>
              </w:rPr>
              <w:t>生态现状调查与评价</w:t>
            </w:r>
            <w:r>
              <w:rPr>
                <w:rFonts w:hint="eastAsia" w:hAnsi="宋体"/>
                <w:color w:val="000000"/>
                <w:spacing w:val="-15"/>
                <w:sz w:val="21"/>
                <w:szCs w:val="21"/>
              </w:rPr>
              <w:fldChar w:fldCharType="end"/>
            </w:r>
            <w:r>
              <w:fldChar w:fldCharType="begin"/>
            </w:r>
            <w:r>
              <w:instrText xml:space="preserve"> HYPERLINK \l "_Toc29437" </w:instrText>
            </w:r>
            <w:r>
              <w:fldChar w:fldCharType="separate"/>
            </w:r>
            <w:r>
              <w:rPr>
                <w:rFonts w:hint="eastAsia" w:hAnsi="宋体"/>
                <w:color w:val="000000"/>
                <w:spacing w:val="-15"/>
                <w:sz w:val="21"/>
                <w:szCs w:val="21"/>
              </w:rPr>
              <w:t>、地下水环境现状调查与评价</w:t>
            </w:r>
            <w:r>
              <w:rPr>
                <w:rFonts w:hint="eastAsia" w:hAnsi="宋体"/>
                <w:color w:val="000000"/>
                <w:spacing w:val="-15"/>
                <w:sz w:val="21"/>
                <w:szCs w:val="21"/>
              </w:rPr>
              <w:fldChar w:fldCharType="end"/>
            </w:r>
            <w:r>
              <w:rPr>
                <w:rFonts w:hint="eastAsia" w:hAnsi="宋体"/>
                <w:color w:val="000000"/>
                <w:spacing w:val="-15"/>
                <w:sz w:val="21"/>
                <w:szCs w:val="21"/>
              </w:rPr>
              <w:t>、</w:t>
            </w:r>
            <w:r>
              <w:fldChar w:fldCharType="begin"/>
            </w:r>
            <w:r>
              <w:instrText xml:space="preserve"> HYPERLINK \l "_Toc29437" </w:instrText>
            </w:r>
            <w:r>
              <w:fldChar w:fldCharType="separate"/>
            </w:r>
            <w:r>
              <w:rPr>
                <w:rFonts w:hint="eastAsia" w:hAnsi="宋体"/>
                <w:color w:val="000000"/>
                <w:spacing w:val="-15"/>
                <w:sz w:val="21"/>
                <w:szCs w:val="21"/>
              </w:rPr>
              <w:t>地表水环境现状调查与评价</w:t>
            </w:r>
            <w:r>
              <w:rPr>
                <w:rFonts w:hint="eastAsia" w:hAnsi="宋体"/>
                <w:color w:val="000000"/>
                <w:spacing w:val="-15"/>
                <w:sz w:val="21"/>
                <w:szCs w:val="21"/>
              </w:rPr>
              <w:fldChar w:fldCharType="end"/>
            </w:r>
            <w:r>
              <w:fldChar w:fldCharType="begin"/>
            </w:r>
            <w:r>
              <w:instrText xml:space="preserve"> HYPERLINK \l "_Toc29437" </w:instrText>
            </w:r>
            <w:r>
              <w:fldChar w:fldCharType="separate"/>
            </w:r>
            <w:r>
              <w:rPr>
                <w:rFonts w:hint="eastAsia" w:hAnsi="宋体"/>
                <w:color w:val="000000"/>
                <w:spacing w:val="-15"/>
                <w:sz w:val="21"/>
                <w:szCs w:val="21"/>
              </w:rPr>
              <w:t>、土壤环境现状调查与评价</w:t>
            </w:r>
            <w:r>
              <w:rPr>
                <w:rFonts w:hint="eastAsia" w:hAnsi="宋体"/>
                <w:color w:val="000000"/>
                <w:spacing w:val="-15"/>
                <w:sz w:val="21"/>
                <w:szCs w:val="21"/>
              </w:rPr>
              <w:fldChar w:fldCharType="end"/>
            </w:r>
            <w:r>
              <w:fldChar w:fldCharType="begin"/>
            </w:r>
            <w:r>
              <w:instrText xml:space="preserve"> HYPERLINK \l "_Toc29437" </w:instrText>
            </w:r>
            <w:r>
              <w:fldChar w:fldCharType="separate"/>
            </w:r>
            <w:r>
              <w:rPr>
                <w:rFonts w:hint="eastAsia" w:hAnsi="宋体"/>
                <w:color w:val="000000"/>
                <w:spacing w:val="-15"/>
                <w:sz w:val="21"/>
                <w:szCs w:val="21"/>
              </w:rPr>
              <w:t>、大气环境现状调查与评价</w:t>
            </w:r>
            <w:r>
              <w:rPr>
                <w:rFonts w:hint="eastAsia" w:hAnsi="宋体"/>
                <w:color w:val="000000"/>
                <w:spacing w:val="-15"/>
                <w:sz w:val="21"/>
                <w:szCs w:val="21"/>
              </w:rPr>
              <w:fldChar w:fldCharType="end"/>
            </w:r>
            <w:r>
              <w:fldChar w:fldCharType="begin"/>
            </w:r>
            <w:r>
              <w:instrText xml:space="preserve"> HYPERLINK \l "_Toc29437" </w:instrText>
            </w:r>
            <w:r>
              <w:fldChar w:fldCharType="separate"/>
            </w:r>
            <w:r>
              <w:rPr>
                <w:rFonts w:hint="eastAsia" w:hAnsi="宋体"/>
                <w:color w:val="000000"/>
                <w:spacing w:val="-15"/>
                <w:sz w:val="21"/>
                <w:szCs w:val="21"/>
              </w:rPr>
              <w:t>、声环境现状调查与评价</w:t>
            </w:r>
            <w:r>
              <w:rPr>
                <w:rFonts w:hint="eastAsia" w:hAnsi="宋体"/>
                <w:color w:val="000000"/>
                <w:spacing w:val="-15"/>
                <w:sz w:val="21"/>
                <w:szCs w:val="21"/>
              </w:rPr>
              <w:fldChar w:fldCharType="end"/>
            </w:r>
          </w:p>
        </w:tc>
      </w:tr>
      <w:tr w14:paraId="784E4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2C114CA1">
            <w:pPr>
              <w:spacing w:line="0" w:lineRule="atLeast"/>
              <w:jc w:val="center"/>
              <w:rPr>
                <w:rFonts w:hint="eastAsia" w:hAnsi="宋体"/>
                <w:color w:val="000000"/>
                <w:spacing w:val="-10"/>
                <w:sz w:val="21"/>
                <w:szCs w:val="21"/>
              </w:rPr>
            </w:pPr>
            <w:r>
              <w:rPr>
                <w:rFonts w:hint="eastAsia" w:hAnsi="宋体"/>
                <w:color w:val="000000"/>
                <w:spacing w:val="-10"/>
                <w:sz w:val="21"/>
                <w:szCs w:val="21"/>
              </w:rPr>
              <w:t>5</w:t>
            </w:r>
          </w:p>
        </w:tc>
        <w:tc>
          <w:tcPr>
            <w:tcW w:w="840" w:type="dxa"/>
            <w:noWrap/>
            <w:tcMar>
              <w:left w:w="28" w:type="dxa"/>
              <w:right w:w="28" w:type="dxa"/>
            </w:tcMar>
            <w:vAlign w:val="center"/>
          </w:tcPr>
          <w:p w14:paraId="4B467D96">
            <w:pPr>
              <w:autoSpaceDE w:val="0"/>
              <w:autoSpaceDN w:val="0"/>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环境影响预测与评价</w:t>
            </w:r>
          </w:p>
        </w:tc>
        <w:tc>
          <w:tcPr>
            <w:tcW w:w="7724" w:type="dxa"/>
            <w:noWrap/>
            <w:tcMar>
              <w:left w:w="28" w:type="dxa"/>
              <w:right w:w="28" w:type="dxa"/>
            </w:tcMar>
            <w:vAlign w:val="center"/>
          </w:tcPr>
          <w:p w14:paraId="5F1590CC">
            <w:pPr>
              <w:spacing w:line="0" w:lineRule="atLeast"/>
              <w:rPr>
                <w:rFonts w:hint="eastAsia" w:hAnsi="宋体" w:cs="宋体"/>
                <w:color w:val="000000"/>
                <w:spacing w:val="-10"/>
                <w:sz w:val="21"/>
                <w:szCs w:val="21"/>
              </w:rPr>
            </w:pPr>
            <w:r>
              <w:fldChar w:fldCharType="begin"/>
            </w:r>
            <w:r>
              <w:instrText xml:space="preserve"> HYPERLINK \l "_Toc30227" </w:instrText>
            </w:r>
            <w:r>
              <w:fldChar w:fldCharType="separate"/>
            </w:r>
            <w:r>
              <w:rPr>
                <w:rFonts w:hint="eastAsia" w:hAnsi="宋体" w:cs="宋体"/>
                <w:color w:val="000000"/>
                <w:spacing w:val="-10"/>
                <w:sz w:val="21"/>
                <w:szCs w:val="21"/>
              </w:rPr>
              <w:t>生态影响评价</w:t>
            </w:r>
            <w:r>
              <w:rPr>
                <w:rFonts w:hint="eastAsia" w:hAnsi="宋体" w:cs="宋体"/>
                <w:color w:val="000000"/>
                <w:spacing w:val="-10"/>
                <w:sz w:val="21"/>
                <w:szCs w:val="21"/>
              </w:rPr>
              <w:fldChar w:fldCharType="end"/>
            </w:r>
            <w:r>
              <w:rPr>
                <w:rFonts w:hint="eastAsia" w:hAnsi="宋体" w:cs="宋体"/>
                <w:color w:val="000000"/>
                <w:spacing w:val="-10"/>
                <w:sz w:val="21"/>
                <w:szCs w:val="21"/>
              </w:rPr>
              <w:t>、</w:t>
            </w:r>
            <w:r>
              <w:fldChar w:fldCharType="begin"/>
            </w:r>
            <w:r>
              <w:instrText xml:space="preserve"> HYPERLINK \l "_Toc30227" </w:instrText>
            </w:r>
            <w:r>
              <w:fldChar w:fldCharType="separate"/>
            </w:r>
            <w:r>
              <w:rPr>
                <w:rFonts w:hint="eastAsia" w:hAnsi="宋体" w:cs="宋体"/>
                <w:color w:val="000000"/>
                <w:spacing w:val="-10"/>
                <w:sz w:val="21"/>
                <w:szCs w:val="21"/>
              </w:rPr>
              <w:t>地下水环境影响评价</w:t>
            </w:r>
            <w:r>
              <w:rPr>
                <w:rFonts w:hint="eastAsia" w:hAnsi="宋体" w:cs="宋体"/>
                <w:color w:val="000000"/>
                <w:spacing w:val="-10"/>
                <w:sz w:val="21"/>
                <w:szCs w:val="21"/>
              </w:rPr>
              <w:fldChar w:fldCharType="end"/>
            </w:r>
            <w:r>
              <w:rPr>
                <w:rFonts w:hint="eastAsia" w:hAnsi="宋体" w:cs="宋体"/>
                <w:color w:val="000000"/>
                <w:spacing w:val="-10"/>
                <w:sz w:val="21"/>
                <w:szCs w:val="21"/>
              </w:rPr>
              <w:t>、</w:t>
            </w:r>
            <w:r>
              <w:fldChar w:fldCharType="begin"/>
            </w:r>
            <w:r>
              <w:instrText xml:space="preserve"> HYPERLINK \l "_Toc10073" </w:instrText>
            </w:r>
            <w:r>
              <w:fldChar w:fldCharType="separate"/>
            </w:r>
            <w:r>
              <w:rPr>
                <w:rFonts w:hint="eastAsia" w:hAnsi="宋体" w:cs="宋体"/>
                <w:color w:val="000000"/>
                <w:spacing w:val="-10"/>
                <w:sz w:val="21"/>
                <w:szCs w:val="21"/>
              </w:rPr>
              <w:t>地表水环境影响评价</w:t>
            </w:r>
            <w:r>
              <w:rPr>
                <w:rFonts w:hint="eastAsia" w:hAnsi="宋体" w:cs="宋体"/>
                <w:color w:val="000000"/>
                <w:spacing w:val="-10"/>
                <w:sz w:val="21"/>
                <w:szCs w:val="21"/>
              </w:rPr>
              <w:fldChar w:fldCharType="end"/>
            </w:r>
            <w:r>
              <w:rPr>
                <w:rFonts w:hint="eastAsia" w:hAnsi="宋体" w:cs="宋体"/>
                <w:color w:val="000000"/>
                <w:spacing w:val="-10"/>
                <w:sz w:val="21"/>
                <w:szCs w:val="21"/>
              </w:rPr>
              <w:t>、</w:t>
            </w:r>
            <w:r>
              <w:fldChar w:fldCharType="begin"/>
            </w:r>
            <w:r>
              <w:instrText xml:space="preserve"> HYPERLINK \l "_Toc15721" </w:instrText>
            </w:r>
            <w:r>
              <w:fldChar w:fldCharType="separate"/>
            </w:r>
            <w:r>
              <w:rPr>
                <w:rFonts w:hint="eastAsia" w:hAnsi="宋体" w:cs="宋体"/>
                <w:color w:val="000000"/>
                <w:spacing w:val="-10"/>
                <w:sz w:val="21"/>
                <w:szCs w:val="21"/>
              </w:rPr>
              <w:t>土壤环境影响评价</w:t>
            </w:r>
            <w:r>
              <w:rPr>
                <w:rFonts w:hint="eastAsia" w:hAnsi="宋体" w:cs="宋体"/>
                <w:color w:val="000000"/>
                <w:spacing w:val="-10"/>
                <w:sz w:val="21"/>
                <w:szCs w:val="21"/>
              </w:rPr>
              <w:fldChar w:fldCharType="end"/>
            </w:r>
            <w:r>
              <w:rPr>
                <w:rFonts w:hint="eastAsia" w:hAnsi="宋体" w:cs="宋体"/>
                <w:color w:val="000000"/>
                <w:spacing w:val="-10"/>
                <w:sz w:val="21"/>
                <w:szCs w:val="21"/>
              </w:rPr>
              <w:t>、</w:t>
            </w:r>
            <w:r>
              <w:fldChar w:fldCharType="begin"/>
            </w:r>
            <w:r>
              <w:instrText xml:space="preserve"> HYPERLINK \l "_Toc7215" </w:instrText>
            </w:r>
            <w:r>
              <w:fldChar w:fldCharType="separate"/>
            </w:r>
            <w:r>
              <w:rPr>
                <w:rFonts w:hAnsi="宋体" w:cs="宋体"/>
                <w:color w:val="000000"/>
                <w:spacing w:val="-10"/>
                <w:sz w:val="21"/>
                <w:szCs w:val="21"/>
              </w:rPr>
              <w:t>大气</w:t>
            </w:r>
            <w:r>
              <w:rPr>
                <w:rFonts w:hint="eastAsia" w:hAnsi="宋体" w:cs="宋体"/>
                <w:color w:val="000000"/>
                <w:spacing w:val="-10"/>
                <w:sz w:val="21"/>
                <w:szCs w:val="21"/>
              </w:rPr>
              <w:t>环境影响评价</w:t>
            </w:r>
            <w:r>
              <w:rPr>
                <w:rFonts w:hint="eastAsia" w:hAnsi="宋体" w:cs="宋体"/>
                <w:color w:val="000000"/>
                <w:spacing w:val="-10"/>
                <w:sz w:val="21"/>
                <w:szCs w:val="21"/>
              </w:rPr>
              <w:fldChar w:fldCharType="end"/>
            </w:r>
            <w:r>
              <w:rPr>
                <w:rFonts w:hint="eastAsia" w:hAnsi="宋体" w:cs="宋体"/>
                <w:color w:val="000000"/>
                <w:spacing w:val="-10"/>
                <w:sz w:val="21"/>
                <w:szCs w:val="21"/>
              </w:rPr>
              <w:t>、</w:t>
            </w:r>
            <w:r>
              <w:fldChar w:fldCharType="begin"/>
            </w:r>
            <w:r>
              <w:instrText xml:space="preserve"> HYPERLINK \l "_Toc6878" </w:instrText>
            </w:r>
            <w:r>
              <w:fldChar w:fldCharType="separate"/>
            </w:r>
            <w:r>
              <w:rPr>
                <w:rFonts w:hAnsi="宋体" w:cs="宋体"/>
                <w:color w:val="000000"/>
                <w:spacing w:val="-10"/>
                <w:sz w:val="21"/>
                <w:szCs w:val="21"/>
              </w:rPr>
              <w:t>声环境影响</w:t>
            </w:r>
            <w:r>
              <w:rPr>
                <w:rFonts w:hint="eastAsia" w:hAnsi="宋体" w:cs="宋体"/>
                <w:color w:val="000000"/>
                <w:spacing w:val="-10"/>
                <w:sz w:val="21"/>
                <w:szCs w:val="21"/>
              </w:rPr>
              <w:t>评价</w:t>
            </w:r>
            <w:r>
              <w:rPr>
                <w:rFonts w:hint="eastAsia" w:hAnsi="宋体" w:cs="宋体"/>
                <w:color w:val="000000"/>
                <w:spacing w:val="-10"/>
                <w:sz w:val="21"/>
                <w:szCs w:val="21"/>
              </w:rPr>
              <w:fldChar w:fldCharType="end"/>
            </w:r>
            <w:r>
              <w:rPr>
                <w:rFonts w:hint="eastAsia" w:hAnsi="宋体" w:cs="宋体"/>
                <w:color w:val="000000"/>
                <w:spacing w:val="-10"/>
                <w:sz w:val="21"/>
                <w:szCs w:val="21"/>
              </w:rPr>
              <w:t>、固体废物影响分析、环境风险评价</w:t>
            </w:r>
          </w:p>
        </w:tc>
      </w:tr>
    </w:tbl>
    <w:p w14:paraId="16285922">
      <w:pPr>
        <w:rPr>
          <w:rFonts w:hint="eastAsia"/>
        </w:rPr>
      </w:pPr>
    </w:p>
    <w:p w14:paraId="03BB17BD">
      <w:pPr>
        <w:spacing w:line="480" w:lineRule="exact"/>
        <w:ind w:firstLine="526" w:firstLineChars="200"/>
        <w:rPr>
          <w:rFonts w:ascii="黑体" w:hAnsi="宋体" w:eastAsia="黑体"/>
          <w:color w:val="000000"/>
          <w:szCs w:val="24"/>
        </w:rPr>
      </w:pPr>
      <w:r>
        <w:rPr>
          <w:rFonts w:hint="eastAsia" w:ascii="黑体" w:hAnsi="宋体" w:eastAsia="黑体"/>
          <w:color w:val="000000"/>
          <w:szCs w:val="24"/>
        </w:rPr>
        <w:t>续表2.7-1            评价内容一览表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473"/>
        <w:gridCol w:w="840"/>
        <w:gridCol w:w="7724"/>
      </w:tblGrid>
      <w:tr w14:paraId="6E2CD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0D34F3FF">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序号</w:t>
            </w:r>
          </w:p>
        </w:tc>
        <w:tc>
          <w:tcPr>
            <w:tcW w:w="840" w:type="dxa"/>
            <w:noWrap/>
            <w:tcMar>
              <w:left w:w="28" w:type="dxa"/>
              <w:right w:w="28" w:type="dxa"/>
            </w:tcMar>
            <w:vAlign w:val="center"/>
          </w:tcPr>
          <w:p w14:paraId="6647D2D5">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项 目</w:t>
            </w:r>
          </w:p>
        </w:tc>
        <w:tc>
          <w:tcPr>
            <w:tcW w:w="7724" w:type="dxa"/>
            <w:noWrap/>
            <w:tcMar>
              <w:left w:w="28" w:type="dxa"/>
              <w:right w:w="28" w:type="dxa"/>
            </w:tcMar>
            <w:vAlign w:val="center"/>
          </w:tcPr>
          <w:p w14:paraId="32729E11">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内         容</w:t>
            </w:r>
          </w:p>
        </w:tc>
      </w:tr>
      <w:tr w14:paraId="7C4FF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29" w:hRule="atLeast"/>
          <w:jc w:val="center"/>
        </w:trPr>
        <w:tc>
          <w:tcPr>
            <w:tcW w:w="473" w:type="dxa"/>
            <w:noWrap/>
            <w:tcMar>
              <w:left w:w="28" w:type="dxa"/>
              <w:right w:w="28" w:type="dxa"/>
            </w:tcMar>
            <w:vAlign w:val="center"/>
          </w:tcPr>
          <w:p w14:paraId="1C19E96C">
            <w:pPr>
              <w:spacing w:line="0" w:lineRule="atLeast"/>
              <w:jc w:val="center"/>
              <w:rPr>
                <w:rFonts w:hAnsi="宋体"/>
                <w:color w:val="000000"/>
                <w:spacing w:val="-10"/>
                <w:sz w:val="21"/>
                <w:szCs w:val="21"/>
              </w:rPr>
            </w:pPr>
            <w:r>
              <w:rPr>
                <w:rFonts w:hint="eastAsia" w:hAnsi="宋体"/>
                <w:color w:val="000000"/>
                <w:spacing w:val="-10"/>
                <w:sz w:val="21"/>
                <w:szCs w:val="21"/>
              </w:rPr>
              <w:t>6</w:t>
            </w:r>
          </w:p>
        </w:tc>
        <w:tc>
          <w:tcPr>
            <w:tcW w:w="840" w:type="dxa"/>
            <w:noWrap/>
            <w:tcMar>
              <w:left w:w="28" w:type="dxa"/>
              <w:right w:w="28" w:type="dxa"/>
            </w:tcMar>
            <w:vAlign w:val="center"/>
          </w:tcPr>
          <w:p w14:paraId="498A47E8">
            <w:pPr>
              <w:spacing w:line="0" w:lineRule="atLeast"/>
              <w:jc w:val="center"/>
              <w:rPr>
                <w:rFonts w:hAnsi="宋体"/>
                <w:color w:val="000000"/>
                <w:spacing w:val="-10"/>
                <w:sz w:val="21"/>
                <w:szCs w:val="21"/>
              </w:rPr>
            </w:pPr>
            <w:r>
              <w:rPr>
                <w:rFonts w:hint="eastAsia" w:hAnsi="宋体"/>
                <w:color w:val="000000"/>
                <w:spacing w:val="-10"/>
                <w:sz w:val="21"/>
                <w:szCs w:val="21"/>
              </w:rPr>
              <w:t>环保措施可行性论证</w:t>
            </w:r>
          </w:p>
        </w:tc>
        <w:tc>
          <w:tcPr>
            <w:tcW w:w="7724" w:type="dxa"/>
            <w:noWrap/>
            <w:tcMar>
              <w:left w:w="28" w:type="dxa"/>
              <w:right w:w="28" w:type="dxa"/>
            </w:tcMar>
            <w:vAlign w:val="center"/>
          </w:tcPr>
          <w:p w14:paraId="60711CF0">
            <w:pPr>
              <w:spacing w:line="0" w:lineRule="atLeast"/>
              <w:rPr>
                <w:rFonts w:hAnsi="宋体"/>
                <w:color w:val="000000"/>
                <w:spacing w:val="-10"/>
                <w:sz w:val="21"/>
                <w:szCs w:val="21"/>
              </w:rPr>
            </w:pPr>
            <w:r>
              <w:rPr>
                <w:rFonts w:hint="eastAsia" w:hAnsi="宋体"/>
                <w:color w:val="000000"/>
                <w:spacing w:val="-10"/>
                <w:sz w:val="21"/>
                <w:szCs w:val="21"/>
              </w:rPr>
              <w:t>针对拟建工程拟采取的污染防治、生态保护、环境风险防范等环境保护措施，分析论证其技术可行性、经济合理性、长期稳定运行和达标排放的可靠性、满足环境质量改善和排污许可要求的可行性、生态保护和恢复效果的可达性</w:t>
            </w:r>
          </w:p>
        </w:tc>
      </w:tr>
      <w:tr w14:paraId="62EB06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77D41DA5">
            <w:pPr>
              <w:spacing w:line="0" w:lineRule="atLeast"/>
              <w:jc w:val="center"/>
              <w:rPr>
                <w:rFonts w:hint="eastAsia" w:hAnsi="宋体"/>
                <w:color w:val="000000"/>
                <w:spacing w:val="-10"/>
                <w:sz w:val="21"/>
                <w:szCs w:val="21"/>
              </w:rPr>
            </w:pPr>
            <w:r>
              <w:rPr>
                <w:rFonts w:hint="eastAsia" w:hAnsi="宋体"/>
                <w:color w:val="000000"/>
                <w:spacing w:val="-10"/>
                <w:sz w:val="21"/>
                <w:szCs w:val="21"/>
              </w:rPr>
              <w:t>7</w:t>
            </w:r>
          </w:p>
        </w:tc>
        <w:tc>
          <w:tcPr>
            <w:tcW w:w="840" w:type="dxa"/>
            <w:noWrap/>
            <w:tcMar>
              <w:left w:w="28" w:type="dxa"/>
              <w:right w:w="28" w:type="dxa"/>
            </w:tcMar>
            <w:vAlign w:val="center"/>
          </w:tcPr>
          <w:p w14:paraId="168029EE">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环境影响经济损益分析</w:t>
            </w:r>
          </w:p>
        </w:tc>
        <w:tc>
          <w:tcPr>
            <w:tcW w:w="7724" w:type="dxa"/>
            <w:noWrap/>
            <w:tcMar>
              <w:left w:w="28" w:type="dxa"/>
              <w:right w:w="28" w:type="dxa"/>
            </w:tcMar>
            <w:vAlign w:val="center"/>
          </w:tcPr>
          <w:p w14:paraId="4C371977">
            <w:pPr>
              <w:spacing w:line="0" w:lineRule="atLeast"/>
              <w:rPr>
                <w:rFonts w:hAnsi="宋体"/>
                <w:color w:val="000000"/>
                <w:spacing w:val="-10"/>
                <w:sz w:val="21"/>
                <w:szCs w:val="21"/>
              </w:rPr>
            </w:pPr>
            <w:r>
              <w:rPr>
                <w:rFonts w:hint="eastAsia" w:hAnsi="宋体"/>
                <w:color w:val="000000"/>
                <w:spacing w:val="-10"/>
                <w:sz w:val="21"/>
                <w:szCs w:val="21"/>
              </w:rPr>
              <w:t>从项目实施后的环境影响的正负两方面，以定性与定量相结合的方式，对工程的环境影响后果进行经济损益核算，估算建设项目环境影响的经济价值</w:t>
            </w:r>
          </w:p>
        </w:tc>
      </w:tr>
      <w:tr w14:paraId="47B1D8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08E58C57">
            <w:pPr>
              <w:spacing w:line="0" w:lineRule="atLeast"/>
              <w:jc w:val="center"/>
              <w:rPr>
                <w:rFonts w:hint="eastAsia" w:hAnsi="宋体"/>
                <w:color w:val="000000"/>
                <w:spacing w:val="-10"/>
                <w:sz w:val="21"/>
                <w:szCs w:val="21"/>
              </w:rPr>
            </w:pPr>
            <w:r>
              <w:rPr>
                <w:rFonts w:hint="eastAsia" w:hAnsi="宋体"/>
                <w:color w:val="000000"/>
                <w:spacing w:val="-10"/>
                <w:sz w:val="21"/>
                <w:szCs w:val="21"/>
              </w:rPr>
              <w:t>8</w:t>
            </w:r>
          </w:p>
        </w:tc>
        <w:tc>
          <w:tcPr>
            <w:tcW w:w="840" w:type="dxa"/>
            <w:noWrap/>
            <w:tcMar>
              <w:left w:w="28" w:type="dxa"/>
              <w:right w:w="28" w:type="dxa"/>
            </w:tcMar>
            <w:vAlign w:val="center"/>
          </w:tcPr>
          <w:p w14:paraId="1F7CF6BD">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环境管理与监测计划</w:t>
            </w:r>
          </w:p>
        </w:tc>
        <w:tc>
          <w:tcPr>
            <w:tcW w:w="7724" w:type="dxa"/>
            <w:noWrap/>
            <w:tcMar>
              <w:left w:w="28" w:type="dxa"/>
              <w:right w:w="28" w:type="dxa"/>
            </w:tcMar>
            <w:vAlign w:val="center"/>
          </w:tcPr>
          <w:p w14:paraId="49511711">
            <w:pPr>
              <w:spacing w:line="0" w:lineRule="atLeast"/>
              <w:rPr>
                <w:rFonts w:hAnsi="宋体"/>
                <w:color w:val="000000"/>
                <w:spacing w:val="-10"/>
                <w:sz w:val="21"/>
                <w:szCs w:val="21"/>
              </w:rPr>
            </w:pPr>
            <w:r>
              <w:rPr>
                <w:rFonts w:hint="eastAsia" w:hAnsi="宋体"/>
                <w:color w:val="000000"/>
                <w:spacing w:val="-10"/>
                <w:sz w:val="21"/>
                <w:szCs w:val="21"/>
              </w:rPr>
              <w:t>按项目建设阶段、生产运行阶段，提出具体环境管理要求；给出污染物排放清单，明确污染物排放的管理要求；提出应向社会公开的信息内容；提出建立日常环境管理制度、组织机构和环境管理台账相关要求；提出环境监测计划</w:t>
            </w:r>
          </w:p>
        </w:tc>
      </w:tr>
      <w:tr w14:paraId="6DBA9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3" w:type="dxa"/>
            <w:noWrap/>
            <w:tcMar>
              <w:left w:w="28" w:type="dxa"/>
              <w:right w:w="28" w:type="dxa"/>
            </w:tcMar>
            <w:vAlign w:val="center"/>
          </w:tcPr>
          <w:p w14:paraId="6FE38816">
            <w:pPr>
              <w:spacing w:line="0" w:lineRule="atLeast"/>
              <w:jc w:val="center"/>
              <w:rPr>
                <w:rFonts w:hint="eastAsia" w:hAnsi="宋体"/>
                <w:color w:val="000000"/>
                <w:spacing w:val="-10"/>
                <w:sz w:val="21"/>
                <w:szCs w:val="21"/>
              </w:rPr>
            </w:pPr>
            <w:r>
              <w:rPr>
                <w:rFonts w:hint="eastAsia" w:hAnsi="宋体"/>
                <w:color w:val="000000"/>
                <w:spacing w:val="-10"/>
                <w:sz w:val="21"/>
                <w:szCs w:val="21"/>
              </w:rPr>
              <w:t>9</w:t>
            </w:r>
          </w:p>
        </w:tc>
        <w:tc>
          <w:tcPr>
            <w:tcW w:w="840" w:type="dxa"/>
            <w:noWrap/>
            <w:tcMar>
              <w:left w:w="28" w:type="dxa"/>
              <w:right w:w="28" w:type="dxa"/>
            </w:tcMar>
            <w:vAlign w:val="center"/>
          </w:tcPr>
          <w:p w14:paraId="2CD8CB3F">
            <w:pPr>
              <w:autoSpaceDE w:val="0"/>
              <w:autoSpaceDN w:val="0"/>
              <w:adjustRightInd w:val="0"/>
              <w:spacing w:line="0" w:lineRule="atLeast"/>
              <w:jc w:val="center"/>
              <w:rPr>
                <w:rFonts w:hAnsi="宋体"/>
                <w:color w:val="000000"/>
                <w:spacing w:val="-10"/>
                <w:sz w:val="21"/>
                <w:szCs w:val="21"/>
              </w:rPr>
            </w:pPr>
            <w:r>
              <w:rPr>
                <w:rFonts w:hint="eastAsia" w:hAnsi="宋体"/>
                <w:color w:val="000000"/>
                <w:spacing w:val="-10"/>
                <w:sz w:val="21"/>
                <w:szCs w:val="21"/>
              </w:rPr>
              <w:t>结论</w:t>
            </w:r>
          </w:p>
        </w:tc>
        <w:tc>
          <w:tcPr>
            <w:tcW w:w="7724" w:type="dxa"/>
            <w:noWrap/>
            <w:tcMar>
              <w:left w:w="28" w:type="dxa"/>
              <w:right w:w="28" w:type="dxa"/>
            </w:tcMar>
            <w:vAlign w:val="center"/>
          </w:tcPr>
          <w:p w14:paraId="00DA4BC0">
            <w:pPr>
              <w:spacing w:line="0" w:lineRule="atLeast"/>
              <w:rPr>
                <w:rFonts w:hAnsi="宋体"/>
                <w:color w:val="000000"/>
                <w:spacing w:val="-10"/>
                <w:sz w:val="21"/>
                <w:szCs w:val="21"/>
              </w:rPr>
            </w:pPr>
            <w:r>
              <w:rPr>
                <w:rFonts w:hint="eastAsia" w:hAnsi="宋体"/>
                <w:color w:val="000000"/>
                <w:spacing w:val="-10"/>
                <w:sz w:val="21"/>
                <w:szCs w:val="21"/>
              </w:rPr>
              <w:t>对建设项目环境影响评价各章节结论进行概括总结和综合分析，结合环境质量目标要求，明确给出建设项目的环境影响可行性结论</w:t>
            </w:r>
          </w:p>
        </w:tc>
      </w:tr>
    </w:tbl>
    <w:p w14:paraId="36C1C113">
      <w:pPr>
        <w:spacing w:before="240" w:line="480" w:lineRule="exact"/>
        <w:outlineLvl w:val="2"/>
        <w:rPr>
          <w:rFonts w:hAnsi="宋体"/>
          <w:color w:val="000000"/>
          <w:szCs w:val="24"/>
        </w:rPr>
      </w:pPr>
      <w:r>
        <w:rPr>
          <w:rFonts w:hint="eastAsia" w:hAnsi="宋体"/>
          <w:color w:val="000000"/>
          <w:szCs w:val="24"/>
        </w:rPr>
        <w:t>2.7.2 评价重点</w:t>
      </w:r>
    </w:p>
    <w:p w14:paraId="07F8065F">
      <w:pPr>
        <w:spacing w:line="460" w:lineRule="exact"/>
        <w:ind w:firstLine="526" w:firstLineChars="200"/>
        <w:rPr>
          <w:rFonts w:hAnsi="宋体"/>
          <w:color w:val="000000"/>
          <w:szCs w:val="24"/>
        </w:rPr>
      </w:pPr>
      <w:bookmarkStart w:id="85" w:name="_Toc38101963"/>
      <w:r>
        <w:rPr>
          <w:rFonts w:hint="eastAsia" w:hAnsi="宋体"/>
          <w:color w:val="000000"/>
          <w:szCs w:val="24"/>
        </w:rPr>
        <w:t xml:space="preserve">结合项目的排污特征及周围环境现状，确定拟建工程评价重点为工程分析、地下水影响评价、土壤环境影响评价、生态影响评价和环保措施可行性论证。 </w:t>
      </w:r>
    </w:p>
    <w:bookmarkEnd w:id="85"/>
    <w:p w14:paraId="265BAEC9">
      <w:pPr>
        <w:spacing w:line="460" w:lineRule="exact"/>
        <w:outlineLvl w:val="1"/>
        <w:rPr>
          <w:rFonts w:hint="eastAsia" w:ascii="黑体" w:hAnsi="黑体" w:eastAsia="黑体" w:cs="黑体"/>
          <w:color w:val="000000"/>
          <w:sz w:val="28"/>
          <w:szCs w:val="28"/>
          <w:lang w:bidi="ar"/>
        </w:rPr>
      </w:pPr>
      <w:r>
        <w:fldChar w:fldCharType="begin"/>
      </w:r>
      <w:r>
        <w:instrText xml:space="preserve"> HYPERLINK \l "_Toc24966" </w:instrText>
      </w:r>
      <w:r>
        <w:fldChar w:fldCharType="separate"/>
      </w:r>
      <w:bookmarkStart w:id="86" w:name="_Toc198040172"/>
      <w:bookmarkStart w:id="87" w:name="_Toc230178782"/>
      <w:bookmarkStart w:id="88" w:name="_Toc208474665"/>
      <w:bookmarkStart w:id="89" w:name="_Toc198040316"/>
      <w:r>
        <w:rPr>
          <w:rFonts w:ascii="黑体" w:hAnsi="黑体" w:eastAsia="黑体" w:cs="黑体"/>
          <w:color w:val="000000"/>
          <w:sz w:val="28"/>
          <w:szCs w:val="28"/>
          <w:lang w:bidi="ar"/>
        </w:rPr>
        <w:t>2.</w:t>
      </w:r>
      <w:r>
        <w:rPr>
          <w:rFonts w:hint="eastAsia" w:ascii="黑体" w:hAnsi="黑体" w:eastAsia="黑体" w:cs="黑体"/>
          <w:color w:val="000000"/>
          <w:sz w:val="28"/>
          <w:szCs w:val="28"/>
          <w:lang w:bidi="ar"/>
        </w:rPr>
        <w:t xml:space="preserve">8 </w:t>
      </w:r>
      <w:r>
        <w:rPr>
          <w:rFonts w:ascii="黑体" w:hAnsi="黑体" w:eastAsia="黑体" w:cs="黑体"/>
          <w:color w:val="000000"/>
          <w:sz w:val="28"/>
          <w:szCs w:val="28"/>
          <w:lang w:bidi="ar"/>
        </w:rPr>
        <w:t>评价时段</w:t>
      </w:r>
      <w:r>
        <w:rPr>
          <w:rFonts w:ascii="黑体" w:hAnsi="黑体" w:eastAsia="黑体" w:cs="黑体"/>
          <w:color w:val="000000"/>
          <w:sz w:val="28"/>
          <w:szCs w:val="28"/>
          <w:lang w:bidi="ar"/>
        </w:rPr>
        <w:fldChar w:fldCharType="end"/>
      </w:r>
      <w:r>
        <w:rPr>
          <w:rFonts w:hint="eastAsia" w:ascii="黑体" w:hAnsi="黑体" w:eastAsia="黑体" w:cs="黑体"/>
          <w:color w:val="000000"/>
          <w:sz w:val="28"/>
          <w:szCs w:val="28"/>
          <w:lang w:bidi="ar"/>
        </w:rPr>
        <w:t>和评价方法</w:t>
      </w:r>
      <w:bookmarkEnd w:id="86"/>
      <w:bookmarkEnd w:id="87"/>
      <w:bookmarkEnd w:id="88"/>
      <w:bookmarkEnd w:id="89"/>
    </w:p>
    <w:p w14:paraId="607B3DCD">
      <w:pPr>
        <w:spacing w:line="460" w:lineRule="exact"/>
        <w:outlineLvl w:val="2"/>
        <w:rPr>
          <w:rFonts w:hint="eastAsia" w:hAnsi="宋体" w:cs="宋体"/>
          <w:color w:val="000000"/>
          <w:szCs w:val="24"/>
        </w:rPr>
      </w:pPr>
      <w:r>
        <w:rPr>
          <w:rFonts w:hint="eastAsia" w:hAnsi="宋体" w:cs="宋体"/>
          <w:color w:val="000000"/>
          <w:szCs w:val="24"/>
        </w:rPr>
        <w:t xml:space="preserve">2.8.1评价时段 </w:t>
      </w:r>
    </w:p>
    <w:p w14:paraId="0930AF24">
      <w:pPr>
        <w:spacing w:line="460" w:lineRule="exact"/>
        <w:ind w:firstLine="526" w:firstLineChars="200"/>
        <w:rPr>
          <w:rFonts w:hint="eastAsia" w:hAnsi="宋体" w:cs="宋体"/>
          <w:color w:val="000000"/>
          <w:szCs w:val="24"/>
        </w:rPr>
      </w:pPr>
      <w:r>
        <w:rPr>
          <w:rFonts w:hint="eastAsia" w:hAnsi="宋体" w:cs="宋体"/>
          <w:color w:val="000000"/>
          <w:szCs w:val="24"/>
        </w:rPr>
        <w:t>拟建工程评价时段分为施工期、运营期、</w:t>
      </w:r>
      <w:r>
        <w:rPr>
          <w:rFonts w:hint="eastAsia" w:hAnsi="宋体"/>
          <w:color w:val="000000"/>
          <w:szCs w:val="24"/>
        </w:rPr>
        <w:t>退役期三</w:t>
      </w:r>
      <w:r>
        <w:rPr>
          <w:rFonts w:hint="eastAsia" w:hAnsi="宋体" w:cs="宋体"/>
          <w:color w:val="000000"/>
          <w:szCs w:val="24"/>
        </w:rPr>
        <w:t>个时段。</w:t>
      </w:r>
    </w:p>
    <w:p w14:paraId="74E9A8AA">
      <w:pPr>
        <w:spacing w:line="460" w:lineRule="exact"/>
        <w:outlineLvl w:val="2"/>
        <w:rPr>
          <w:rFonts w:hint="eastAsia" w:hAnsi="宋体" w:cs="宋体"/>
          <w:color w:val="000000"/>
          <w:szCs w:val="24"/>
        </w:rPr>
      </w:pPr>
      <w:r>
        <w:rPr>
          <w:rFonts w:hint="eastAsia" w:hAnsi="宋体" w:cs="宋体"/>
          <w:color w:val="000000"/>
          <w:szCs w:val="24"/>
        </w:rPr>
        <w:t>2.8.2评价方法</w:t>
      </w:r>
    </w:p>
    <w:p w14:paraId="4D01F12D">
      <w:pPr>
        <w:spacing w:line="460" w:lineRule="exact"/>
        <w:ind w:firstLine="526" w:firstLineChars="200"/>
        <w:rPr>
          <w:rFonts w:hint="eastAsia" w:hAnsi="宋体" w:cs="宋体"/>
          <w:color w:val="000000"/>
          <w:szCs w:val="24"/>
        </w:rPr>
      </w:pPr>
      <w:r>
        <w:rPr>
          <w:rFonts w:hint="eastAsia" w:hAnsi="宋体" w:cs="宋体"/>
          <w:color w:val="000000"/>
          <w:szCs w:val="24"/>
          <w:lang w:val="zh-CN"/>
        </w:rPr>
        <w:t>拟建工程环境影响评价采用定量评价与定性评价相结合的方法，以量化评价为主。采用环境影响评价技术导则规定的评价方法予以分析。本次评价采用了物料衡算法、实测法、类比法、产污系数法等。</w:t>
      </w:r>
    </w:p>
    <w:p w14:paraId="725160F0">
      <w:pPr>
        <w:adjustRightInd w:val="0"/>
        <w:spacing w:line="480" w:lineRule="exact"/>
        <w:rPr>
          <w:rFonts w:hAnsi="宋体"/>
          <w:color w:val="000000"/>
          <w:szCs w:val="24"/>
        </w:rPr>
      </w:pPr>
      <w:r>
        <w:rPr>
          <w:rFonts w:hAnsi="宋体"/>
          <w:color w:val="000000"/>
          <w:szCs w:val="24"/>
        </w:rPr>
        <w:br w:type="page"/>
      </w:r>
    </w:p>
    <w:p w14:paraId="7D392B75">
      <w:pPr>
        <w:tabs>
          <w:tab w:val="left" w:pos="2718"/>
        </w:tabs>
        <w:spacing w:line="480" w:lineRule="exact"/>
        <w:outlineLvl w:val="0"/>
        <w:rPr>
          <w:rFonts w:ascii="黑体" w:hAnsi="黑体" w:eastAsia="黑体"/>
          <w:color w:val="000000"/>
          <w:sz w:val="32"/>
          <w:szCs w:val="32"/>
        </w:rPr>
      </w:pPr>
      <w:bookmarkStart w:id="90" w:name="_Toc198040173"/>
      <w:bookmarkStart w:id="91" w:name="_Toc198040317"/>
      <w:bookmarkStart w:id="92" w:name="_Toc230178783"/>
      <w:bookmarkStart w:id="93" w:name="_Toc208474666"/>
      <w:r>
        <w:rPr>
          <w:rFonts w:hint="eastAsia" w:ascii="黑体" w:hAnsi="黑体" w:eastAsia="黑体"/>
          <w:color w:val="000000"/>
          <w:sz w:val="32"/>
          <w:szCs w:val="32"/>
        </w:rPr>
        <w:t>3 建设项目工程概况和工程分析</w:t>
      </w:r>
      <w:bookmarkEnd w:id="90"/>
      <w:bookmarkEnd w:id="91"/>
      <w:bookmarkEnd w:id="92"/>
      <w:bookmarkEnd w:id="93"/>
    </w:p>
    <w:p w14:paraId="7D20D941">
      <w:pPr>
        <w:spacing w:line="480" w:lineRule="exact"/>
        <w:outlineLvl w:val="1"/>
        <w:rPr>
          <w:rFonts w:ascii="黑体" w:hAnsi="黑体" w:eastAsia="黑体" w:cs="黑体"/>
          <w:color w:val="000000"/>
          <w:sz w:val="28"/>
          <w:szCs w:val="28"/>
          <w:lang w:bidi="ar"/>
        </w:rPr>
      </w:pPr>
      <w:bookmarkStart w:id="94" w:name="_Toc17747"/>
      <w:bookmarkStart w:id="95" w:name="_Toc230178784"/>
      <w:bookmarkStart w:id="96" w:name="_Toc208474667"/>
      <w:bookmarkStart w:id="97" w:name="_Toc194478694"/>
      <w:bookmarkStart w:id="98" w:name="_Toc198040318"/>
      <w:bookmarkStart w:id="99" w:name="_Toc23421"/>
      <w:bookmarkStart w:id="100" w:name="_Toc198040174"/>
      <w:r>
        <w:rPr>
          <w:rFonts w:hint="eastAsia" w:ascii="黑体" w:hAnsi="黑体" w:eastAsia="黑体" w:cs="黑体"/>
          <w:color w:val="000000"/>
          <w:sz w:val="28"/>
          <w:szCs w:val="28"/>
          <w:lang w:bidi="ar"/>
        </w:rPr>
        <w:t xml:space="preserve">3.1 </w:t>
      </w:r>
      <w:bookmarkEnd w:id="94"/>
      <w:r>
        <w:rPr>
          <w:rFonts w:hint="eastAsia" w:ascii="黑体" w:hAnsi="黑体" w:eastAsia="黑体" w:cs="黑体"/>
          <w:color w:val="000000"/>
          <w:sz w:val="28"/>
          <w:szCs w:val="28"/>
          <w:lang w:bidi="ar"/>
        </w:rPr>
        <w:t>塔中Ⅰ号气田Ⅲ区开发现状及环境影响回顾</w:t>
      </w:r>
      <w:bookmarkEnd w:id="95"/>
      <w:bookmarkEnd w:id="96"/>
      <w:bookmarkEnd w:id="97"/>
    </w:p>
    <w:p w14:paraId="2938049B">
      <w:pPr>
        <w:pStyle w:val="10"/>
        <w:widowControl w:val="0"/>
        <w:spacing w:line="480" w:lineRule="exact"/>
        <w:ind w:firstLine="0"/>
        <w:outlineLvl w:val="2"/>
        <w:rPr>
          <w:rFonts w:hint="eastAsia" w:ascii="宋体" w:hAnsi="宋体" w:eastAsia="宋体" w:cs="宋体"/>
          <w:color w:val="000000"/>
          <w:sz w:val="24"/>
          <w:szCs w:val="24"/>
        </w:rPr>
      </w:pPr>
      <w:r>
        <w:rPr>
          <w:rFonts w:hint="eastAsia" w:ascii="宋体" w:hAnsi="宋体" w:eastAsia="宋体" w:cs="宋体"/>
          <w:color w:val="000000"/>
          <w:sz w:val="24"/>
          <w:szCs w:val="24"/>
        </w:rPr>
        <w:t>3.1.1 开发现状</w:t>
      </w:r>
    </w:p>
    <w:p w14:paraId="5CA8572F">
      <w:pPr>
        <w:spacing w:line="480" w:lineRule="exact"/>
        <w:ind w:firstLine="526" w:firstLineChars="200"/>
        <w:rPr>
          <w:rFonts w:hint="eastAsia" w:hAnsi="宋体" w:cs="宋体"/>
          <w:color w:val="000000"/>
        </w:rPr>
      </w:pPr>
      <w:r>
        <w:rPr>
          <w:rFonts w:hint="eastAsia" w:hAnsi="宋体" w:cs="宋体"/>
          <w:color w:val="000000"/>
        </w:rPr>
        <w:t>（1）塔中Ⅰ号气田Ⅲ区建设情况</w:t>
      </w:r>
    </w:p>
    <w:p w14:paraId="3CB7DBEE">
      <w:pPr>
        <w:spacing w:line="480" w:lineRule="exact"/>
        <w:ind w:firstLine="526" w:firstLineChars="200"/>
        <w:rPr>
          <w:rFonts w:hint="eastAsia" w:hAnsi="宋体" w:cs="宋体"/>
          <w:color w:val="000000"/>
        </w:rPr>
      </w:pPr>
      <w:r>
        <w:rPr>
          <w:rFonts w:hint="eastAsia"/>
          <w:color w:val="000000"/>
        </w:rPr>
        <w:t>塔中油气田</w:t>
      </w:r>
      <w:r>
        <w:rPr>
          <w:rFonts w:hint="eastAsia" w:hAnsi="宋体" w:cs="宋体"/>
          <w:color w:val="000000"/>
        </w:rPr>
        <w:t>地处</w:t>
      </w:r>
      <w:r>
        <w:rPr>
          <w:rFonts w:hint="eastAsia"/>
          <w:color w:val="000000"/>
        </w:rPr>
        <w:t>塔克拉玛干沙漠腹地，主要包括塔中4油田、塔中16油田、塔中10油田、塔中6凝析气田、塔中Ⅰ号气田。</w:t>
      </w:r>
      <w:r>
        <w:rPr>
          <w:rFonts w:hint="eastAsia" w:hAnsi="宋体" w:cs="宋体"/>
          <w:color w:val="000000"/>
        </w:rPr>
        <w:t>塔中Ⅰ号气田东西长220km，南北宽2～30km，矿权面积9314km</w:t>
      </w:r>
      <w:r>
        <w:rPr>
          <w:rFonts w:hint="eastAsia" w:hAnsi="宋体" w:cs="宋体"/>
          <w:color w:val="000000"/>
          <w:vertAlign w:val="superscript"/>
        </w:rPr>
        <w:t>2</w:t>
      </w:r>
      <w:r>
        <w:rPr>
          <w:rFonts w:hint="eastAsia" w:hAnsi="宋体" w:cs="宋体"/>
          <w:color w:val="000000"/>
        </w:rPr>
        <w:t>，目前三维地震覆盖面积6047km</w:t>
      </w:r>
      <w:r>
        <w:rPr>
          <w:rFonts w:hint="eastAsia" w:hAnsi="宋体" w:cs="宋体"/>
          <w:color w:val="000000"/>
          <w:vertAlign w:val="superscript"/>
        </w:rPr>
        <w:t>2</w:t>
      </w:r>
      <w:r>
        <w:rPr>
          <w:rFonts w:hint="eastAsia" w:hAnsi="宋体" w:cs="宋体"/>
          <w:color w:val="000000"/>
        </w:rPr>
        <w:t>，根据气藏地质特征及开发状况，自东向西划分为三个区（Ⅰ、Ⅱ、Ⅲ区），其中Ⅰ号气田Ⅲ区面积1048km</w:t>
      </w:r>
      <w:r>
        <w:rPr>
          <w:rFonts w:hint="eastAsia" w:hAnsi="宋体" w:cs="宋体"/>
          <w:color w:val="000000"/>
          <w:vertAlign w:val="superscript"/>
        </w:rPr>
        <w:t>2</w:t>
      </w:r>
      <w:r>
        <w:rPr>
          <w:rFonts w:hint="eastAsia" w:hAnsi="宋体" w:cs="宋体"/>
          <w:color w:val="000000"/>
        </w:rPr>
        <w:t>，储量面积267.89km</w:t>
      </w:r>
      <w:r>
        <w:rPr>
          <w:rFonts w:hint="eastAsia" w:hAnsi="宋体" w:cs="宋体"/>
          <w:color w:val="000000"/>
          <w:vertAlign w:val="superscript"/>
        </w:rPr>
        <w:t>2</w:t>
      </w:r>
      <w:r>
        <w:rPr>
          <w:rFonts w:hint="eastAsia" w:hAnsi="宋体" w:cs="宋体"/>
          <w:color w:val="000000"/>
        </w:rPr>
        <w:t>、天然气231.99×10</w:t>
      </w:r>
      <w:r>
        <w:rPr>
          <w:rFonts w:hint="eastAsia" w:hAnsi="宋体" w:cs="宋体"/>
          <w:color w:val="000000"/>
          <w:vertAlign w:val="superscript"/>
        </w:rPr>
        <w:t>8</w:t>
      </w:r>
      <w:r>
        <w:rPr>
          <w:rFonts w:hint="eastAsia" w:hAnsi="宋体" w:cs="宋体"/>
          <w:color w:val="000000"/>
        </w:rPr>
        <w:t>m</w:t>
      </w:r>
      <w:r>
        <w:rPr>
          <w:rFonts w:hint="eastAsia" w:hAnsi="宋体" w:cs="宋体"/>
          <w:color w:val="000000"/>
          <w:vertAlign w:val="superscript"/>
        </w:rPr>
        <w:t>3</w:t>
      </w:r>
      <w:r>
        <w:rPr>
          <w:rFonts w:hint="eastAsia" w:hAnsi="宋体" w:cs="宋体"/>
          <w:color w:val="000000"/>
        </w:rPr>
        <w:t>，石油4077.46×10</w:t>
      </w:r>
      <w:r>
        <w:rPr>
          <w:rFonts w:hint="eastAsia" w:hAnsi="宋体" w:cs="宋体"/>
          <w:color w:val="000000"/>
          <w:vertAlign w:val="superscript"/>
        </w:rPr>
        <w:t>4</w:t>
      </w:r>
      <w:r>
        <w:rPr>
          <w:rFonts w:hint="eastAsia" w:hAnsi="宋体" w:cs="宋体"/>
          <w:color w:val="000000"/>
        </w:rPr>
        <w:t>t。</w:t>
      </w:r>
    </w:p>
    <w:p w14:paraId="16D05F6B">
      <w:pPr>
        <w:spacing w:line="480" w:lineRule="exact"/>
        <w:ind w:firstLine="526" w:firstLineChars="200"/>
        <w:rPr>
          <w:rFonts w:hint="eastAsia" w:hAnsi="宋体" w:cs="宋体"/>
          <w:color w:val="000000"/>
        </w:rPr>
      </w:pPr>
      <w:r>
        <w:rPr>
          <w:rFonts w:hint="eastAsia" w:hAnsi="宋体" w:cs="宋体"/>
          <w:color w:val="000000"/>
        </w:rPr>
        <w:t>塔中Ⅰ号气田Ⅲ区的发现井为塔中45井。截至2024年7月底，塔中Ⅰ号气田Ⅲ区已开发油气藏单元40个，总井数49口，开井29口，日产液474t，日产油227t，日产气35.98万m</w:t>
      </w:r>
      <w:r>
        <w:rPr>
          <w:rFonts w:hint="eastAsia" w:hAnsi="宋体" w:cs="宋体"/>
          <w:color w:val="000000"/>
          <w:vertAlign w:val="superscript"/>
        </w:rPr>
        <w:t>3</w:t>
      </w:r>
      <w:r>
        <w:rPr>
          <w:rFonts w:hint="eastAsia" w:hAnsi="宋体" w:cs="宋体"/>
          <w:color w:val="000000"/>
        </w:rPr>
        <w:t>，综合含水52%，累产油210.67万t，累产气13.02亿m</w:t>
      </w:r>
      <w:r>
        <w:rPr>
          <w:rFonts w:hint="eastAsia" w:hAnsi="宋体" w:cs="宋体"/>
          <w:color w:val="000000"/>
          <w:vertAlign w:val="superscript"/>
        </w:rPr>
        <w:t>3</w:t>
      </w:r>
      <w:r>
        <w:rPr>
          <w:rFonts w:hint="eastAsia" w:hAnsi="宋体" w:cs="宋体"/>
          <w:color w:val="000000"/>
        </w:rPr>
        <w:t>。</w:t>
      </w:r>
      <w:r>
        <w:rPr>
          <w:rFonts w:hint="eastAsia" w:hAnsi="宋体" w:cs="宋体"/>
          <w:snapToGrid w:val="0"/>
          <w:color w:val="000000"/>
          <w:kern w:val="0"/>
        </w:rPr>
        <w:t>油气处理外输以塔三联合站为中心，油气集输以转油站、计转站和集输干线为支撑，辐射周边油气井。</w:t>
      </w:r>
    </w:p>
    <w:p w14:paraId="396D9286">
      <w:pPr>
        <w:spacing w:line="480" w:lineRule="exact"/>
        <w:ind w:firstLine="526" w:firstLineChars="200"/>
        <w:rPr>
          <w:rFonts w:hint="eastAsia" w:hAnsi="宋体" w:cs="宋体"/>
          <w:snapToGrid w:val="0"/>
          <w:color w:val="000000"/>
          <w:kern w:val="24"/>
        </w:rPr>
      </w:pPr>
      <w:r>
        <w:rPr>
          <w:rFonts w:hint="eastAsia" w:hAnsi="宋体" w:cs="宋体"/>
          <w:snapToGrid w:val="0"/>
          <w:color w:val="000000"/>
          <w:kern w:val="24"/>
        </w:rPr>
        <w:t>（2）</w:t>
      </w:r>
      <w:r>
        <w:rPr>
          <w:rFonts w:hint="eastAsia" w:hAnsi="宋体" w:cs="宋体"/>
          <w:color w:val="000000"/>
        </w:rPr>
        <w:t>塔中Ⅰ号气田Ⅲ区</w:t>
      </w:r>
      <w:r>
        <w:rPr>
          <w:rFonts w:hint="eastAsia" w:hAnsi="宋体" w:cs="宋体"/>
          <w:snapToGrid w:val="0"/>
          <w:color w:val="000000"/>
          <w:kern w:val="24"/>
        </w:rPr>
        <w:t>公辅工程建设情况</w:t>
      </w:r>
    </w:p>
    <w:p w14:paraId="1FF5D488">
      <w:pPr>
        <w:spacing w:line="480" w:lineRule="exact"/>
        <w:ind w:firstLine="526" w:firstLineChars="200"/>
        <w:rPr>
          <w:rFonts w:hAnsi="宋体" w:cs="宋体"/>
          <w:snapToGrid w:val="0"/>
          <w:color w:val="000000"/>
          <w:kern w:val="24"/>
        </w:rPr>
      </w:pPr>
      <w:r>
        <w:rPr>
          <w:rFonts w:hint="eastAsia" w:hAnsi="宋体" w:cs="宋体"/>
          <w:snapToGrid w:val="0"/>
          <w:color w:val="000000"/>
          <w:kern w:val="24"/>
        </w:rPr>
        <w:t>①给排水</w:t>
      </w:r>
    </w:p>
    <w:p w14:paraId="15F880E4">
      <w:pPr>
        <w:spacing w:line="480" w:lineRule="exact"/>
        <w:ind w:firstLine="526" w:firstLineChars="200"/>
        <w:rPr>
          <w:rFonts w:hint="eastAsia" w:hAnsi="宋体" w:cs="宋体"/>
          <w:color w:val="000000"/>
        </w:rPr>
      </w:pPr>
      <w:r>
        <w:rPr>
          <w:rFonts w:hint="eastAsia" w:hAnsi="宋体" w:cs="宋体"/>
          <w:color w:val="000000"/>
        </w:rPr>
        <w:t>塔中Ⅰ号气田Ⅲ区区域各井场、站场为无人值守井站场，主要以巡检人员为主，生产过程中不涉及用水。生活污水排入作业区公寓生活污水处理装置处理，作业区公寓生活污水采用一体化污水处理装置处理。生产过程中不涉及用水，废水主要为采出水和井下作业废水，采出水在各联合站处理后，通过采出水管线输送至区域回注水井回注地层，回注层位为油气开采层位。井下作业废水送至区域处理站处理。</w:t>
      </w:r>
    </w:p>
    <w:p w14:paraId="4F0C5862">
      <w:pPr>
        <w:spacing w:line="480" w:lineRule="exact"/>
        <w:ind w:firstLine="526" w:firstLineChars="200"/>
        <w:rPr>
          <w:rFonts w:hint="eastAsia" w:hAnsi="宋体" w:cs="宋体"/>
          <w:snapToGrid w:val="0"/>
          <w:color w:val="000000"/>
          <w:kern w:val="24"/>
        </w:rPr>
      </w:pPr>
      <w:r>
        <w:rPr>
          <w:rFonts w:hint="eastAsia" w:hAnsi="宋体" w:cs="宋体"/>
          <w:snapToGrid w:val="0"/>
          <w:color w:val="000000"/>
          <w:kern w:val="24"/>
        </w:rPr>
        <w:t>②供热</w:t>
      </w:r>
    </w:p>
    <w:p w14:paraId="7BDE1DD1">
      <w:pPr>
        <w:spacing w:line="480" w:lineRule="exact"/>
        <w:ind w:firstLine="526" w:firstLineChars="200"/>
        <w:rPr>
          <w:rFonts w:hint="eastAsia" w:hAnsi="宋体" w:cs="宋体"/>
          <w:snapToGrid w:val="0"/>
          <w:color w:val="000000"/>
          <w:kern w:val="24"/>
        </w:rPr>
      </w:pPr>
      <w:r>
        <w:rPr>
          <w:rFonts w:hint="eastAsia" w:hAnsi="宋体" w:cs="宋体"/>
          <w:snapToGrid w:val="0"/>
          <w:color w:val="000000"/>
          <w:kern w:val="24"/>
        </w:rPr>
        <w:t>塔中Ⅰ号气田Ⅲ区井场根据生产需要设置有真空加热炉、电磁加热器等，</w:t>
      </w:r>
      <w:r>
        <w:rPr>
          <w:rFonts w:hint="eastAsia" w:hAnsi="宋体" w:cs="宋体"/>
          <w:snapToGrid w:val="0"/>
          <w:color w:val="000000"/>
          <w:kern w:val="0"/>
        </w:rPr>
        <w:t>塔三联合站</w:t>
      </w:r>
      <w:r>
        <w:rPr>
          <w:rFonts w:hint="eastAsia" w:hAnsi="宋体" w:cs="宋体"/>
          <w:snapToGrid w:val="0"/>
          <w:color w:val="000000"/>
          <w:kern w:val="24"/>
        </w:rPr>
        <w:t>设置有导热油炉为生产过程提供热量，燃料为塔三联合站经过脱水脱硫脱烃后的天然气。</w:t>
      </w:r>
    </w:p>
    <w:p w14:paraId="47C139EE">
      <w:pPr>
        <w:spacing w:line="460" w:lineRule="exact"/>
        <w:ind w:firstLine="526" w:firstLineChars="200"/>
        <w:rPr>
          <w:rFonts w:hint="eastAsia" w:hAnsi="宋体" w:cs="宋体"/>
          <w:snapToGrid w:val="0"/>
          <w:color w:val="000000"/>
          <w:kern w:val="24"/>
        </w:rPr>
      </w:pPr>
      <w:r>
        <w:rPr>
          <w:rFonts w:hint="eastAsia" w:hAnsi="宋体" w:cs="宋体"/>
          <w:snapToGrid w:val="0"/>
          <w:color w:val="000000"/>
          <w:kern w:val="24"/>
        </w:rPr>
        <w:t>③供电</w:t>
      </w:r>
    </w:p>
    <w:p w14:paraId="7487BC8D">
      <w:pPr>
        <w:spacing w:line="460" w:lineRule="exact"/>
        <w:ind w:firstLine="526" w:firstLineChars="200"/>
        <w:rPr>
          <w:rFonts w:hAnsi="宋体" w:cs="宋体"/>
          <w:snapToGrid w:val="0"/>
          <w:color w:val="000000"/>
          <w:kern w:val="24"/>
        </w:rPr>
      </w:pPr>
      <w:r>
        <w:rPr>
          <w:rFonts w:hint="eastAsia" w:hAnsi="宋体" w:cs="宋体"/>
          <w:snapToGrid w:val="0"/>
          <w:color w:val="000000"/>
          <w:kern w:val="24"/>
        </w:rPr>
        <w:t>塔中Ⅰ号气田Ⅲ区范围内设置有35kV变电站，用于区域联合站、站场及井场供电，区域电力线路网覆盖较全面，钻井期用电主要从周边已有电力线路上接入，未使用柴油发电机。</w:t>
      </w:r>
    </w:p>
    <w:p w14:paraId="0E6AE8EF">
      <w:pPr>
        <w:spacing w:line="460" w:lineRule="exact"/>
        <w:ind w:firstLine="526" w:firstLineChars="200"/>
        <w:rPr>
          <w:rFonts w:hint="eastAsia" w:hAnsi="宋体" w:cs="宋体"/>
          <w:snapToGrid w:val="0"/>
          <w:color w:val="000000"/>
          <w:kern w:val="24"/>
        </w:rPr>
      </w:pPr>
      <w:r>
        <w:rPr>
          <w:rFonts w:hint="eastAsia" w:hAnsi="宋体" w:cs="宋体"/>
          <w:snapToGrid w:val="0"/>
          <w:color w:val="000000"/>
          <w:kern w:val="24"/>
        </w:rPr>
        <w:t>（3）</w:t>
      </w:r>
      <w:r>
        <w:rPr>
          <w:rFonts w:hint="eastAsia" w:hAnsi="宋体" w:cs="宋体"/>
          <w:color w:val="000000"/>
        </w:rPr>
        <w:t>塔中Ⅰ号气田Ⅲ区</w:t>
      </w:r>
      <w:r>
        <w:rPr>
          <w:rFonts w:hint="eastAsia" w:hAnsi="宋体" w:cs="宋体"/>
          <w:snapToGrid w:val="0"/>
          <w:color w:val="000000"/>
          <w:kern w:val="24"/>
        </w:rPr>
        <w:t>辅助工程建设情况</w:t>
      </w:r>
    </w:p>
    <w:p w14:paraId="5C095A05">
      <w:pPr>
        <w:adjustRightInd w:val="0"/>
        <w:spacing w:line="460" w:lineRule="exact"/>
        <w:ind w:firstLine="526" w:firstLineChars="200"/>
        <w:rPr>
          <w:rFonts w:hAnsi="宋体" w:cs="宋体"/>
          <w:color w:val="000000"/>
          <w:kern w:val="0"/>
          <w:lang w:bidi="ar"/>
        </w:rPr>
      </w:pPr>
      <w:r>
        <w:rPr>
          <w:rFonts w:hint="eastAsia" w:hAnsi="宋体" w:cs="宋体"/>
          <w:color w:val="000000"/>
          <w:kern w:val="0"/>
          <w:lang w:bidi="ar"/>
        </w:rPr>
        <w:t>①集输管线及运输情况</w:t>
      </w:r>
    </w:p>
    <w:p w14:paraId="02686CC1">
      <w:pPr>
        <w:spacing w:line="460" w:lineRule="exact"/>
        <w:ind w:firstLine="526" w:firstLineChars="200"/>
        <w:rPr>
          <w:rFonts w:hAnsi="宋体" w:cs="宋体"/>
          <w:snapToGrid w:val="0"/>
          <w:color w:val="000000"/>
          <w:kern w:val="24"/>
        </w:rPr>
      </w:pPr>
      <w:r>
        <w:rPr>
          <w:rFonts w:hint="eastAsia" w:hAnsi="宋体" w:cs="宋体"/>
          <w:snapToGrid w:val="0"/>
          <w:color w:val="000000"/>
          <w:kern w:val="24"/>
        </w:rPr>
        <w:t>目前</w:t>
      </w:r>
      <w:r>
        <w:rPr>
          <w:rFonts w:hint="eastAsia" w:hAnsi="宋体" w:cs="宋体"/>
          <w:color w:val="000000"/>
        </w:rPr>
        <w:t>塔中Ⅰ号气田Ⅲ区</w:t>
      </w:r>
      <w:r>
        <w:rPr>
          <w:rFonts w:hint="eastAsia" w:hAnsi="宋体" w:cs="宋体"/>
          <w:snapToGrid w:val="0"/>
          <w:color w:val="000000"/>
          <w:kern w:val="24"/>
        </w:rPr>
        <w:t>分布有塔三联合站，周边区域井场进入塔三联合站进行油气水分离及处理，分离后的油、气通过已建管道外输。处理达标后的采出水通过管道经区域回注井回注地层。</w:t>
      </w:r>
    </w:p>
    <w:p w14:paraId="292A1E74">
      <w:pPr>
        <w:adjustRightInd w:val="0"/>
        <w:spacing w:line="460" w:lineRule="exact"/>
        <w:ind w:firstLine="526" w:firstLineChars="200"/>
        <w:rPr>
          <w:rFonts w:hAnsi="宋体" w:cs="宋体"/>
          <w:color w:val="000000"/>
          <w:kern w:val="0"/>
          <w:lang w:bidi="ar"/>
        </w:rPr>
      </w:pPr>
      <w:r>
        <w:rPr>
          <w:rFonts w:hint="eastAsia" w:hAnsi="宋体" w:cs="宋体"/>
          <w:color w:val="000000"/>
          <w:kern w:val="0"/>
          <w:lang w:bidi="ar"/>
        </w:rPr>
        <w:t>②内部道路建设情况</w:t>
      </w:r>
    </w:p>
    <w:p w14:paraId="73DD80EF">
      <w:pPr>
        <w:adjustRightInd w:val="0"/>
        <w:spacing w:line="460" w:lineRule="exact"/>
        <w:ind w:firstLine="526" w:firstLineChars="200"/>
        <w:rPr>
          <w:rFonts w:hint="eastAsia"/>
          <w:color w:val="000000"/>
        </w:rPr>
      </w:pPr>
      <w:r>
        <w:rPr>
          <w:rFonts w:hint="eastAsia" w:hAnsi="宋体" w:cs="宋体"/>
          <w:color w:val="000000"/>
          <w:kern w:val="0"/>
          <w:lang w:bidi="ar"/>
        </w:rPr>
        <w:t>目前塔中Ⅰ号气田Ⅲ区周边紧邻沙漠公路，气田内部建设有主干路、支干路和通井道路，其中</w:t>
      </w:r>
      <w:r>
        <w:rPr>
          <w:rFonts w:hint="eastAsia"/>
          <w:color w:val="000000"/>
        </w:rPr>
        <w:t>主干路按三级公路标准，支干路按四级公路标准，沥青混凝土路面；通井道路全部为砂石路面。</w:t>
      </w:r>
    </w:p>
    <w:p w14:paraId="362E8ADE">
      <w:pPr>
        <w:adjustRightInd w:val="0"/>
        <w:spacing w:line="460" w:lineRule="exact"/>
        <w:ind w:firstLine="526" w:firstLineChars="200"/>
        <w:rPr>
          <w:color w:val="000000"/>
        </w:rPr>
      </w:pPr>
      <w:r>
        <w:rPr>
          <w:rFonts w:hint="eastAsia"/>
          <w:color w:val="000000"/>
        </w:rPr>
        <w:t>③储罐、运输及装载系统建设情况</w:t>
      </w:r>
    </w:p>
    <w:p w14:paraId="64ECFECC">
      <w:pPr>
        <w:adjustRightInd w:val="0"/>
        <w:spacing w:line="460" w:lineRule="exact"/>
        <w:ind w:firstLine="526" w:firstLineChars="200"/>
        <w:rPr>
          <w:rFonts w:hint="eastAsia" w:hAnsi="宋体" w:cs="宋体"/>
          <w:color w:val="000000"/>
        </w:rPr>
      </w:pPr>
      <w:r>
        <w:rPr>
          <w:rFonts w:hint="eastAsia" w:hAnsi="宋体" w:cs="宋体"/>
          <w:color w:val="000000"/>
          <w:kern w:val="0"/>
          <w:lang w:bidi="ar"/>
        </w:rPr>
        <w:t>塔中Ⅰ号气田Ⅲ区</w:t>
      </w:r>
      <w:r>
        <w:rPr>
          <w:rFonts w:hint="eastAsia"/>
          <w:color w:val="000000"/>
        </w:rPr>
        <w:t>各井场不涉及储罐，现有储罐主要存在于各计转站、联合站，其中各计转站现状仅进行计量，原有建设的储罐仅作为应急措施备用，联合站内经过分离后的凝析油可进入联合站内缓冲罐暂存，也可直接通过管道外输。目前</w:t>
      </w:r>
      <w:r>
        <w:rPr>
          <w:rFonts w:hint="eastAsia" w:hAnsi="宋体" w:cs="宋体"/>
          <w:color w:val="000000"/>
          <w:kern w:val="0"/>
          <w:lang w:bidi="ar"/>
        </w:rPr>
        <w:t>塔中Ⅰ号气田Ⅲ区</w:t>
      </w:r>
      <w:r>
        <w:rPr>
          <w:rFonts w:hint="eastAsia"/>
          <w:color w:val="000000"/>
        </w:rPr>
        <w:t>内各井场均实现采出液管输，联合站分离后的采出水全部通过输水管线送至注水井回注地层，油、气通过单独管道外输，基本不需要单独的装载系统。</w:t>
      </w:r>
    </w:p>
    <w:p w14:paraId="6F9FE027">
      <w:pPr>
        <w:adjustRightInd w:val="0"/>
        <w:spacing w:line="460" w:lineRule="exact"/>
        <w:outlineLvl w:val="2"/>
        <w:rPr>
          <w:rFonts w:hint="eastAsia" w:hAnsi="宋体" w:cs="宋体"/>
          <w:color w:val="000000"/>
          <w:szCs w:val="24"/>
        </w:rPr>
      </w:pPr>
      <w:r>
        <w:rPr>
          <w:rFonts w:hint="eastAsia" w:hAnsi="宋体" w:cs="宋体"/>
          <w:color w:val="000000"/>
          <w:szCs w:val="24"/>
        </w:rPr>
        <w:t>3.1.2 “三同时”执行情况</w:t>
      </w:r>
    </w:p>
    <w:p w14:paraId="110ED48C">
      <w:pPr>
        <w:pStyle w:val="10"/>
        <w:widowControl w:val="0"/>
        <w:spacing w:line="460" w:lineRule="exact"/>
        <w:ind w:firstLine="526"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目前塔中Ⅰ号气田Ⅲ区已开展的工程环保手续履行情况、环境风险应急预案、排污许可等手续情况如表3.1-1所示。</w:t>
      </w:r>
    </w:p>
    <w:p w14:paraId="590F3D4D">
      <w:pPr>
        <w:spacing w:line="460" w:lineRule="exact"/>
        <w:ind w:firstLine="526" w:firstLineChars="200"/>
        <w:rPr>
          <w:rFonts w:hint="eastAsia" w:ascii="黑体" w:hAnsi="黑体" w:eastAsia="黑体" w:cs="宋体"/>
          <w:color w:val="000000"/>
          <w:lang w:val="zh-CN"/>
        </w:rPr>
      </w:pPr>
      <w:r>
        <w:rPr>
          <w:rFonts w:hint="eastAsia" w:ascii="黑体" w:hAnsi="黑体" w:eastAsia="黑体" w:cs="宋体"/>
          <w:color w:val="000000"/>
        </w:rPr>
        <w:t xml:space="preserve">表3.1-1   </w:t>
      </w:r>
      <w:r>
        <w:rPr>
          <w:rFonts w:hint="eastAsia" w:ascii="黑体" w:hAnsi="黑体" w:eastAsia="黑体" w:cs="黑体"/>
          <w:color w:val="000000"/>
        </w:rPr>
        <w:t>塔中Ⅰ号气田Ⅲ区</w:t>
      </w:r>
      <w:r>
        <w:rPr>
          <w:rFonts w:hint="eastAsia" w:ascii="黑体" w:hAnsi="黑体" w:eastAsia="黑体" w:cs="黑体"/>
          <w:color w:val="000000"/>
          <w:lang w:val="zh-CN"/>
        </w:rPr>
        <w:t>开发现状环保手续履行情况一览表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277"/>
        <w:gridCol w:w="786"/>
        <w:gridCol w:w="1892"/>
        <w:gridCol w:w="1146"/>
        <w:gridCol w:w="1189"/>
        <w:gridCol w:w="712"/>
        <w:gridCol w:w="1107"/>
        <w:gridCol w:w="1107"/>
        <w:gridCol w:w="795"/>
      </w:tblGrid>
      <w:tr w14:paraId="02BCA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4" w:type="pct"/>
            <w:vMerge w:val="restart"/>
            <w:vAlign w:val="center"/>
          </w:tcPr>
          <w:p w14:paraId="27685649">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序号</w:t>
            </w:r>
          </w:p>
        </w:tc>
        <w:tc>
          <w:tcPr>
            <w:tcW w:w="436" w:type="pct"/>
            <w:vMerge w:val="restart"/>
            <w:vAlign w:val="center"/>
          </w:tcPr>
          <w:p w14:paraId="554202F2">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类别</w:t>
            </w:r>
          </w:p>
        </w:tc>
        <w:tc>
          <w:tcPr>
            <w:tcW w:w="1050" w:type="pct"/>
            <w:vMerge w:val="restart"/>
            <w:vAlign w:val="center"/>
          </w:tcPr>
          <w:p w14:paraId="7D6BDE1B">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项目名称</w:t>
            </w:r>
          </w:p>
        </w:tc>
        <w:tc>
          <w:tcPr>
            <w:tcW w:w="3360" w:type="pct"/>
            <w:gridSpan w:val="6"/>
            <w:vAlign w:val="center"/>
          </w:tcPr>
          <w:p w14:paraId="386B4858">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内容</w:t>
            </w:r>
          </w:p>
        </w:tc>
      </w:tr>
      <w:tr w14:paraId="1377C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4" w:type="pct"/>
            <w:vMerge w:val="continue"/>
            <w:vAlign w:val="center"/>
          </w:tcPr>
          <w:p w14:paraId="19A5F48E">
            <w:pPr>
              <w:pStyle w:val="181"/>
              <w:snapToGrid/>
              <w:spacing w:line="0" w:lineRule="atLeast"/>
              <w:ind w:firstLine="0" w:firstLineChars="0"/>
              <w:rPr>
                <w:rFonts w:hint="eastAsia" w:ascii="宋体" w:cs="宋体"/>
                <w:color w:val="000000"/>
                <w:spacing w:val="0"/>
                <w:sz w:val="21"/>
                <w:szCs w:val="21"/>
              </w:rPr>
            </w:pPr>
          </w:p>
        </w:tc>
        <w:tc>
          <w:tcPr>
            <w:tcW w:w="436" w:type="pct"/>
            <w:vMerge w:val="continue"/>
            <w:vAlign w:val="center"/>
          </w:tcPr>
          <w:p w14:paraId="54482185">
            <w:pPr>
              <w:pStyle w:val="181"/>
              <w:snapToGrid/>
              <w:spacing w:line="0" w:lineRule="atLeast"/>
              <w:ind w:firstLine="0" w:firstLineChars="0"/>
              <w:rPr>
                <w:rFonts w:hint="eastAsia" w:ascii="宋体" w:cs="宋体"/>
                <w:color w:val="000000"/>
                <w:spacing w:val="0"/>
                <w:sz w:val="21"/>
                <w:szCs w:val="21"/>
              </w:rPr>
            </w:pPr>
          </w:p>
        </w:tc>
        <w:tc>
          <w:tcPr>
            <w:tcW w:w="1050" w:type="pct"/>
            <w:vMerge w:val="continue"/>
            <w:vAlign w:val="center"/>
          </w:tcPr>
          <w:p w14:paraId="37E51B60">
            <w:pPr>
              <w:pStyle w:val="181"/>
              <w:snapToGrid/>
              <w:spacing w:line="0" w:lineRule="atLeast"/>
              <w:ind w:firstLine="0" w:firstLineChars="0"/>
              <w:rPr>
                <w:rFonts w:hint="eastAsia" w:ascii="宋体" w:cs="宋体"/>
                <w:color w:val="000000"/>
                <w:spacing w:val="0"/>
                <w:sz w:val="21"/>
                <w:szCs w:val="21"/>
              </w:rPr>
            </w:pPr>
          </w:p>
        </w:tc>
        <w:tc>
          <w:tcPr>
            <w:tcW w:w="1691" w:type="pct"/>
            <w:gridSpan w:val="3"/>
            <w:vAlign w:val="center"/>
          </w:tcPr>
          <w:p w14:paraId="67EA4179">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环评文件</w:t>
            </w:r>
          </w:p>
        </w:tc>
        <w:tc>
          <w:tcPr>
            <w:tcW w:w="1670" w:type="pct"/>
            <w:gridSpan w:val="3"/>
            <w:vAlign w:val="center"/>
          </w:tcPr>
          <w:p w14:paraId="29F50FD8">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验收文件</w:t>
            </w:r>
          </w:p>
        </w:tc>
      </w:tr>
      <w:tr w14:paraId="3BD6C7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4" w:type="pct"/>
            <w:vMerge w:val="continue"/>
            <w:vAlign w:val="center"/>
          </w:tcPr>
          <w:p w14:paraId="2A493DC2">
            <w:pPr>
              <w:pStyle w:val="181"/>
              <w:snapToGrid/>
              <w:spacing w:line="0" w:lineRule="atLeast"/>
              <w:ind w:firstLine="0" w:firstLineChars="0"/>
              <w:rPr>
                <w:rFonts w:hint="eastAsia" w:ascii="宋体" w:cs="宋体"/>
                <w:color w:val="000000"/>
                <w:spacing w:val="0"/>
                <w:sz w:val="21"/>
                <w:szCs w:val="21"/>
              </w:rPr>
            </w:pPr>
          </w:p>
        </w:tc>
        <w:tc>
          <w:tcPr>
            <w:tcW w:w="436" w:type="pct"/>
            <w:vMerge w:val="continue"/>
            <w:vAlign w:val="center"/>
          </w:tcPr>
          <w:p w14:paraId="5555DEB3">
            <w:pPr>
              <w:pStyle w:val="181"/>
              <w:snapToGrid/>
              <w:spacing w:line="0" w:lineRule="atLeast"/>
              <w:ind w:firstLine="0" w:firstLineChars="0"/>
              <w:rPr>
                <w:rFonts w:hint="eastAsia" w:ascii="宋体" w:cs="宋体"/>
                <w:color w:val="000000"/>
                <w:spacing w:val="0"/>
                <w:sz w:val="21"/>
                <w:szCs w:val="21"/>
              </w:rPr>
            </w:pPr>
          </w:p>
        </w:tc>
        <w:tc>
          <w:tcPr>
            <w:tcW w:w="1050" w:type="pct"/>
            <w:vMerge w:val="continue"/>
            <w:vAlign w:val="center"/>
          </w:tcPr>
          <w:p w14:paraId="5F0BB3EB">
            <w:pPr>
              <w:pStyle w:val="181"/>
              <w:snapToGrid/>
              <w:spacing w:line="0" w:lineRule="atLeast"/>
              <w:ind w:firstLine="0" w:firstLineChars="0"/>
              <w:rPr>
                <w:rFonts w:hint="eastAsia" w:ascii="宋体" w:cs="宋体"/>
                <w:color w:val="000000"/>
                <w:spacing w:val="0"/>
                <w:sz w:val="21"/>
                <w:szCs w:val="21"/>
              </w:rPr>
            </w:pPr>
          </w:p>
        </w:tc>
        <w:tc>
          <w:tcPr>
            <w:tcW w:w="636" w:type="pct"/>
            <w:vAlign w:val="center"/>
          </w:tcPr>
          <w:p w14:paraId="6866007C">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审批部门</w:t>
            </w:r>
          </w:p>
        </w:tc>
        <w:tc>
          <w:tcPr>
            <w:tcW w:w="660" w:type="pct"/>
            <w:vAlign w:val="center"/>
          </w:tcPr>
          <w:p w14:paraId="4D29B854">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文号</w:t>
            </w:r>
          </w:p>
        </w:tc>
        <w:tc>
          <w:tcPr>
            <w:tcW w:w="395" w:type="pct"/>
            <w:vAlign w:val="center"/>
          </w:tcPr>
          <w:p w14:paraId="6A2EF9E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w:t>
            </w:r>
          </w:p>
          <w:p w14:paraId="682392E9">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日期</w:t>
            </w:r>
          </w:p>
        </w:tc>
        <w:tc>
          <w:tcPr>
            <w:tcW w:w="614" w:type="pct"/>
            <w:vAlign w:val="center"/>
          </w:tcPr>
          <w:p w14:paraId="2D6B46BD">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审批部门</w:t>
            </w:r>
          </w:p>
        </w:tc>
        <w:tc>
          <w:tcPr>
            <w:tcW w:w="614" w:type="pct"/>
            <w:vAlign w:val="center"/>
          </w:tcPr>
          <w:p w14:paraId="1A066018">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文号</w:t>
            </w:r>
          </w:p>
        </w:tc>
        <w:tc>
          <w:tcPr>
            <w:tcW w:w="441" w:type="pct"/>
            <w:vAlign w:val="center"/>
          </w:tcPr>
          <w:p w14:paraId="30A142F7">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w:t>
            </w:r>
          </w:p>
          <w:p w14:paraId="6665407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日期</w:t>
            </w:r>
          </w:p>
        </w:tc>
      </w:tr>
      <w:tr w14:paraId="334A44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4" w:type="pct"/>
            <w:vAlign w:val="center"/>
          </w:tcPr>
          <w:p w14:paraId="2722F75C">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1</w:t>
            </w:r>
          </w:p>
        </w:tc>
        <w:tc>
          <w:tcPr>
            <w:tcW w:w="436" w:type="pct"/>
            <w:vAlign w:val="center"/>
          </w:tcPr>
          <w:p w14:paraId="348B7C00">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环评</w:t>
            </w:r>
          </w:p>
          <w:p w14:paraId="2CCF953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手续</w:t>
            </w:r>
          </w:p>
        </w:tc>
        <w:tc>
          <w:tcPr>
            <w:tcW w:w="1050" w:type="pct"/>
            <w:vAlign w:val="center"/>
          </w:tcPr>
          <w:p w14:paraId="3301BA2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塔中Ⅰ号气田开发试验区10亿方试采地面建设工程</w:t>
            </w:r>
          </w:p>
        </w:tc>
        <w:tc>
          <w:tcPr>
            <w:tcW w:w="636" w:type="pct"/>
            <w:vAlign w:val="center"/>
          </w:tcPr>
          <w:p w14:paraId="1C0445C7">
            <w:pPr>
              <w:pStyle w:val="181"/>
              <w:snapToGrid/>
              <w:spacing w:line="0" w:lineRule="atLeast"/>
              <w:ind w:firstLine="0" w:firstLineChars="0"/>
              <w:rPr>
                <w:rFonts w:ascii="宋体" w:cs="宋体"/>
                <w:color w:val="000000"/>
                <w:spacing w:val="0"/>
                <w:sz w:val="21"/>
                <w:szCs w:val="21"/>
              </w:rPr>
            </w:pPr>
            <w:r>
              <w:rPr>
                <w:rFonts w:hint="eastAsia" w:ascii="宋体" w:cs="宋体"/>
                <w:color w:val="000000"/>
                <w:spacing w:val="0"/>
                <w:sz w:val="21"/>
                <w:szCs w:val="21"/>
              </w:rPr>
              <w:t>巴州生态环境局</w:t>
            </w:r>
          </w:p>
        </w:tc>
        <w:tc>
          <w:tcPr>
            <w:tcW w:w="660" w:type="pct"/>
            <w:vAlign w:val="center"/>
          </w:tcPr>
          <w:p w14:paraId="54B212E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巴环控函〔2008〕</w:t>
            </w:r>
          </w:p>
          <w:p w14:paraId="71BBECC1">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26号</w:t>
            </w:r>
          </w:p>
        </w:tc>
        <w:tc>
          <w:tcPr>
            <w:tcW w:w="395" w:type="pct"/>
            <w:vAlign w:val="center"/>
          </w:tcPr>
          <w:p w14:paraId="6CDD3BED">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2008.</w:t>
            </w:r>
          </w:p>
          <w:p w14:paraId="37DB3BC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1.24</w:t>
            </w:r>
          </w:p>
        </w:tc>
        <w:tc>
          <w:tcPr>
            <w:tcW w:w="614" w:type="pct"/>
            <w:vAlign w:val="center"/>
          </w:tcPr>
          <w:p w14:paraId="228FDC33">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巴州生态环境局</w:t>
            </w:r>
          </w:p>
        </w:tc>
        <w:tc>
          <w:tcPr>
            <w:tcW w:w="614" w:type="pct"/>
            <w:vAlign w:val="center"/>
          </w:tcPr>
          <w:p w14:paraId="184B1B09">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巴环验字〔2011〕</w:t>
            </w:r>
          </w:p>
          <w:p w14:paraId="3A75FD12">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35号</w:t>
            </w:r>
          </w:p>
        </w:tc>
        <w:tc>
          <w:tcPr>
            <w:tcW w:w="441" w:type="pct"/>
            <w:vAlign w:val="center"/>
          </w:tcPr>
          <w:p w14:paraId="4E482EF3">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2011.</w:t>
            </w:r>
          </w:p>
          <w:p w14:paraId="1716677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11.22</w:t>
            </w:r>
          </w:p>
        </w:tc>
      </w:tr>
    </w:tbl>
    <w:p w14:paraId="5B0154FA">
      <w:pPr>
        <w:spacing w:line="460" w:lineRule="exact"/>
        <w:ind w:firstLine="526" w:firstLineChars="200"/>
        <w:rPr>
          <w:rFonts w:hint="eastAsia" w:ascii="黑体" w:hAnsi="黑体" w:eastAsia="黑体" w:cs="宋体"/>
          <w:color w:val="000000"/>
          <w:lang w:val="zh-CN"/>
        </w:rPr>
      </w:pPr>
      <w:r>
        <w:rPr>
          <w:rFonts w:hint="eastAsia" w:ascii="黑体" w:hAnsi="黑体" w:eastAsia="黑体" w:cs="宋体"/>
          <w:color w:val="000000"/>
        </w:rPr>
        <w:t xml:space="preserve">续表3.1-1   </w:t>
      </w:r>
      <w:r>
        <w:rPr>
          <w:rFonts w:hint="eastAsia" w:ascii="黑体" w:hAnsi="黑体" w:eastAsia="黑体" w:cs="黑体"/>
          <w:color w:val="000000"/>
        </w:rPr>
        <w:t>塔中Ⅰ号气田Ⅲ区</w:t>
      </w:r>
      <w:r>
        <w:rPr>
          <w:rFonts w:hint="eastAsia" w:ascii="黑体" w:hAnsi="黑体" w:eastAsia="黑体" w:cs="黑体"/>
          <w:color w:val="000000"/>
          <w:lang w:val="zh-CN"/>
        </w:rPr>
        <w:t>开发现状环保手续履行情况一览表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277"/>
        <w:gridCol w:w="787"/>
        <w:gridCol w:w="1891"/>
        <w:gridCol w:w="1145"/>
        <w:gridCol w:w="1188"/>
        <w:gridCol w:w="714"/>
        <w:gridCol w:w="1106"/>
        <w:gridCol w:w="1106"/>
        <w:gridCol w:w="796"/>
      </w:tblGrid>
      <w:tr w14:paraId="52C62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Merge w:val="restart"/>
            <w:vAlign w:val="center"/>
          </w:tcPr>
          <w:p w14:paraId="38B47B9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序号</w:t>
            </w:r>
          </w:p>
        </w:tc>
        <w:tc>
          <w:tcPr>
            <w:tcW w:w="436" w:type="pct"/>
            <w:vMerge w:val="restart"/>
            <w:vAlign w:val="center"/>
          </w:tcPr>
          <w:p w14:paraId="52EAD203">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类别</w:t>
            </w:r>
          </w:p>
        </w:tc>
        <w:tc>
          <w:tcPr>
            <w:tcW w:w="1049" w:type="pct"/>
            <w:vMerge w:val="restart"/>
            <w:vAlign w:val="center"/>
          </w:tcPr>
          <w:p w14:paraId="2E9B4697">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项目名称</w:t>
            </w:r>
          </w:p>
        </w:tc>
        <w:tc>
          <w:tcPr>
            <w:tcW w:w="3360" w:type="pct"/>
            <w:gridSpan w:val="6"/>
            <w:vAlign w:val="center"/>
          </w:tcPr>
          <w:p w14:paraId="2FD9B57B">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内容</w:t>
            </w:r>
          </w:p>
        </w:tc>
      </w:tr>
      <w:tr w14:paraId="696CF3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Merge w:val="continue"/>
            <w:vAlign w:val="center"/>
          </w:tcPr>
          <w:p w14:paraId="10D48663">
            <w:pPr>
              <w:pStyle w:val="181"/>
              <w:snapToGrid/>
              <w:spacing w:line="0" w:lineRule="atLeast"/>
              <w:ind w:firstLine="0" w:firstLineChars="0"/>
              <w:rPr>
                <w:rFonts w:hint="eastAsia" w:ascii="宋体" w:cs="宋体"/>
                <w:color w:val="000000"/>
                <w:spacing w:val="0"/>
                <w:sz w:val="21"/>
                <w:szCs w:val="21"/>
              </w:rPr>
            </w:pPr>
          </w:p>
        </w:tc>
        <w:tc>
          <w:tcPr>
            <w:tcW w:w="436" w:type="pct"/>
            <w:vMerge w:val="continue"/>
            <w:vAlign w:val="center"/>
          </w:tcPr>
          <w:p w14:paraId="3F0B3C97">
            <w:pPr>
              <w:pStyle w:val="181"/>
              <w:snapToGrid/>
              <w:spacing w:line="0" w:lineRule="atLeast"/>
              <w:ind w:firstLine="0" w:firstLineChars="0"/>
              <w:rPr>
                <w:rFonts w:hint="eastAsia" w:ascii="宋体" w:cs="宋体"/>
                <w:color w:val="000000"/>
                <w:spacing w:val="0"/>
                <w:sz w:val="21"/>
                <w:szCs w:val="21"/>
              </w:rPr>
            </w:pPr>
          </w:p>
        </w:tc>
        <w:tc>
          <w:tcPr>
            <w:tcW w:w="1049" w:type="pct"/>
            <w:vMerge w:val="continue"/>
            <w:vAlign w:val="center"/>
          </w:tcPr>
          <w:p w14:paraId="74267889">
            <w:pPr>
              <w:pStyle w:val="181"/>
              <w:snapToGrid/>
              <w:spacing w:line="0" w:lineRule="atLeast"/>
              <w:ind w:firstLine="0" w:firstLineChars="0"/>
              <w:rPr>
                <w:rFonts w:hint="eastAsia" w:ascii="宋体" w:cs="宋体"/>
                <w:color w:val="000000"/>
                <w:spacing w:val="0"/>
                <w:sz w:val="21"/>
                <w:szCs w:val="21"/>
              </w:rPr>
            </w:pPr>
          </w:p>
        </w:tc>
        <w:tc>
          <w:tcPr>
            <w:tcW w:w="1690" w:type="pct"/>
            <w:gridSpan w:val="3"/>
            <w:vAlign w:val="center"/>
          </w:tcPr>
          <w:p w14:paraId="49C7C3BD">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环评文件</w:t>
            </w:r>
          </w:p>
        </w:tc>
        <w:tc>
          <w:tcPr>
            <w:tcW w:w="1669" w:type="pct"/>
            <w:gridSpan w:val="3"/>
            <w:vAlign w:val="center"/>
          </w:tcPr>
          <w:p w14:paraId="6B36E56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验收文件</w:t>
            </w:r>
          </w:p>
        </w:tc>
      </w:tr>
      <w:tr w14:paraId="63B683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Merge w:val="continue"/>
            <w:vAlign w:val="center"/>
          </w:tcPr>
          <w:p w14:paraId="56275E25">
            <w:pPr>
              <w:pStyle w:val="181"/>
              <w:snapToGrid/>
              <w:spacing w:line="0" w:lineRule="atLeast"/>
              <w:ind w:firstLine="0" w:firstLineChars="0"/>
              <w:rPr>
                <w:rFonts w:hint="eastAsia" w:ascii="宋体" w:cs="宋体"/>
                <w:color w:val="000000"/>
                <w:spacing w:val="0"/>
                <w:sz w:val="21"/>
                <w:szCs w:val="21"/>
              </w:rPr>
            </w:pPr>
          </w:p>
        </w:tc>
        <w:tc>
          <w:tcPr>
            <w:tcW w:w="436" w:type="pct"/>
            <w:vMerge w:val="continue"/>
            <w:vAlign w:val="center"/>
          </w:tcPr>
          <w:p w14:paraId="358ACFD7">
            <w:pPr>
              <w:pStyle w:val="181"/>
              <w:snapToGrid/>
              <w:spacing w:line="0" w:lineRule="atLeast"/>
              <w:ind w:firstLine="0" w:firstLineChars="0"/>
              <w:rPr>
                <w:rFonts w:hint="eastAsia" w:ascii="宋体" w:cs="宋体"/>
                <w:color w:val="000000"/>
                <w:spacing w:val="0"/>
                <w:sz w:val="21"/>
                <w:szCs w:val="21"/>
              </w:rPr>
            </w:pPr>
          </w:p>
        </w:tc>
        <w:tc>
          <w:tcPr>
            <w:tcW w:w="1049" w:type="pct"/>
            <w:vMerge w:val="continue"/>
            <w:vAlign w:val="center"/>
          </w:tcPr>
          <w:p w14:paraId="44ACE69A">
            <w:pPr>
              <w:pStyle w:val="181"/>
              <w:snapToGrid/>
              <w:spacing w:line="0" w:lineRule="atLeast"/>
              <w:ind w:firstLine="0" w:firstLineChars="0"/>
              <w:rPr>
                <w:rFonts w:hint="eastAsia" w:ascii="宋体" w:cs="宋体"/>
                <w:color w:val="000000"/>
                <w:spacing w:val="0"/>
                <w:sz w:val="21"/>
                <w:szCs w:val="21"/>
              </w:rPr>
            </w:pPr>
          </w:p>
        </w:tc>
        <w:tc>
          <w:tcPr>
            <w:tcW w:w="635" w:type="pct"/>
            <w:vAlign w:val="center"/>
          </w:tcPr>
          <w:p w14:paraId="7230FB96">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审批部门</w:t>
            </w:r>
          </w:p>
        </w:tc>
        <w:tc>
          <w:tcPr>
            <w:tcW w:w="659" w:type="pct"/>
            <w:vAlign w:val="center"/>
          </w:tcPr>
          <w:p w14:paraId="6A7DCD96">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文号</w:t>
            </w:r>
          </w:p>
        </w:tc>
        <w:tc>
          <w:tcPr>
            <w:tcW w:w="395" w:type="pct"/>
            <w:vAlign w:val="center"/>
          </w:tcPr>
          <w:p w14:paraId="7FFC4C5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w:t>
            </w:r>
          </w:p>
          <w:p w14:paraId="5E27771E">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日期</w:t>
            </w:r>
          </w:p>
        </w:tc>
        <w:tc>
          <w:tcPr>
            <w:tcW w:w="614" w:type="pct"/>
            <w:vAlign w:val="center"/>
          </w:tcPr>
          <w:p w14:paraId="26F573B1">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审批部门</w:t>
            </w:r>
          </w:p>
        </w:tc>
        <w:tc>
          <w:tcPr>
            <w:tcW w:w="614" w:type="pct"/>
            <w:vAlign w:val="center"/>
          </w:tcPr>
          <w:p w14:paraId="274A44C2">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文号</w:t>
            </w:r>
          </w:p>
        </w:tc>
        <w:tc>
          <w:tcPr>
            <w:tcW w:w="441" w:type="pct"/>
            <w:vAlign w:val="center"/>
          </w:tcPr>
          <w:p w14:paraId="46F1786B">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审批</w:t>
            </w:r>
          </w:p>
          <w:p w14:paraId="127225C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日期</w:t>
            </w:r>
          </w:p>
        </w:tc>
      </w:tr>
      <w:tr w14:paraId="39F7B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Merge w:val="restart"/>
            <w:vAlign w:val="center"/>
          </w:tcPr>
          <w:p w14:paraId="2CF0CC6D">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1</w:t>
            </w:r>
          </w:p>
        </w:tc>
        <w:tc>
          <w:tcPr>
            <w:tcW w:w="436" w:type="pct"/>
            <w:vMerge w:val="restart"/>
            <w:vAlign w:val="center"/>
          </w:tcPr>
          <w:p w14:paraId="1C2D2DBE">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环评</w:t>
            </w:r>
          </w:p>
          <w:p w14:paraId="6AB9FE8B">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手续</w:t>
            </w:r>
          </w:p>
        </w:tc>
        <w:tc>
          <w:tcPr>
            <w:tcW w:w="1049" w:type="pct"/>
            <w:vAlign w:val="center"/>
          </w:tcPr>
          <w:p w14:paraId="4C61C74F">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塔中Ⅰ号气田西部试采地面工程环境影响报告书</w:t>
            </w:r>
          </w:p>
        </w:tc>
        <w:tc>
          <w:tcPr>
            <w:tcW w:w="635" w:type="pct"/>
            <w:vAlign w:val="center"/>
          </w:tcPr>
          <w:p w14:paraId="1EB88669">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新疆维吾尔自治区生态环境厅</w:t>
            </w:r>
          </w:p>
        </w:tc>
        <w:tc>
          <w:tcPr>
            <w:tcW w:w="659" w:type="pct"/>
            <w:vAlign w:val="center"/>
          </w:tcPr>
          <w:p w14:paraId="0D24F3AC">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新环评价函〔2011〕</w:t>
            </w:r>
          </w:p>
          <w:p w14:paraId="7EB89207">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1095号</w:t>
            </w:r>
          </w:p>
        </w:tc>
        <w:tc>
          <w:tcPr>
            <w:tcW w:w="395" w:type="pct"/>
            <w:vAlign w:val="center"/>
          </w:tcPr>
          <w:p w14:paraId="32F4F267">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2011.11.18</w:t>
            </w:r>
          </w:p>
        </w:tc>
        <w:tc>
          <w:tcPr>
            <w:tcW w:w="614" w:type="pct"/>
            <w:vAlign w:val="center"/>
          </w:tcPr>
          <w:p w14:paraId="2DCAAC84">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新疆维吾尔自治区生态环境厅</w:t>
            </w:r>
          </w:p>
        </w:tc>
        <w:tc>
          <w:tcPr>
            <w:tcW w:w="614" w:type="pct"/>
            <w:vAlign w:val="center"/>
          </w:tcPr>
          <w:p w14:paraId="7B3231B6">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新环函〔2014〕</w:t>
            </w:r>
          </w:p>
          <w:p w14:paraId="7436066E">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672号</w:t>
            </w:r>
          </w:p>
        </w:tc>
        <w:tc>
          <w:tcPr>
            <w:tcW w:w="441" w:type="pct"/>
            <w:vAlign w:val="center"/>
          </w:tcPr>
          <w:p w14:paraId="0061AFB1">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2014.</w:t>
            </w:r>
          </w:p>
          <w:p w14:paraId="218B7F5D">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6.3</w:t>
            </w:r>
          </w:p>
        </w:tc>
      </w:tr>
      <w:tr w14:paraId="052B96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Merge w:val="continue"/>
            <w:vAlign w:val="center"/>
          </w:tcPr>
          <w:p w14:paraId="5863759E">
            <w:pPr>
              <w:pStyle w:val="181"/>
              <w:snapToGrid/>
              <w:spacing w:line="0" w:lineRule="atLeast"/>
              <w:ind w:firstLine="0" w:firstLineChars="0"/>
              <w:rPr>
                <w:rFonts w:hint="eastAsia" w:ascii="宋体" w:cs="宋体"/>
                <w:color w:val="000000"/>
                <w:spacing w:val="0"/>
                <w:sz w:val="21"/>
                <w:szCs w:val="21"/>
              </w:rPr>
            </w:pPr>
          </w:p>
        </w:tc>
        <w:tc>
          <w:tcPr>
            <w:tcW w:w="436" w:type="pct"/>
            <w:vMerge w:val="continue"/>
            <w:vAlign w:val="center"/>
          </w:tcPr>
          <w:p w14:paraId="2C6FC37C">
            <w:pPr>
              <w:spacing w:line="0" w:lineRule="atLeast"/>
              <w:jc w:val="center"/>
              <w:rPr>
                <w:rFonts w:hint="eastAsia" w:hAnsi="宋体" w:cs="宋体"/>
                <w:color w:val="000000"/>
                <w:spacing w:val="0"/>
                <w:sz w:val="21"/>
                <w:szCs w:val="21"/>
              </w:rPr>
            </w:pPr>
          </w:p>
        </w:tc>
        <w:tc>
          <w:tcPr>
            <w:tcW w:w="1049" w:type="pct"/>
            <w:vAlign w:val="center"/>
          </w:tcPr>
          <w:p w14:paraId="357A13A6">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塔中Ⅰ号凝析气田中古8-中古43区块开发建设工程</w:t>
            </w:r>
          </w:p>
        </w:tc>
        <w:tc>
          <w:tcPr>
            <w:tcW w:w="635" w:type="pct"/>
            <w:vAlign w:val="center"/>
          </w:tcPr>
          <w:p w14:paraId="4A6B38A7">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新疆维吾尔自治区生态环境厅</w:t>
            </w:r>
          </w:p>
        </w:tc>
        <w:tc>
          <w:tcPr>
            <w:tcW w:w="659" w:type="pct"/>
            <w:vAlign w:val="center"/>
          </w:tcPr>
          <w:p w14:paraId="4D514EF2">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新环评价函〔2013〕</w:t>
            </w:r>
          </w:p>
          <w:p w14:paraId="7F63D10D">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712号</w:t>
            </w:r>
          </w:p>
        </w:tc>
        <w:tc>
          <w:tcPr>
            <w:tcW w:w="395" w:type="pct"/>
            <w:vAlign w:val="center"/>
          </w:tcPr>
          <w:p w14:paraId="47394261">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2013.8.13</w:t>
            </w:r>
          </w:p>
        </w:tc>
        <w:tc>
          <w:tcPr>
            <w:tcW w:w="614" w:type="pct"/>
            <w:vAlign w:val="center"/>
          </w:tcPr>
          <w:p w14:paraId="2A24FD5E">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新疆维吾尔自治区生态环境厅</w:t>
            </w:r>
          </w:p>
        </w:tc>
        <w:tc>
          <w:tcPr>
            <w:tcW w:w="614" w:type="pct"/>
            <w:vAlign w:val="center"/>
          </w:tcPr>
          <w:p w14:paraId="7A5E0B20">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新环评价函〔2017〕1340号</w:t>
            </w:r>
          </w:p>
        </w:tc>
        <w:tc>
          <w:tcPr>
            <w:tcW w:w="441" w:type="pct"/>
            <w:vAlign w:val="center"/>
          </w:tcPr>
          <w:p w14:paraId="275ABBB6">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2017.</w:t>
            </w:r>
          </w:p>
          <w:p w14:paraId="5085B655">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8.27</w:t>
            </w:r>
          </w:p>
        </w:tc>
      </w:tr>
      <w:tr w14:paraId="205809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Align w:val="center"/>
          </w:tcPr>
          <w:p w14:paraId="1503E72A">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2</w:t>
            </w:r>
          </w:p>
        </w:tc>
        <w:tc>
          <w:tcPr>
            <w:tcW w:w="436" w:type="pct"/>
            <w:vAlign w:val="center"/>
          </w:tcPr>
          <w:p w14:paraId="5FA0D796">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环境风险应急预案</w:t>
            </w:r>
          </w:p>
        </w:tc>
        <w:tc>
          <w:tcPr>
            <w:tcW w:w="1049" w:type="pct"/>
            <w:vAlign w:val="center"/>
          </w:tcPr>
          <w:p w14:paraId="6529ADB3">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塔中第三联合站突发环境事件应急预案</w:t>
            </w:r>
          </w:p>
        </w:tc>
        <w:tc>
          <w:tcPr>
            <w:tcW w:w="3360" w:type="pct"/>
            <w:gridSpan w:val="6"/>
            <w:vAlign w:val="center"/>
          </w:tcPr>
          <w:p w14:paraId="7B554112">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编制完成《塔里木油田公司塔中油气开发部塔中第三联合站突发环境事件应急预案》并于2025年7月14日完成备案工作（备案编号653200-2025-271-L）</w:t>
            </w:r>
          </w:p>
        </w:tc>
      </w:tr>
      <w:tr w14:paraId="5B8B2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Align w:val="center"/>
          </w:tcPr>
          <w:p w14:paraId="12430001">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3</w:t>
            </w:r>
          </w:p>
        </w:tc>
        <w:tc>
          <w:tcPr>
            <w:tcW w:w="436" w:type="pct"/>
            <w:vAlign w:val="center"/>
          </w:tcPr>
          <w:p w14:paraId="459FCCB8">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排污许可执行情况</w:t>
            </w:r>
          </w:p>
        </w:tc>
        <w:tc>
          <w:tcPr>
            <w:tcW w:w="1049" w:type="pct"/>
            <w:vAlign w:val="center"/>
          </w:tcPr>
          <w:p w14:paraId="3D62EC7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塔中采油气管理区</w:t>
            </w:r>
          </w:p>
        </w:tc>
        <w:tc>
          <w:tcPr>
            <w:tcW w:w="3360" w:type="pct"/>
            <w:gridSpan w:val="6"/>
            <w:vAlign w:val="center"/>
          </w:tcPr>
          <w:p w14:paraId="43B00A35">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2023年4月4日，塔里木油田分公司塔中采油气管理区申领了排污许可证（证书编号：9165280071554911XG029U）</w:t>
            </w:r>
          </w:p>
        </w:tc>
      </w:tr>
      <w:tr w14:paraId="19E20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3" w:type="pct"/>
            <w:vAlign w:val="center"/>
          </w:tcPr>
          <w:p w14:paraId="09E7F057">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4</w:t>
            </w:r>
          </w:p>
        </w:tc>
        <w:tc>
          <w:tcPr>
            <w:tcW w:w="436" w:type="pct"/>
            <w:vAlign w:val="center"/>
          </w:tcPr>
          <w:p w14:paraId="30B779B0">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环境影响后评价开展情况</w:t>
            </w:r>
          </w:p>
        </w:tc>
        <w:tc>
          <w:tcPr>
            <w:tcW w:w="1049" w:type="pct"/>
            <w:vAlign w:val="center"/>
          </w:tcPr>
          <w:p w14:paraId="7C6DE2CF">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塔中采油气管理区塔中油气田环境影响后评价报告书</w:t>
            </w:r>
          </w:p>
        </w:tc>
        <w:tc>
          <w:tcPr>
            <w:tcW w:w="3360" w:type="pct"/>
            <w:gridSpan w:val="6"/>
            <w:vAlign w:val="center"/>
          </w:tcPr>
          <w:p w14:paraId="11C20EED">
            <w:pPr>
              <w:pStyle w:val="181"/>
              <w:snapToGrid/>
              <w:spacing w:line="0" w:lineRule="atLeast"/>
              <w:ind w:firstLine="0" w:firstLineChars="0"/>
              <w:rPr>
                <w:rFonts w:hint="eastAsia" w:ascii="宋体" w:cs="宋体"/>
                <w:color w:val="000000"/>
                <w:spacing w:val="0"/>
                <w:sz w:val="21"/>
                <w:szCs w:val="21"/>
              </w:rPr>
            </w:pPr>
            <w:r>
              <w:rPr>
                <w:rFonts w:hint="eastAsia" w:ascii="宋体" w:cs="宋体"/>
                <w:color w:val="000000"/>
                <w:spacing w:val="0"/>
                <w:sz w:val="21"/>
                <w:szCs w:val="21"/>
              </w:rPr>
              <w:t>编制完成《塔中采油气管理区塔中油气田环境影响后评价报告书》并于2021年3月15日完成新疆维吾尔自治区生态环境厅备案工作（新环环评函〔2021〕219号）</w:t>
            </w:r>
          </w:p>
        </w:tc>
      </w:tr>
    </w:tbl>
    <w:p w14:paraId="5BF4E62C">
      <w:pPr>
        <w:adjustRightInd w:val="0"/>
        <w:spacing w:before="240" w:line="480" w:lineRule="exact"/>
        <w:outlineLvl w:val="2"/>
        <w:rPr>
          <w:rFonts w:hint="eastAsia" w:hAnsi="宋体" w:cs="宋体"/>
          <w:color w:val="000000"/>
          <w:szCs w:val="24"/>
        </w:rPr>
      </w:pPr>
      <w:r>
        <w:rPr>
          <w:rFonts w:hint="eastAsia" w:hAnsi="宋体" w:cs="宋体"/>
          <w:color w:val="000000"/>
          <w:szCs w:val="24"/>
        </w:rPr>
        <w:t>3.1.3环境影响回顾评价</w:t>
      </w:r>
    </w:p>
    <w:bookmarkEnd w:id="98"/>
    <w:bookmarkEnd w:id="99"/>
    <w:bookmarkEnd w:id="100"/>
    <w:p w14:paraId="246BB2E4">
      <w:pPr>
        <w:tabs>
          <w:tab w:val="left" w:pos="4032"/>
        </w:tabs>
        <w:ind w:firstLine="526" w:firstLineChars="200"/>
        <w:rPr>
          <w:rFonts w:hint="eastAsia" w:hAnsi="宋体" w:cs="宋体"/>
          <w:color w:val="000000"/>
          <w:szCs w:val="24"/>
        </w:rPr>
      </w:pPr>
      <w:bookmarkStart w:id="101" w:name="_Toc31776"/>
      <w:bookmarkStart w:id="102" w:name="_Toc198040319"/>
      <w:bookmarkStart w:id="103" w:name="_Toc198040175"/>
      <w:bookmarkStart w:id="104" w:name="_Toc208474670"/>
      <w:r>
        <w:rPr>
          <w:rFonts w:hint="eastAsia" w:hAnsi="宋体" w:cs="宋体"/>
          <w:color w:val="000000"/>
          <w:szCs w:val="24"/>
        </w:rPr>
        <w:t>本次评价结合《塔中油气田环境影响后评价报告书》、相关验收报告及本次现场踏勘情况，对塔中Ⅰ号气田Ⅲ区大气环境、水环境、声环境、固体废物、生态环境及环境风险等情况进行回顾性评价。</w:t>
      </w:r>
    </w:p>
    <w:p w14:paraId="4DB505DD">
      <w:pPr>
        <w:outlineLvl w:val="3"/>
        <w:rPr>
          <w:rFonts w:hAnsi="宋体" w:cs="宋体"/>
          <w:bCs/>
          <w:color w:val="000000"/>
          <w:szCs w:val="24"/>
        </w:rPr>
      </w:pPr>
      <w:r>
        <w:rPr>
          <w:rFonts w:hint="eastAsia" w:hAnsi="宋体" w:cs="宋体"/>
          <w:bCs/>
          <w:color w:val="000000"/>
          <w:szCs w:val="24"/>
        </w:rPr>
        <w:t>3.1.3.1 生态影响回顾</w:t>
      </w:r>
    </w:p>
    <w:p w14:paraId="34100A68">
      <w:pPr>
        <w:ind w:firstLine="526" w:firstLineChars="200"/>
        <w:rPr>
          <w:rFonts w:hAnsi="宋体" w:cs="宋体"/>
          <w:bCs/>
          <w:color w:val="000000"/>
          <w:szCs w:val="24"/>
        </w:rPr>
      </w:pPr>
      <w:r>
        <w:rPr>
          <w:rFonts w:hint="eastAsia" w:hAnsi="宋体" w:cs="宋体"/>
          <w:bCs/>
          <w:color w:val="000000"/>
          <w:szCs w:val="24"/>
        </w:rPr>
        <w:t>（</w:t>
      </w:r>
      <w:r>
        <w:rPr>
          <w:rFonts w:hAnsi="宋体" w:cs="宋体"/>
          <w:bCs/>
          <w:color w:val="000000"/>
          <w:szCs w:val="24"/>
        </w:rPr>
        <w:t>1</w:t>
      </w:r>
      <w:r>
        <w:rPr>
          <w:rFonts w:hint="eastAsia" w:hAnsi="宋体" w:cs="宋体"/>
          <w:bCs/>
          <w:color w:val="000000"/>
          <w:szCs w:val="24"/>
        </w:rPr>
        <w:t>）</w:t>
      </w:r>
      <w:r>
        <w:rPr>
          <w:rFonts w:hint="eastAsia" w:hAnsi="宋体" w:cs="宋体"/>
          <w:color w:val="000000"/>
          <w:kern w:val="0"/>
          <w:szCs w:val="24"/>
        </w:rPr>
        <w:t>占地影响回顾分析</w:t>
      </w:r>
    </w:p>
    <w:p w14:paraId="79EC3347">
      <w:pPr>
        <w:ind w:firstLine="526" w:firstLineChars="200"/>
        <w:rPr>
          <w:rFonts w:hAnsi="宋体" w:cs="宋体"/>
          <w:bCs/>
          <w:color w:val="000000"/>
          <w:szCs w:val="24"/>
        </w:rPr>
      </w:pPr>
      <w:r>
        <w:rPr>
          <w:rFonts w:hAnsi="宋体" w:cs="宋体"/>
          <w:bCs/>
          <w:color w:val="000000"/>
          <w:szCs w:val="24"/>
        </w:rPr>
        <w:t>开发建设对生态的影响主要表现为占地影响，分为临时占地和永久占地。施工期临时占地会造成占地范围内植被破坏、土壤扰动及水土流失等影响，永久占地会改变土地利用类型，造成生态景观破碎化等影响。</w:t>
      </w:r>
    </w:p>
    <w:p w14:paraId="1B2332D9">
      <w:pPr>
        <w:ind w:firstLine="526" w:firstLineChars="200"/>
        <w:rPr>
          <w:rFonts w:hAnsi="宋体" w:cs="宋体"/>
          <w:bCs/>
          <w:color w:val="000000"/>
          <w:szCs w:val="24"/>
        </w:rPr>
      </w:pPr>
      <w:r>
        <w:rPr>
          <w:rFonts w:hAnsi="宋体" w:cs="宋体"/>
          <w:bCs/>
          <w:color w:val="000000"/>
          <w:szCs w:val="24"/>
        </w:rPr>
        <w:t>通过对</w:t>
      </w:r>
      <w:r>
        <w:rPr>
          <w:rFonts w:hint="eastAsia" w:hAnsi="宋体" w:cs="宋体"/>
          <w:color w:val="000000"/>
          <w:szCs w:val="24"/>
        </w:rPr>
        <w:t>塔中Ⅰ号气田Ⅲ区</w:t>
      </w:r>
      <w:r>
        <w:rPr>
          <w:rFonts w:hAnsi="宋体" w:cs="宋体"/>
          <w:bCs/>
          <w:color w:val="000000"/>
          <w:szCs w:val="24"/>
        </w:rPr>
        <w:t>不同开发期卫星影像图解译数据分析可见，油田开发区域沙地面积较大，总体上植被盖度较低，因油田开发引起土地利用类型变化不大，变化主要发生在荒漠生态系统内部，大部分保持原有荒漠景观，局部新增工矿用地。</w:t>
      </w:r>
    </w:p>
    <w:p w14:paraId="79FE2889">
      <w:pPr>
        <w:ind w:firstLine="526" w:firstLineChars="200"/>
        <w:rPr>
          <w:rFonts w:hAnsi="宋体" w:cs="宋体"/>
          <w:bCs/>
          <w:color w:val="000000"/>
          <w:sz w:val="25"/>
        </w:rPr>
      </w:pPr>
      <w:r>
        <w:rPr>
          <w:rFonts w:hAnsi="宋体" w:cs="宋体"/>
          <w:bCs/>
          <w:color w:val="000000"/>
          <w:szCs w:val="24"/>
        </w:rPr>
        <w:t>单井和站场永久占地范围内无植被，地表平整压实，铺垫砾石层。各类管线临时影响范围均在管道两侧各5m的范围之内。工程完工后覆土回填，除管廊上方回填土高于原地表，其余临时占用地方清理平整并恢复地表。道路临时影响范围均在道路中心线两侧各5m范围之内，工程完工后对公路两侧的施工迹地进行平整。</w:t>
      </w:r>
    </w:p>
    <w:p w14:paraId="10A1D2F8">
      <w:pPr>
        <w:ind w:firstLine="526" w:firstLineChars="200"/>
        <w:rPr>
          <w:rFonts w:hAnsi="宋体" w:cs="宋体"/>
          <w:bCs/>
          <w:color w:val="000000"/>
          <w:szCs w:val="24"/>
        </w:rPr>
      </w:pPr>
      <w:r>
        <w:rPr>
          <w:rFonts w:hint="eastAsia" w:hAnsi="宋体" w:cs="宋体"/>
          <w:bCs/>
          <w:color w:val="000000"/>
          <w:szCs w:val="24"/>
        </w:rPr>
        <w:t>（2）</w:t>
      </w:r>
      <w:r>
        <w:rPr>
          <w:rFonts w:hint="eastAsia" w:hAnsi="宋体" w:cs="宋体"/>
          <w:color w:val="000000"/>
          <w:kern w:val="0"/>
          <w:szCs w:val="24"/>
        </w:rPr>
        <w:t>植被环境影响回顾分析</w:t>
      </w:r>
    </w:p>
    <w:p w14:paraId="3E787C8A">
      <w:pPr>
        <w:adjustRightInd w:val="0"/>
        <w:ind w:firstLine="526" w:firstLineChars="200"/>
        <w:jc w:val="left"/>
        <w:rPr>
          <w:color w:val="000000"/>
          <w:kern w:val="0"/>
          <w:szCs w:val="24"/>
        </w:rPr>
      </w:pPr>
      <w:r>
        <w:rPr>
          <w:color w:val="000000"/>
          <w:kern w:val="0"/>
          <w:szCs w:val="24"/>
        </w:rPr>
        <w:t>油田开发建设工程对植被的影响主要表现在钻井期，根据油田开发特点，对植被产生重要影响的阶段为施工期的占地影响、油田公路修建及管道敷设产生的影响、人类活动产生的影响。其次污染物排放也将对天然植被产生一定的不利影响。</w:t>
      </w:r>
      <w:r>
        <w:rPr>
          <w:rFonts w:hint="eastAsia" w:hAnsi="宋体" w:cs="宋体"/>
          <w:color w:val="000000"/>
          <w:kern w:val="0"/>
          <w:szCs w:val="24"/>
        </w:rPr>
        <w:t>塔中Ⅰ号气田Ⅲ区</w:t>
      </w:r>
      <w:r>
        <w:rPr>
          <w:color w:val="000000"/>
          <w:kern w:val="0"/>
          <w:szCs w:val="24"/>
        </w:rPr>
        <w:t>经过了多年的开发后，现在已占用了一定面积的土地，使永久占地范围内的荒漠</w:t>
      </w:r>
      <w:r>
        <w:rPr>
          <w:rFonts w:hint="eastAsia"/>
          <w:color w:val="000000"/>
          <w:kern w:val="0"/>
          <w:szCs w:val="24"/>
        </w:rPr>
        <w:t>植物</w:t>
      </w:r>
      <w:r>
        <w:rPr>
          <w:color w:val="000000"/>
          <w:kern w:val="0"/>
          <w:szCs w:val="24"/>
        </w:rPr>
        <w:t>受到一定程度的破坏。整个自然环境中的植被覆盖度减少，地表永久性构筑物增多。</w:t>
      </w:r>
    </w:p>
    <w:p w14:paraId="715B7D1D">
      <w:pPr>
        <w:adjustRightInd w:val="0"/>
        <w:ind w:firstLine="526" w:firstLineChars="200"/>
        <w:rPr>
          <w:rFonts w:hint="eastAsia" w:hAnsi="宋体" w:cs="宋体"/>
          <w:color w:val="000000"/>
          <w:szCs w:val="24"/>
          <w:lang w:bidi="ar"/>
        </w:rPr>
      </w:pPr>
      <w:r>
        <w:rPr>
          <w:rFonts w:hint="eastAsia" w:hAnsi="宋体" w:cs="宋体"/>
          <w:color w:val="000000"/>
          <w:szCs w:val="24"/>
          <w:lang w:bidi="ar"/>
        </w:rPr>
        <w:t>①永久占地植被影响回顾</w:t>
      </w:r>
    </w:p>
    <w:p w14:paraId="14F50982">
      <w:pPr>
        <w:adjustRightInd w:val="0"/>
        <w:ind w:firstLine="526" w:firstLineChars="200"/>
        <w:rPr>
          <w:rFonts w:hint="eastAsia" w:hAnsi="宋体" w:cs="宋体"/>
          <w:color w:val="000000"/>
          <w:szCs w:val="24"/>
          <w:lang w:bidi="ar"/>
        </w:rPr>
      </w:pPr>
      <w:r>
        <w:rPr>
          <w:rFonts w:hint="eastAsia" w:hAnsi="宋体" w:cs="宋体"/>
          <w:color w:val="000000"/>
          <w:szCs w:val="24"/>
          <w:lang w:bidi="ar"/>
        </w:rPr>
        <w:t>永久占地是指井场、站场占地。根据现场调查情况，</w:t>
      </w:r>
      <w:r>
        <w:rPr>
          <w:rFonts w:hint="eastAsia" w:hAnsi="宋体" w:cs="宋体"/>
          <w:color w:val="000000"/>
          <w:szCs w:val="24"/>
        </w:rPr>
        <w:t>塔中Ⅰ号气田Ⅲ区</w:t>
      </w:r>
      <w:r>
        <w:rPr>
          <w:rFonts w:hint="eastAsia" w:hAnsi="宋体" w:cs="宋体"/>
          <w:color w:val="000000"/>
          <w:szCs w:val="24"/>
          <w:lang w:bidi="ar"/>
        </w:rPr>
        <w:t xml:space="preserve">的道路地面均进行了硬化处理，井场永久性占地范围内进行砾石铺垫处理，站场（计转站、联合站等）有护栏围护。油田内部永久占地范围的植被完全清除，主要为柽柳、芦苇等。 </w:t>
      </w:r>
    </w:p>
    <w:p w14:paraId="3793D8A3">
      <w:pPr>
        <w:adjustRightInd w:val="0"/>
        <w:ind w:firstLine="526" w:firstLineChars="200"/>
        <w:rPr>
          <w:rFonts w:hint="eastAsia" w:hAnsi="宋体" w:cs="宋体"/>
          <w:color w:val="000000"/>
          <w:szCs w:val="24"/>
          <w:lang w:bidi="ar"/>
        </w:rPr>
      </w:pPr>
      <w:r>
        <w:rPr>
          <w:rFonts w:hint="eastAsia" w:hAnsi="宋体" w:cs="宋体"/>
          <w:color w:val="000000"/>
          <w:szCs w:val="24"/>
          <w:lang w:bidi="ar"/>
        </w:rPr>
        <w:t>②临时占地植被影响回顾</w:t>
      </w:r>
    </w:p>
    <w:p w14:paraId="7CED990D">
      <w:pPr>
        <w:adjustRightInd w:val="0"/>
        <w:ind w:firstLine="526" w:firstLineChars="200"/>
        <w:rPr>
          <w:rFonts w:hint="eastAsia" w:hAnsi="宋体" w:cs="宋体"/>
          <w:color w:val="000000"/>
          <w:szCs w:val="24"/>
          <w:lang w:bidi="ar"/>
        </w:rPr>
      </w:pPr>
      <w:r>
        <w:rPr>
          <w:rFonts w:hint="eastAsia" w:hAnsi="宋体" w:cs="宋体"/>
          <w:color w:val="000000"/>
          <w:szCs w:val="24"/>
          <w:lang w:bidi="ar"/>
        </w:rPr>
        <w:t>临时占地主要是敷设管线、井场施工时占用的土地，</w:t>
      </w:r>
      <w:r>
        <w:rPr>
          <w:rFonts w:hint="eastAsia" w:ascii="Times New Roman" w:hAnsi="Times New Roman"/>
          <w:color w:val="000000"/>
          <w:szCs w:val="24"/>
        </w:rPr>
        <w:t>施工结束后对临时占地进行清理平整和恢复</w:t>
      </w:r>
      <w:r>
        <w:rPr>
          <w:rFonts w:hint="eastAsia" w:hAnsi="宋体" w:cs="宋体"/>
          <w:color w:val="000000"/>
          <w:szCs w:val="24"/>
          <w:lang w:bidi="ar"/>
        </w:rPr>
        <w:t>。根据现场调查，拟建工程井位位于沙漠内，流动沙丘，植物群落类型单一，结构简单，生物量低，群落稳定性差，植被覆盖度小于5%，施工期间对周围植被影响有限，并且随着施工结束影响也随之结束。</w:t>
      </w:r>
      <w:r>
        <w:rPr>
          <w:rFonts w:hint="eastAsia" w:ascii="Times New Roman" w:hAnsi="Times New Roman"/>
          <w:color w:val="000000"/>
          <w:szCs w:val="24"/>
        </w:rPr>
        <w:t>在</w:t>
      </w:r>
      <w:r>
        <w:rPr>
          <w:rFonts w:hint="eastAsia" w:hAnsi="宋体" w:cs="宋体"/>
          <w:color w:val="000000"/>
          <w:szCs w:val="24"/>
          <w:lang w:bidi="ar"/>
        </w:rPr>
        <w:t>管线</w:t>
      </w:r>
      <w:r>
        <w:rPr>
          <w:rFonts w:ascii="Times New Roman" w:hAnsi="Times New Roman"/>
          <w:color w:val="000000"/>
          <w:szCs w:val="24"/>
        </w:rPr>
        <w:t>固沙范围外</w:t>
      </w:r>
      <w:r>
        <w:rPr>
          <w:rFonts w:hint="eastAsia" w:ascii="Times New Roman" w:hAnsi="Times New Roman"/>
          <w:color w:val="000000"/>
          <w:szCs w:val="24"/>
        </w:rPr>
        <w:t>铺设了草方格，一定程度上起到了很好的防风固沙作用。</w:t>
      </w:r>
    </w:p>
    <w:p w14:paraId="12C0AD11">
      <w:pPr>
        <w:adjustRightInd w:val="0"/>
        <w:spacing w:line="463" w:lineRule="exact"/>
        <w:ind w:firstLine="526" w:firstLineChars="200"/>
        <w:rPr>
          <w:rFonts w:hAnsi="宋体" w:cs="宋体"/>
          <w:color w:val="000000"/>
          <w:szCs w:val="24"/>
        </w:rPr>
      </w:pPr>
      <w:r>
        <w:rPr>
          <w:rFonts w:hint="eastAsia" w:hAnsi="宋体" w:cs="宋体"/>
          <w:color w:val="000000"/>
          <w:szCs w:val="24"/>
        </w:rPr>
        <w:t>油气田进入正式生产运营期后，地表土壤、植被也将不再受到扰动，不会再对区域内的自然植被产生新的和破坏的影响，正在逐步的自然恢复过程中。</w:t>
      </w:r>
    </w:p>
    <w:p w14:paraId="72E873C8">
      <w:pPr>
        <w:spacing w:line="463" w:lineRule="exact"/>
        <w:ind w:firstLine="526" w:firstLineChars="200"/>
        <w:rPr>
          <w:rFonts w:hAnsi="宋体" w:cs="宋体"/>
          <w:bCs/>
          <w:color w:val="000000"/>
          <w:szCs w:val="24"/>
        </w:rPr>
      </w:pPr>
      <w:r>
        <w:rPr>
          <w:rFonts w:hint="eastAsia" w:hAnsi="宋体" w:cs="宋体"/>
          <w:bCs/>
          <w:color w:val="000000"/>
          <w:szCs w:val="24"/>
        </w:rPr>
        <w:t>（3）</w:t>
      </w:r>
      <w:r>
        <w:rPr>
          <w:rFonts w:hint="eastAsia" w:hAnsi="宋体" w:cs="宋体"/>
          <w:color w:val="000000"/>
          <w:kern w:val="0"/>
          <w:szCs w:val="24"/>
        </w:rPr>
        <w:t>野生动物影响回顾分析</w:t>
      </w:r>
    </w:p>
    <w:p w14:paraId="5B31BBCF">
      <w:pPr>
        <w:spacing w:line="463" w:lineRule="exact"/>
        <w:ind w:firstLine="526" w:firstLineChars="200"/>
        <w:rPr>
          <w:rFonts w:hint="eastAsia" w:hAnsi="Courier New"/>
          <w:color w:val="000000"/>
          <w:szCs w:val="24"/>
        </w:rPr>
      </w:pPr>
      <w:r>
        <w:rPr>
          <w:rFonts w:hint="eastAsia" w:hAnsi="Courier New"/>
          <w:color w:val="000000"/>
          <w:szCs w:val="24"/>
        </w:rPr>
        <w:t>根据现场踏勘和走访调查，</w:t>
      </w:r>
      <w:r>
        <w:rPr>
          <w:rFonts w:hint="eastAsia" w:hAnsi="宋体" w:cs="宋体"/>
          <w:color w:val="000000"/>
          <w:szCs w:val="24"/>
        </w:rPr>
        <w:t>塔中Ⅰ号气田Ⅲ区</w:t>
      </w:r>
      <w:r>
        <w:rPr>
          <w:rFonts w:hint="eastAsia" w:hAnsi="Courier New"/>
          <w:color w:val="000000"/>
          <w:szCs w:val="24"/>
        </w:rPr>
        <w:t>内野生动物种类、数量均不丰富，主要为爬行类、小型鸟类等，</w:t>
      </w:r>
      <w:r>
        <w:rPr>
          <w:rFonts w:hint="eastAsia" w:hAnsi="宋体" w:cs="宋体"/>
          <w:color w:val="000000"/>
          <w:szCs w:val="24"/>
        </w:rPr>
        <w:t>油田开发建设</w:t>
      </w:r>
      <w:r>
        <w:rPr>
          <w:rFonts w:hint="eastAsia" w:hAnsi="Courier New"/>
          <w:color w:val="000000"/>
          <w:szCs w:val="24"/>
        </w:rPr>
        <w:t>施工期对动物的影响，主要是运输、施工噪声和人为活动，迫使动物离开场站和管道沿线区域，其适应性较强，较容易在</w:t>
      </w:r>
      <w:r>
        <w:rPr>
          <w:rFonts w:hint="eastAsia" w:hAnsi="宋体" w:cs="宋体"/>
          <w:color w:val="000000"/>
          <w:szCs w:val="24"/>
        </w:rPr>
        <w:t>油田开发</w:t>
      </w:r>
      <w:r>
        <w:rPr>
          <w:rFonts w:hint="eastAsia" w:hAnsi="Courier New"/>
          <w:color w:val="000000"/>
          <w:szCs w:val="24"/>
        </w:rPr>
        <w:t>后找到替代生境；对区域野生动物的影响不属于永久性和伤害性影响，只是造成短时间的干扰，随着施工结束，对野生动物的干扰也随之消失。</w:t>
      </w:r>
      <w:r>
        <w:rPr>
          <w:rFonts w:hint="eastAsia" w:hAnsi="宋体" w:cs="宋体"/>
          <w:color w:val="000000"/>
          <w:szCs w:val="24"/>
        </w:rPr>
        <w:t>油田进入生产期，人为影响程度趋于平稳，部分对栖息地分割和人类活动影响相对不太敏感（爬行类、小型鸟类）的种类，又可重新返回油田区影响较弱的地带生存。同时油田开发</w:t>
      </w:r>
      <w:r>
        <w:rPr>
          <w:rFonts w:hint="eastAsia" w:hAnsi="Courier New"/>
          <w:color w:val="000000"/>
          <w:szCs w:val="24"/>
        </w:rPr>
        <w:t>在施工过程中加强对施工人员活动区域的控制，减少对野生动物的干扰，</w:t>
      </w:r>
      <w:r>
        <w:rPr>
          <w:rFonts w:hint="eastAsia" w:hAnsi="宋体" w:cs="宋体"/>
          <w:color w:val="000000"/>
          <w:szCs w:val="24"/>
        </w:rPr>
        <w:t>未发生捕猎野生保护动物的现象。</w:t>
      </w:r>
      <w:r>
        <w:rPr>
          <w:rFonts w:hint="eastAsia" w:hAnsi="Courier New"/>
          <w:color w:val="000000"/>
          <w:szCs w:val="24"/>
        </w:rPr>
        <w:t>因此，</w:t>
      </w:r>
      <w:r>
        <w:rPr>
          <w:rFonts w:hint="eastAsia" w:hAnsi="宋体" w:cs="宋体"/>
          <w:color w:val="000000"/>
          <w:szCs w:val="24"/>
        </w:rPr>
        <w:t>油田开发活动</w:t>
      </w:r>
      <w:r>
        <w:rPr>
          <w:rFonts w:hint="eastAsia" w:hAnsi="Courier New"/>
          <w:color w:val="000000"/>
          <w:szCs w:val="24"/>
        </w:rPr>
        <w:t>对野生动物种群和数量影响较小。</w:t>
      </w:r>
    </w:p>
    <w:p w14:paraId="65CF0648">
      <w:pPr>
        <w:spacing w:line="463" w:lineRule="exact"/>
        <w:ind w:firstLine="526" w:firstLineChars="200"/>
        <w:rPr>
          <w:rFonts w:hAnsi="宋体" w:cs="宋体"/>
          <w:bCs/>
          <w:color w:val="000000"/>
          <w:szCs w:val="24"/>
        </w:rPr>
      </w:pPr>
      <w:r>
        <w:rPr>
          <w:rFonts w:hint="eastAsia" w:hAnsi="宋体" w:cs="宋体"/>
          <w:bCs/>
          <w:color w:val="000000"/>
          <w:szCs w:val="24"/>
        </w:rPr>
        <w:t>（4）</w:t>
      </w:r>
      <w:r>
        <w:rPr>
          <w:rFonts w:hAnsi="宋体" w:cs="宋体"/>
          <w:bCs/>
          <w:color w:val="000000"/>
          <w:szCs w:val="24"/>
        </w:rPr>
        <w:t>已采取的生态保护措施有效性评价</w:t>
      </w:r>
    </w:p>
    <w:p w14:paraId="1CA3585B">
      <w:pPr>
        <w:adjustRightInd w:val="0"/>
        <w:spacing w:line="463" w:lineRule="exact"/>
        <w:ind w:firstLine="526" w:firstLineChars="200"/>
        <w:rPr>
          <w:rFonts w:hint="eastAsia" w:hAnsi="宋体" w:cs="宋体"/>
          <w:color w:val="000000"/>
          <w:szCs w:val="24"/>
          <w:lang w:bidi="ar"/>
        </w:rPr>
      </w:pPr>
      <w:r>
        <w:rPr>
          <w:rFonts w:hint="eastAsia" w:hAnsi="宋体" w:cs="宋体"/>
          <w:color w:val="000000"/>
          <w:szCs w:val="24"/>
          <w:lang w:bidi="ar"/>
        </w:rPr>
        <w:t>①井场和站场</w:t>
      </w:r>
    </w:p>
    <w:p w14:paraId="65F4A7BE">
      <w:pPr>
        <w:adjustRightInd w:val="0"/>
        <w:spacing w:line="463" w:lineRule="exact"/>
        <w:ind w:firstLine="526" w:firstLineChars="200"/>
        <w:rPr>
          <w:rFonts w:hint="eastAsia" w:hAnsi="宋体" w:cs="宋体"/>
          <w:color w:val="000000"/>
          <w:szCs w:val="24"/>
          <w:lang w:bidi="ar"/>
        </w:rPr>
      </w:pPr>
      <w:r>
        <w:rPr>
          <w:rFonts w:hint="eastAsia" w:hAnsi="宋体" w:cs="宋体"/>
          <w:color w:val="000000"/>
          <w:szCs w:val="24"/>
          <w:lang w:bidi="ar"/>
        </w:rPr>
        <w:t>钻井工程结束后，对井场永久占地范围内地表结合区块地表特点，铺设了水泥板，采取了必要的硬化措施，以减少侵蚀量。井场永久性占地面积在60m×60m，完全符合施工设计要求。施工完成后，地面均进行了砾石铺垫处理。因沙地生态环境极其脆弱，永久用地的硬化地面起到了防风固沙的作用，且优于铺设沙障措施效果，因此在沙地场站内设备拆除、井口封堵后，场站内水泥基础或砾石地面保留原状。</w:t>
      </w:r>
    </w:p>
    <w:p w14:paraId="67963C7D">
      <w:pPr>
        <w:ind w:firstLine="567"/>
        <w:rPr>
          <w:color w:val="000000"/>
          <w:sz w:val="25"/>
        </w:rPr>
      </w:pPr>
      <w:r>
        <w:rPr>
          <w:sz w:val="25"/>
        </w:rPr>
        <w:pict>
          <v:group id="组合 242" o:spid="_x0000_s1029" o:spt="203" style="position:absolute;left:0pt;margin-left:1.5pt;margin-top:13.4pt;height:142pt;width:454.7pt;z-index:251674624;mso-width-relative:page;mso-height-relative:page;" coordorigin="4847,300864" coordsize="9094,2840">
            <o:lock v:ext="edit" aspectratio="f"/>
            <v:shape id="图片 567" o:spid="_x0000_s1030" o:spt="75" type="#_x0000_t75" style="position:absolute;left:9427;top:300864;height:2840;width:4515;" filled="f" o:preferrelative="t" stroked="f" coordsize="21600,21600">
              <v:path/>
              <v:fill on="f" focussize="0,0"/>
              <v:stroke on="f"/>
              <v:imagedata r:id="rId16" cropbottom="19852f" o:title=""/>
              <o:lock v:ext="edit" aspectratio="t"/>
            </v:shape>
            <v:shape id="图片 568" o:spid="_x0000_s1031" o:spt="75" alt="C:/Users/Administrator/Desktop/图片(1).png图片(1)" type="#_x0000_t75" style="position:absolute;left:4847;top:300866;height:2838;width:4524;" filled="f" o:preferrelative="t" stroked="f" coordsize="21600,21600">
              <v:path/>
              <v:fill on="f" focussize="0,0"/>
              <v:stroke on="f"/>
              <v:imagedata r:id="rId17" cropleft="3418f" cropright="3418f" o:title="图片(1)"/>
              <o:lock v:ext="edit" aspectratio="t"/>
            </v:shape>
          </v:group>
        </w:pict>
      </w:r>
    </w:p>
    <w:p w14:paraId="3351DE80">
      <w:pPr>
        <w:ind w:firstLine="567"/>
        <w:rPr>
          <w:color w:val="000000"/>
          <w:sz w:val="25"/>
        </w:rPr>
      </w:pPr>
    </w:p>
    <w:p w14:paraId="423B2258">
      <w:pPr>
        <w:ind w:firstLine="567"/>
        <w:rPr>
          <w:color w:val="000000"/>
          <w:sz w:val="25"/>
        </w:rPr>
      </w:pPr>
    </w:p>
    <w:p w14:paraId="67553252">
      <w:pPr>
        <w:ind w:firstLine="567"/>
        <w:rPr>
          <w:color w:val="000000"/>
          <w:sz w:val="25"/>
        </w:rPr>
      </w:pPr>
    </w:p>
    <w:p w14:paraId="637A5F87">
      <w:pPr>
        <w:ind w:left="526" w:leftChars="200" w:firstLine="420"/>
        <w:rPr>
          <w:color w:val="000000"/>
          <w:kern w:val="0"/>
          <w:sz w:val="25"/>
        </w:rPr>
      </w:pPr>
    </w:p>
    <w:p w14:paraId="365DB1ED">
      <w:pPr>
        <w:rPr>
          <w:color w:val="000000"/>
          <w:sz w:val="25"/>
        </w:rPr>
      </w:pPr>
    </w:p>
    <w:p w14:paraId="334CD582">
      <w:pPr>
        <w:ind w:firstLine="567"/>
        <w:jc w:val="center"/>
        <w:rPr>
          <w:rFonts w:hint="eastAsia" w:cs="宋体"/>
          <w:color w:val="000000"/>
          <w:sz w:val="25"/>
        </w:rPr>
      </w:pPr>
    </w:p>
    <w:p w14:paraId="22BB243E">
      <w:pPr>
        <w:ind w:firstLine="567"/>
        <w:jc w:val="center"/>
        <w:rPr>
          <w:rFonts w:eastAsia="黑体"/>
          <w:color w:val="000000"/>
          <w:szCs w:val="24"/>
        </w:rPr>
      </w:pPr>
      <w:r>
        <w:rPr>
          <w:rFonts w:hint="eastAsia" w:cs="宋体"/>
          <w:color w:val="000000"/>
          <w:szCs w:val="24"/>
        </w:rPr>
        <w:t>图</w:t>
      </w:r>
      <w:r>
        <w:rPr>
          <w:rFonts w:cs="宋体"/>
          <w:color w:val="000000"/>
          <w:szCs w:val="24"/>
        </w:rPr>
        <w:t>3.1-1</w:t>
      </w:r>
      <w:r>
        <w:rPr>
          <w:rFonts w:hint="eastAsia" w:cs="宋体"/>
          <w:color w:val="000000"/>
          <w:szCs w:val="24"/>
        </w:rPr>
        <w:t xml:space="preserve">   </w:t>
      </w:r>
      <w:r>
        <w:rPr>
          <w:rFonts w:hint="eastAsia" w:ascii="黑体" w:hAnsi="黑体" w:eastAsia="黑体" w:cs="宋体"/>
          <w:color w:val="000000"/>
          <w:szCs w:val="24"/>
        </w:rPr>
        <w:t>塔中油气田区域现有井场情况</w:t>
      </w:r>
    </w:p>
    <w:p w14:paraId="642F8261">
      <w:pPr>
        <w:topLinePunct/>
        <w:ind w:firstLine="526" w:firstLineChars="200"/>
        <w:rPr>
          <w:color w:val="000000"/>
          <w:szCs w:val="24"/>
        </w:rPr>
      </w:pPr>
      <w:r>
        <w:rPr>
          <w:rFonts w:hint="eastAsia"/>
          <w:color w:val="000000"/>
          <w:szCs w:val="24"/>
        </w:rPr>
        <w:t>②管线和道路</w:t>
      </w:r>
    </w:p>
    <w:p w14:paraId="298547B4">
      <w:pPr>
        <w:ind w:firstLine="526" w:firstLineChars="200"/>
        <w:rPr>
          <w:rFonts w:hint="eastAsia"/>
          <w:color w:val="000000"/>
          <w:szCs w:val="24"/>
        </w:rPr>
      </w:pPr>
      <w:r>
        <w:rPr>
          <w:rFonts w:hint="eastAsia"/>
          <w:color w:val="000000"/>
          <w:szCs w:val="24"/>
        </w:rPr>
        <w:t>项目区临时占地的植被恢复以自然恢复为主。油区主干路为沥青路面，至各单井为独立的探临路，砂石路面，路面宽约</w:t>
      </w:r>
      <w:r>
        <w:rPr>
          <w:color w:val="000000"/>
          <w:szCs w:val="24"/>
        </w:rPr>
        <w:t>5m</w:t>
      </w:r>
      <w:r>
        <w:rPr>
          <w:rFonts w:hint="eastAsia"/>
          <w:color w:val="000000"/>
          <w:szCs w:val="24"/>
        </w:rPr>
        <w:t>。所有的施工车辆都是在已建道路上行驶，禁止车辆乱碾乱轧的情况发生，不得随意开设便道。据现场调查，</w:t>
      </w:r>
      <w:r>
        <w:rPr>
          <w:rFonts w:hint="eastAsia" w:hAnsi="宋体" w:cs="宋体"/>
          <w:color w:val="000000"/>
          <w:szCs w:val="24"/>
        </w:rPr>
        <w:t>塔中Ⅰ号气田Ⅲ区</w:t>
      </w:r>
      <w:r>
        <w:rPr>
          <w:rFonts w:hint="eastAsia"/>
          <w:color w:val="000000"/>
          <w:szCs w:val="24"/>
        </w:rPr>
        <w:t>在流动沙丘地带及荒漠地带在管垄上方铺设了 10m 左右的草方格，在道路上风侧铺设50m宽草方格，在下风向侧铺设30m宽草方格，在塔三联合站、各计量阀组站周边均栽植了草方格，在固沙范围外铺设了草网阻沙栅栏，一定程度上起到了很好的防风固沙作用。</w:t>
      </w:r>
    </w:p>
    <w:p w14:paraId="057C5630">
      <w:pPr>
        <w:spacing w:line="460" w:lineRule="exact"/>
        <w:ind w:firstLine="546" w:firstLineChars="200"/>
        <w:rPr>
          <w:rFonts w:hint="eastAsia"/>
          <w:color w:val="000000"/>
          <w:sz w:val="25"/>
        </w:rPr>
      </w:pPr>
      <w:r>
        <w:rPr>
          <w:color w:val="000000"/>
          <w:sz w:val="25"/>
        </w:rPr>
        <w:pict>
          <v:group id="组合 213" o:spid="_x0000_s1032" o:spt="203" style="position:absolute;left:0pt;margin-left:6.25pt;margin-top:2.5pt;height:324.4pt;width:435.45pt;z-index:251672576;mso-width-relative:page;mso-height-relative:page;" coordorigin="6416,603267" coordsize="8709,6488">
            <o:lock v:ext="edit" aspectratio="f"/>
            <v:shape id="图片 2455" o:spid="_x0000_s1033" o:spt="75" type="#_x0000_t75" style="position:absolute;left:10865;top:603277;height:3189;width:4252;" filled="f" o:preferrelative="t" stroked="f" coordsize="21600,21600">
              <v:path/>
              <v:fill on="f" focussize="0,0"/>
              <v:stroke on="f"/>
              <v:imagedata r:id="rId18" o:title=""/>
              <o:lock v:ext="edit" aspectratio="t"/>
            </v:shape>
            <v:shape id="图片 2456" o:spid="_x0000_s1034" o:spt="75" type="#_x0000_t75" style="position:absolute;left:6422;top:603267;height:3189;width:4252;" filled="f" o:preferrelative="t" stroked="f" coordsize="21600,21600">
              <v:path/>
              <v:fill on="f" focussize="0,0"/>
              <v:stroke on="f"/>
              <v:imagedata r:id="rId19" o:title=""/>
              <o:lock v:ext="edit" aspectratio="t"/>
            </v:shape>
            <v:shape id="图片 619" o:spid="_x0000_s1035" o:spt="75" alt="IMG20190516192550" type="#_x0000_t75" style="position:absolute;left:6416;top:606546;height:3188;width:4252;" filled="f" o:preferrelative="t" stroked="f" coordsize="21600,21600">
              <v:path/>
              <v:fill on="f" focussize="0,0"/>
              <v:stroke on="f"/>
              <v:imagedata r:id="rId20" o:title="IMG20190516192550"/>
              <o:lock v:ext="edit" aspectratio="t"/>
            </v:shape>
            <v:shape id="图片 2458" o:spid="_x0000_s1036" o:spt="75" alt="IMG_20190517_183819" type="#_x0000_t75" style="position:absolute;left:10873;top:606566;height:3189;width:4252;" filled="f" o:preferrelative="t" stroked="f" coordsize="21600,21600">
              <v:path/>
              <v:fill on="f" focussize="0,0"/>
              <v:stroke on="f"/>
              <v:imagedata r:id="rId21" o:title="IMG_20190517_183819"/>
              <o:lock v:ext="edit" aspectratio="t"/>
            </v:shape>
          </v:group>
        </w:pict>
      </w:r>
    </w:p>
    <w:p w14:paraId="0AF0B6E6">
      <w:pPr>
        <w:spacing w:line="460" w:lineRule="exact"/>
        <w:rPr>
          <w:rFonts w:hint="eastAsia"/>
          <w:color w:val="000000"/>
          <w:sz w:val="25"/>
        </w:rPr>
      </w:pPr>
    </w:p>
    <w:p w14:paraId="33EA55D1">
      <w:pPr>
        <w:spacing w:line="460" w:lineRule="exact"/>
        <w:rPr>
          <w:rFonts w:hint="eastAsia"/>
          <w:color w:val="000000"/>
          <w:sz w:val="25"/>
        </w:rPr>
      </w:pPr>
    </w:p>
    <w:p w14:paraId="4A5A7A5B">
      <w:pPr>
        <w:spacing w:line="460" w:lineRule="exact"/>
        <w:rPr>
          <w:rFonts w:hint="eastAsia" w:hAnsi="Cambria"/>
          <w:color w:val="000000"/>
          <w:sz w:val="25"/>
        </w:rPr>
      </w:pPr>
    </w:p>
    <w:p w14:paraId="603BEA4F">
      <w:pPr>
        <w:spacing w:line="460" w:lineRule="exact"/>
        <w:rPr>
          <w:rFonts w:hint="eastAsia"/>
          <w:color w:val="000000"/>
          <w:sz w:val="25"/>
        </w:rPr>
      </w:pPr>
    </w:p>
    <w:p w14:paraId="545CA078">
      <w:pPr>
        <w:spacing w:line="460" w:lineRule="exact"/>
        <w:rPr>
          <w:rFonts w:hint="eastAsia"/>
          <w:color w:val="000000"/>
          <w:sz w:val="25"/>
        </w:rPr>
      </w:pPr>
    </w:p>
    <w:p w14:paraId="60858831">
      <w:pPr>
        <w:spacing w:line="460" w:lineRule="exact"/>
        <w:rPr>
          <w:rFonts w:cs="宋体"/>
          <w:color w:val="000000"/>
          <w:sz w:val="25"/>
        </w:rPr>
      </w:pPr>
    </w:p>
    <w:p w14:paraId="0BD269CC">
      <w:pPr>
        <w:spacing w:before="240" w:line="460" w:lineRule="exact"/>
        <w:jc w:val="center"/>
        <w:rPr>
          <w:rFonts w:hint="eastAsia" w:cs="宋体"/>
          <w:color w:val="000000"/>
          <w:sz w:val="25"/>
        </w:rPr>
      </w:pPr>
    </w:p>
    <w:p w14:paraId="39595747">
      <w:pPr>
        <w:spacing w:before="240" w:line="460" w:lineRule="exact"/>
        <w:jc w:val="center"/>
        <w:rPr>
          <w:rFonts w:hint="eastAsia" w:cs="宋体"/>
          <w:color w:val="000000"/>
          <w:sz w:val="25"/>
        </w:rPr>
      </w:pPr>
    </w:p>
    <w:p w14:paraId="1E0674BA">
      <w:pPr>
        <w:spacing w:before="240" w:line="460" w:lineRule="exact"/>
        <w:jc w:val="center"/>
        <w:rPr>
          <w:rFonts w:hint="eastAsia" w:cs="宋体"/>
          <w:color w:val="000000"/>
          <w:sz w:val="25"/>
        </w:rPr>
      </w:pPr>
    </w:p>
    <w:p w14:paraId="6C5469A2">
      <w:pPr>
        <w:spacing w:before="240" w:line="460" w:lineRule="exact"/>
        <w:jc w:val="center"/>
        <w:rPr>
          <w:rFonts w:hint="eastAsia" w:cs="宋体"/>
          <w:color w:val="000000"/>
          <w:sz w:val="25"/>
        </w:rPr>
      </w:pPr>
    </w:p>
    <w:p w14:paraId="73875CC1">
      <w:pPr>
        <w:spacing w:line="460" w:lineRule="exact"/>
        <w:jc w:val="center"/>
        <w:rPr>
          <w:rFonts w:hint="eastAsia" w:cs="宋体"/>
          <w:color w:val="000000"/>
          <w:sz w:val="25"/>
        </w:rPr>
      </w:pPr>
    </w:p>
    <w:p w14:paraId="49CEF136">
      <w:pPr>
        <w:spacing w:line="460" w:lineRule="exact"/>
        <w:jc w:val="center"/>
        <w:rPr>
          <w:rFonts w:hint="eastAsia" w:ascii="黑体" w:hAnsi="黑体" w:eastAsia="黑体" w:cs="黑体"/>
          <w:b/>
          <w:bCs/>
          <w:color w:val="000000"/>
          <w:szCs w:val="24"/>
        </w:rPr>
      </w:pPr>
      <w:r>
        <w:rPr>
          <w:rFonts w:hint="eastAsia" w:ascii="黑体" w:hAnsi="黑体" w:eastAsia="黑体" w:cs="黑体"/>
          <w:color w:val="000000"/>
          <w:szCs w:val="24"/>
        </w:rPr>
        <w:t>图3.1-2       管线临时占地恢复情况</w:t>
      </w:r>
    </w:p>
    <w:p w14:paraId="62E6F07F">
      <w:pPr>
        <w:adjustRightInd w:val="0"/>
        <w:spacing w:line="460" w:lineRule="exact"/>
        <w:ind w:firstLine="526" w:firstLineChars="200"/>
        <w:rPr>
          <w:rFonts w:hAnsi="宋体" w:cs="宋体"/>
          <w:color w:val="000000"/>
          <w:szCs w:val="24"/>
        </w:rPr>
      </w:pPr>
      <w:r>
        <w:rPr>
          <w:rFonts w:hint="eastAsia" w:hAnsi="宋体" w:cs="宋体"/>
          <w:color w:val="000000"/>
          <w:szCs w:val="24"/>
        </w:rPr>
        <w:t>③按照职工培训计划，对员工进行了健康安全环保培训，加强了员工环保意识，项目实施过程中没有发生乱砍滥伐、捕猎野生动物的现象。</w:t>
      </w:r>
    </w:p>
    <w:p w14:paraId="3441EA1A">
      <w:pPr>
        <w:spacing w:line="460" w:lineRule="exact"/>
        <w:ind w:firstLine="526" w:firstLineChars="200"/>
        <w:rPr>
          <w:rFonts w:hAnsi="宋体" w:cs="宋体"/>
          <w:color w:val="000000"/>
          <w:szCs w:val="24"/>
        </w:rPr>
      </w:pPr>
      <w:r>
        <w:rPr>
          <w:rFonts w:hAnsi="宋体" w:cs="宋体"/>
          <w:color w:val="000000"/>
          <w:szCs w:val="24"/>
        </w:rPr>
        <w:t>综上所述，据现场调查，井场严格控制占地，永久性占地范围内进行砾石铺垫处理。站场内地表均用水泥硬化处理。井场内临时性占地的地表基本裸露，没有植被恢复</w:t>
      </w:r>
      <w:r>
        <w:rPr>
          <w:rFonts w:hint="eastAsia" w:hAnsi="宋体" w:cs="宋体"/>
          <w:color w:val="000000"/>
          <w:szCs w:val="24"/>
        </w:rPr>
        <w:t>；</w:t>
      </w:r>
      <w:r>
        <w:rPr>
          <w:rFonts w:hAnsi="宋体" w:cs="宋体"/>
          <w:color w:val="000000"/>
          <w:szCs w:val="24"/>
        </w:rPr>
        <w:t>管线和道路临时占地以自然恢复为主，恢复缓慢。</w:t>
      </w:r>
      <w:r>
        <w:rPr>
          <w:rFonts w:hint="eastAsia" w:hAnsi="宋体" w:cs="宋体"/>
          <w:color w:val="000000"/>
          <w:szCs w:val="24"/>
        </w:rPr>
        <w:t>道路沿线草方格出现破损的情况，本次评价已提出整改方案，要求定期对草方格、沙障进行维护</w:t>
      </w:r>
      <w:r>
        <w:rPr>
          <w:rFonts w:hint="eastAsia"/>
          <w:color w:val="000000"/>
          <w:szCs w:val="24"/>
        </w:rPr>
        <w:t>。</w:t>
      </w:r>
      <w:r>
        <w:rPr>
          <w:rFonts w:hint="eastAsia" w:hAnsi="宋体" w:cs="宋体"/>
          <w:color w:val="000000"/>
          <w:kern w:val="0"/>
          <w:szCs w:val="24"/>
        </w:rPr>
        <w:t>综上所述，</w:t>
      </w:r>
      <w:r>
        <w:rPr>
          <w:rFonts w:hAnsi="宋体" w:cs="宋体"/>
          <w:color w:val="000000"/>
          <w:szCs w:val="24"/>
        </w:rPr>
        <w:t>环评及环评批复提出的生态保护要求基本得到落实。</w:t>
      </w:r>
    </w:p>
    <w:p w14:paraId="2AC7D40D">
      <w:pPr>
        <w:adjustRightInd w:val="0"/>
        <w:spacing w:line="460" w:lineRule="exact"/>
        <w:outlineLvl w:val="3"/>
        <w:rPr>
          <w:rFonts w:hAnsi="宋体" w:cs="宋体"/>
          <w:color w:val="000000"/>
          <w:szCs w:val="24"/>
        </w:rPr>
      </w:pPr>
      <w:r>
        <w:rPr>
          <w:rFonts w:hAnsi="宋体" w:cs="宋体"/>
          <w:color w:val="000000"/>
          <w:szCs w:val="24"/>
        </w:rPr>
        <w:t>3.1.</w:t>
      </w:r>
      <w:r>
        <w:rPr>
          <w:rFonts w:hint="eastAsia" w:hAnsi="宋体" w:cs="宋体"/>
          <w:color w:val="000000"/>
          <w:szCs w:val="24"/>
        </w:rPr>
        <w:t>3</w:t>
      </w:r>
      <w:r>
        <w:rPr>
          <w:rFonts w:hAnsi="宋体" w:cs="宋体"/>
          <w:color w:val="000000"/>
          <w:szCs w:val="24"/>
        </w:rPr>
        <w:t>.2</w:t>
      </w:r>
      <w:r>
        <w:rPr>
          <w:rFonts w:hint="eastAsia" w:hAnsi="宋体" w:cs="宋体"/>
          <w:color w:val="000000"/>
          <w:szCs w:val="24"/>
        </w:rPr>
        <w:t>土壤环境影响回顾</w:t>
      </w:r>
    </w:p>
    <w:p w14:paraId="3E96E393">
      <w:pPr>
        <w:spacing w:line="460" w:lineRule="exact"/>
        <w:ind w:firstLine="526" w:firstLineChars="200"/>
        <w:rPr>
          <w:rFonts w:hAnsi="宋体" w:cs="宋体"/>
          <w:color w:val="000000"/>
          <w:szCs w:val="24"/>
        </w:rPr>
      </w:pPr>
      <w:r>
        <w:rPr>
          <w:rFonts w:hint="eastAsia" w:hAnsi="宋体" w:cs="宋体"/>
          <w:color w:val="000000"/>
          <w:szCs w:val="24"/>
        </w:rPr>
        <w:t>根据油气田开发建设的特点分析，塔中Ⅰ号气田Ⅲ区开发建设对土壤环境的影响主要是地面建设施工如井场、道路、管线等占用土地和造成地表破坏。工程占地改变了原有土壤结构和性质。在进行地面构筑物施工时，将对施工范围内的土壤表层进行干扰和破坏，土壤表层结构将受到影响。</w:t>
      </w:r>
    </w:p>
    <w:p w14:paraId="698F8FC4">
      <w:pPr>
        <w:spacing w:line="460" w:lineRule="exact"/>
        <w:ind w:firstLine="526" w:firstLineChars="200"/>
        <w:rPr>
          <w:rFonts w:hAnsi="宋体" w:cs="宋体"/>
          <w:color w:val="000000"/>
          <w:szCs w:val="24"/>
        </w:rPr>
      </w:pPr>
      <w:r>
        <w:rPr>
          <w:rFonts w:hint="eastAsia" w:hAnsi="宋体" w:cs="宋体"/>
          <w:color w:val="000000"/>
          <w:szCs w:val="24"/>
        </w:rPr>
        <w:t>此外，运营期来自井场、计转站产生的污染物对土壤环境可能产生一定的影响，如废水和固废进入土壤造成土壤的污染，但这些影响主要是发生在事故条件下，如单井管线泄漏致使污油进入土壤。另外各类机械设备也可能出现跑、冒、漏油故障，对外环境造成油污染。这些污染主要呈点片状分布，在横向上以发生源为中心向四周扩散，距漏油点越远，土壤中含油量越少。加强站场及管线巡检，避免因“跑、冒、滴、漏”或泄漏事故发生造成油品进入土壤，发生泄漏事故时应及时清理落地油，受污染的土壤应交由沙雅深蓝环保科技有限公司负责接收、转运和处置，降低对土壤环境质量的影响程度。</w:t>
      </w:r>
    </w:p>
    <w:p w14:paraId="61FAD757">
      <w:pPr>
        <w:adjustRightInd w:val="0"/>
        <w:spacing w:line="460" w:lineRule="exact"/>
        <w:ind w:firstLine="526" w:firstLineChars="200"/>
        <w:rPr>
          <w:rFonts w:hAnsi="宋体" w:cs="宋体"/>
          <w:color w:val="000000"/>
          <w:szCs w:val="24"/>
        </w:rPr>
      </w:pPr>
      <w:r>
        <w:rPr>
          <w:rFonts w:hint="eastAsia"/>
          <w:color w:val="000000"/>
          <w:szCs w:val="24"/>
        </w:rPr>
        <w:t>以</w:t>
      </w:r>
      <w:r>
        <w:rPr>
          <w:rFonts w:hint="eastAsia" w:hAnsi="宋体" w:cs="宋体"/>
          <w:color w:val="000000"/>
          <w:szCs w:val="24"/>
        </w:rPr>
        <w:t>塔中Ⅰ号气田Ⅲ区</w:t>
      </w:r>
      <w:r>
        <w:rPr>
          <w:rFonts w:hint="eastAsia"/>
          <w:color w:val="000000"/>
          <w:szCs w:val="24"/>
        </w:rPr>
        <w:t>历年的环评土壤监测数据及本次评价土壤环境质量现状监测数据为依据，各监测点均满足《土壤环境质量 建设用地土壤污染风险管控标准（试行）》（GB36600-2018）第二类用地筛选值,区域土壤环境质量保持稳定，土壤中的石油烃和重金属的含量并未因</w:t>
      </w:r>
      <w:r>
        <w:rPr>
          <w:rFonts w:hint="eastAsia" w:hAnsi="宋体" w:cs="宋体"/>
          <w:bCs/>
          <w:color w:val="000000"/>
          <w:szCs w:val="24"/>
        </w:rPr>
        <w:t>塔中油气田</w:t>
      </w:r>
      <w:r>
        <w:rPr>
          <w:rFonts w:hint="eastAsia"/>
          <w:color w:val="000000"/>
          <w:szCs w:val="24"/>
        </w:rPr>
        <w:t>的开发建设而明显增加。</w:t>
      </w:r>
    </w:p>
    <w:p w14:paraId="10921FBF">
      <w:pPr>
        <w:adjustRightInd w:val="0"/>
        <w:spacing w:line="460" w:lineRule="exact"/>
        <w:outlineLvl w:val="3"/>
        <w:rPr>
          <w:rFonts w:hAnsi="宋体" w:cs="宋体"/>
          <w:color w:val="000000"/>
          <w:szCs w:val="24"/>
        </w:rPr>
      </w:pPr>
      <w:r>
        <w:rPr>
          <w:rFonts w:hAnsi="宋体" w:cs="宋体"/>
          <w:color w:val="000000"/>
          <w:szCs w:val="24"/>
        </w:rPr>
        <w:t>3.1.</w:t>
      </w:r>
      <w:r>
        <w:rPr>
          <w:rFonts w:hint="eastAsia" w:hAnsi="宋体" w:cs="宋体"/>
          <w:color w:val="000000"/>
          <w:szCs w:val="24"/>
        </w:rPr>
        <w:t>3</w:t>
      </w:r>
      <w:r>
        <w:rPr>
          <w:rFonts w:hAnsi="宋体" w:cs="宋体"/>
          <w:color w:val="000000"/>
          <w:szCs w:val="24"/>
        </w:rPr>
        <w:t>.3</w:t>
      </w:r>
      <w:r>
        <w:rPr>
          <w:rFonts w:hint="eastAsia" w:hAnsi="宋体" w:cs="宋体"/>
          <w:color w:val="000000"/>
          <w:szCs w:val="24"/>
        </w:rPr>
        <w:t>水环境影响回顾</w:t>
      </w:r>
    </w:p>
    <w:p w14:paraId="0EBF44FD">
      <w:pPr>
        <w:spacing w:line="460" w:lineRule="exact"/>
        <w:ind w:firstLine="526" w:firstLineChars="200"/>
        <w:rPr>
          <w:rFonts w:hint="eastAsia" w:ascii="Times New Roman" w:hAnsi="宋体" w:cs="宋体"/>
          <w:bCs/>
          <w:color w:val="000000"/>
          <w:szCs w:val="24"/>
        </w:rPr>
      </w:pPr>
      <w:r>
        <w:rPr>
          <w:rFonts w:hint="eastAsia" w:ascii="Times New Roman" w:hAnsi="宋体" w:cs="宋体"/>
          <w:bCs/>
          <w:color w:val="000000"/>
          <w:szCs w:val="24"/>
        </w:rPr>
        <w:t>施工期钻井全部采用钻井废弃物不落地技术，钻井废水同泥浆进入泥浆不落地系统固液分离后，废水全部回用，不外排；生活污水排入生活污水池暂存，由罐车定期拉运至污水处理厂处理</w:t>
      </w:r>
      <w:r>
        <w:rPr>
          <w:rFonts w:hint="eastAsia" w:hAnsi="宋体" w:cs="宋体"/>
          <w:color w:val="000000"/>
          <w:szCs w:val="24"/>
        </w:rPr>
        <w:t>；管道试压废水试压结束后用于洒水抑尘；酸化压裂废水采取不落地直接排入回收罐中，加碱中和后拉运至区域废液处理站处理，处理达标后回注。</w:t>
      </w:r>
    </w:p>
    <w:p w14:paraId="04965C66">
      <w:pPr>
        <w:spacing w:line="460" w:lineRule="exact"/>
        <w:ind w:firstLine="526" w:firstLineChars="200"/>
        <w:rPr>
          <w:color w:val="000000"/>
          <w:szCs w:val="24"/>
        </w:rPr>
      </w:pPr>
      <w:r>
        <w:rPr>
          <w:rFonts w:hint="eastAsia" w:ascii="Times New Roman" w:hAnsi="宋体" w:cs="宋体"/>
          <w:bCs/>
          <w:color w:val="000000"/>
          <w:szCs w:val="24"/>
        </w:rPr>
        <w:t>运营期塔中Ⅰ号气田Ⅲ区</w:t>
      </w:r>
      <w:r>
        <w:rPr>
          <w:rFonts w:hint="eastAsia" w:hAnsi="宋体" w:cs="宋体"/>
          <w:color w:val="000000"/>
          <w:szCs w:val="24"/>
        </w:rPr>
        <w:t>采</w:t>
      </w:r>
      <w:r>
        <w:rPr>
          <w:rFonts w:hint="eastAsia" w:hAnsi="宋体"/>
          <w:color w:val="000000"/>
          <w:szCs w:val="24"/>
        </w:rPr>
        <w:t>出水经塔三联合站污水回注系统处理，水质满足《碎屑岩油藏注水水质指标技术要求及分析方法》（SY/T5329-2022）标准要求后，根据井场注水需要回注地层。在井下作业过程中，作业单位自带回收罐回收作业废水，运至</w:t>
      </w:r>
      <w:r>
        <w:rPr>
          <w:rFonts w:hint="eastAsia" w:hAnsi="宋体" w:cs="宋体"/>
          <w:color w:val="000000"/>
          <w:szCs w:val="24"/>
        </w:rPr>
        <w:t>区域废液处理站</w:t>
      </w:r>
      <w:r>
        <w:rPr>
          <w:rFonts w:hint="eastAsia" w:hAnsi="宋体"/>
          <w:color w:val="000000"/>
          <w:szCs w:val="24"/>
        </w:rPr>
        <w:t>处置，处置后的废水满足《碎屑岩油藏注水水质指标技术要求及分析方法》（SY/T5329-2022）标准要求后回注，未外排。</w:t>
      </w:r>
    </w:p>
    <w:p w14:paraId="2D604B98">
      <w:pPr>
        <w:adjustRightInd w:val="0"/>
        <w:spacing w:line="460" w:lineRule="exact"/>
        <w:ind w:firstLine="526" w:firstLineChars="200"/>
        <w:rPr>
          <w:rFonts w:hint="eastAsia"/>
          <w:color w:val="000000"/>
          <w:szCs w:val="24"/>
        </w:rPr>
      </w:pPr>
      <w:r>
        <w:rPr>
          <w:rFonts w:hint="eastAsia"/>
          <w:color w:val="000000"/>
          <w:szCs w:val="24"/>
        </w:rPr>
        <w:t>本次评价搜集</w:t>
      </w:r>
      <w:r>
        <w:rPr>
          <w:rFonts w:hint="eastAsia" w:hAnsi="宋体" w:cs="宋体"/>
          <w:color w:val="000000"/>
          <w:szCs w:val="24"/>
        </w:rPr>
        <w:t>塔中Ⅰ号气田Ⅲ区</w:t>
      </w:r>
      <w:r>
        <w:rPr>
          <w:rFonts w:hint="eastAsia"/>
          <w:color w:val="000000"/>
          <w:szCs w:val="24"/>
        </w:rPr>
        <w:t>历年的环评、地下水例行监测及后评价阶段中地下水环境质量现状监测数据，与本次评价期间实地进行的地下水环境质量监测数据进行比对，存在溶解性总固体、总硬度、氯化物和硫酸盐等有不同程度的超标，其余各项满足《地下水质量标准》（GB/T14848-2017）Ⅲ类标准要求，超标的主要原因与当地水文地质条件有关；</w:t>
      </w:r>
      <w:r>
        <w:rPr>
          <w:rFonts w:hint="eastAsia" w:hAnsi="宋体" w:cs="宋体"/>
          <w:color w:val="000000"/>
          <w:szCs w:val="24"/>
          <w:lang w:bidi="ar"/>
        </w:rPr>
        <w:t>石油类未检出，满足《地表水环境质量标准》（GB3838-2002）Ⅲ类标准</w:t>
      </w:r>
      <w:r>
        <w:rPr>
          <w:rFonts w:hint="eastAsia"/>
          <w:color w:val="000000"/>
          <w:szCs w:val="24"/>
        </w:rPr>
        <w:t>要求。</w:t>
      </w:r>
    </w:p>
    <w:p w14:paraId="5E574C9D">
      <w:pPr>
        <w:adjustRightInd w:val="0"/>
        <w:spacing w:line="460" w:lineRule="exact"/>
        <w:ind w:firstLine="526" w:firstLineChars="200"/>
        <w:rPr>
          <w:color w:val="000000"/>
          <w:sz w:val="25"/>
        </w:rPr>
      </w:pPr>
      <w:r>
        <w:rPr>
          <w:rFonts w:hAnsi="宋体" w:cs="宋体"/>
          <w:color w:val="000000"/>
          <w:szCs w:val="24"/>
        </w:rPr>
        <w:t>综上所述，</w:t>
      </w:r>
      <w:r>
        <w:rPr>
          <w:rFonts w:hint="eastAsia" w:hAnsi="宋体" w:cs="宋体"/>
          <w:color w:val="000000"/>
          <w:szCs w:val="24"/>
        </w:rPr>
        <w:t>塔中Ⅰ号气田Ⅲ区</w:t>
      </w:r>
      <w:r>
        <w:rPr>
          <w:rFonts w:hint="eastAsia"/>
          <w:color w:val="000000"/>
          <w:szCs w:val="24"/>
        </w:rPr>
        <w:t>在实施油气开发的过程中基本落实了环评及验收中提出的地下水污染防治措施，采取的污水处理设施等各项环保设施基本起到了相应的污染防治效果，采取的水污染防治措施基本有效；油田开发未对当地浅层地下水环境产生明显不良影响。</w:t>
      </w:r>
    </w:p>
    <w:p w14:paraId="488B7F0A">
      <w:pPr>
        <w:adjustRightInd w:val="0"/>
        <w:spacing w:line="460" w:lineRule="exact"/>
        <w:outlineLvl w:val="3"/>
        <w:rPr>
          <w:rFonts w:hAnsi="宋体" w:cs="宋体"/>
          <w:color w:val="000000"/>
          <w:sz w:val="25"/>
        </w:rPr>
      </w:pPr>
      <w:r>
        <w:rPr>
          <w:rFonts w:hAnsi="宋体" w:cs="宋体"/>
          <w:color w:val="000000"/>
          <w:sz w:val="25"/>
        </w:rPr>
        <w:t>3.1.</w:t>
      </w:r>
      <w:r>
        <w:rPr>
          <w:rFonts w:hint="eastAsia" w:hAnsi="宋体" w:cs="宋体"/>
          <w:color w:val="000000"/>
          <w:sz w:val="25"/>
        </w:rPr>
        <w:t>3</w:t>
      </w:r>
      <w:r>
        <w:rPr>
          <w:rFonts w:hAnsi="宋体" w:cs="宋体"/>
          <w:color w:val="000000"/>
          <w:sz w:val="25"/>
        </w:rPr>
        <w:t>.4</w:t>
      </w:r>
      <w:r>
        <w:rPr>
          <w:rFonts w:hint="eastAsia" w:hAnsi="宋体" w:cs="宋体"/>
          <w:color w:val="000000"/>
          <w:sz w:val="25"/>
        </w:rPr>
        <w:t>大气环境影响回顾</w:t>
      </w:r>
    </w:p>
    <w:p w14:paraId="1C773E72">
      <w:pPr>
        <w:adjustRightInd w:val="0"/>
        <w:spacing w:line="460" w:lineRule="exact"/>
        <w:ind w:firstLine="546" w:firstLineChars="200"/>
        <w:rPr>
          <w:rFonts w:hint="eastAsia" w:hAnsi="宋体" w:cs="宋体"/>
          <w:color w:val="000000"/>
          <w:sz w:val="25"/>
        </w:rPr>
      </w:pPr>
      <w:r>
        <w:rPr>
          <w:rFonts w:hint="eastAsia" w:hAnsi="宋体" w:cs="宋体"/>
          <w:color w:val="000000"/>
          <w:sz w:val="25"/>
        </w:rPr>
        <w:t>根据现场调查，塔中Ⅰ号气田Ⅲ区内现有的各井场集输基本实现了密闭集输工艺，选用先进的生产工艺及设备，井口密封在正常生产情况下尽可能地减少非甲烷总烃及硫化氢逸散排放。运营期站场、井场等锅炉及加热炉燃用处理后的返输天然气，从运行现状情况看，天然气气质稳定，各设备运行正常，排放废气中各项污染物浓度较低。</w:t>
      </w:r>
      <w:r>
        <w:rPr>
          <w:rFonts w:hint="eastAsia"/>
          <w:color w:val="000000"/>
          <w:sz w:val="25"/>
        </w:rPr>
        <w:t>根据后评价开展期间进行的污染源监测数据并结合区域例行监测数据，区域监测期间各监测点加热炉烟气中烟尘、</w:t>
      </w:r>
      <w:r>
        <w:rPr>
          <w:rFonts w:hint="eastAsia" w:cs="宋体"/>
          <w:color w:val="000000"/>
          <w:kern w:val="0"/>
          <w:sz w:val="25"/>
          <w:lang w:bidi="ar"/>
        </w:rPr>
        <w:t>SO</w:t>
      </w:r>
      <w:r>
        <w:rPr>
          <w:rFonts w:hint="eastAsia" w:cs="宋体"/>
          <w:color w:val="000000"/>
          <w:kern w:val="0"/>
          <w:sz w:val="25"/>
          <w:vertAlign w:val="subscript"/>
          <w:lang w:bidi="ar"/>
        </w:rPr>
        <w:t>2</w:t>
      </w:r>
      <w:r>
        <w:rPr>
          <w:rFonts w:hint="eastAsia"/>
          <w:color w:val="000000"/>
          <w:sz w:val="25"/>
        </w:rPr>
        <w:t>、</w:t>
      </w:r>
      <w:r>
        <w:rPr>
          <w:rFonts w:hint="eastAsia" w:cs="宋体"/>
          <w:color w:val="000000"/>
          <w:kern w:val="0"/>
          <w:sz w:val="25"/>
          <w:lang w:bidi="ar"/>
        </w:rPr>
        <w:t>NO</w:t>
      </w:r>
      <w:r>
        <w:rPr>
          <w:rFonts w:hint="eastAsia" w:cs="宋体"/>
          <w:color w:val="000000"/>
          <w:kern w:val="0"/>
          <w:sz w:val="25"/>
          <w:vertAlign w:val="subscript"/>
          <w:lang w:bidi="ar"/>
        </w:rPr>
        <w:t>X</w:t>
      </w:r>
      <w:r>
        <w:rPr>
          <w:rFonts w:hint="eastAsia"/>
          <w:color w:val="000000"/>
          <w:sz w:val="25"/>
        </w:rPr>
        <w:t>排放浓度及</w:t>
      </w:r>
      <w:r>
        <w:rPr>
          <w:rFonts w:hint="eastAsia" w:cs="宋体"/>
          <w:color w:val="000000"/>
          <w:kern w:val="0"/>
          <w:sz w:val="25"/>
          <w:lang w:bidi="ar"/>
        </w:rPr>
        <w:t>烟气黑度均满足《锅炉大气污染物排放标准》（GB13271-2014）表2新建燃气锅炉大气污染物排放浓度限值要求；各监测点厂界无组织非甲烷总烃排放浓度满足</w:t>
      </w:r>
      <w:r>
        <w:rPr>
          <w:rFonts w:hint="eastAsia" w:cs="宋体"/>
          <w:color w:val="000000"/>
          <w:sz w:val="25"/>
        </w:rPr>
        <w:t>《陆上石油天然气开采工业大气污染物排放标准》（GB39728-2020）中边界污染物控制要求</w:t>
      </w:r>
      <w:r>
        <w:rPr>
          <w:rFonts w:hint="eastAsia" w:cs="宋体"/>
          <w:color w:val="000000"/>
          <w:kern w:val="0"/>
          <w:sz w:val="25"/>
          <w:lang w:bidi="ar"/>
        </w:rPr>
        <w:t>，H</w:t>
      </w:r>
      <w:r>
        <w:rPr>
          <w:rFonts w:hint="eastAsia" w:cs="宋体"/>
          <w:color w:val="000000"/>
          <w:kern w:val="0"/>
          <w:sz w:val="25"/>
          <w:vertAlign w:val="subscript"/>
          <w:lang w:bidi="ar"/>
        </w:rPr>
        <w:t>2</w:t>
      </w:r>
      <w:r>
        <w:rPr>
          <w:rFonts w:hint="eastAsia" w:cs="宋体"/>
          <w:color w:val="000000"/>
          <w:kern w:val="0"/>
          <w:sz w:val="25"/>
          <w:lang w:bidi="ar"/>
        </w:rPr>
        <w:t>S排放浓度满足《恶臭污染物排放标准》（GB14554-93）二级标准。</w:t>
      </w:r>
    </w:p>
    <w:p w14:paraId="791E0B41">
      <w:pPr>
        <w:adjustRightInd w:val="0"/>
        <w:spacing w:line="460" w:lineRule="exact"/>
        <w:ind w:firstLine="546" w:firstLineChars="200"/>
        <w:rPr>
          <w:rFonts w:hAnsi="宋体" w:cs="宋体"/>
          <w:color w:val="000000"/>
          <w:sz w:val="25"/>
        </w:rPr>
      </w:pPr>
      <w:r>
        <w:rPr>
          <w:rFonts w:hint="eastAsia" w:hAnsi="宋体" w:cs="宋体"/>
          <w:color w:val="000000"/>
          <w:sz w:val="25"/>
        </w:rPr>
        <w:t>同时本次回顾引用阿克苏地区、和田地区例行监测点2020年～2024年监测数据以及区域历史报告中开展的监测进行说明，塔中油田废气污染物中涉及的因子主要为颗粒物、二氧化硫、氮氧化物、非甲烷总烃和硫化氢，本次基本6项因子仅分析PM</w:t>
      </w:r>
      <w:r>
        <w:rPr>
          <w:rFonts w:hint="eastAsia" w:hAnsi="宋体" w:cs="宋体"/>
          <w:color w:val="000000"/>
          <w:sz w:val="25"/>
          <w:vertAlign w:val="subscript"/>
        </w:rPr>
        <w:t>10</w:t>
      </w:r>
      <w:r>
        <w:rPr>
          <w:rFonts w:hint="eastAsia" w:hAnsi="宋体" w:cs="宋体"/>
          <w:color w:val="000000"/>
          <w:sz w:val="25"/>
        </w:rPr>
        <w:t>、PM</w:t>
      </w:r>
      <w:r>
        <w:rPr>
          <w:rFonts w:hint="eastAsia" w:hAnsi="宋体" w:cs="宋体"/>
          <w:color w:val="000000"/>
          <w:sz w:val="25"/>
          <w:vertAlign w:val="subscript"/>
        </w:rPr>
        <w:t>2.5</w:t>
      </w:r>
      <w:r>
        <w:rPr>
          <w:rFonts w:hint="eastAsia" w:hAnsi="宋体" w:cs="宋体"/>
          <w:color w:val="000000"/>
          <w:sz w:val="25"/>
        </w:rPr>
        <w:t>、SO</w:t>
      </w:r>
      <w:r>
        <w:rPr>
          <w:rFonts w:hint="eastAsia" w:hAnsi="宋体" w:cs="宋体"/>
          <w:color w:val="000000"/>
          <w:sz w:val="25"/>
          <w:vertAlign w:val="subscript"/>
        </w:rPr>
        <w:t>2</w:t>
      </w:r>
      <w:r>
        <w:rPr>
          <w:rFonts w:hint="eastAsia" w:hAnsi="宋体" w:cs="宋体"/>
          <w:color w:val="000000"/>
          <w:sz w:val="25"/>
        </w:rPr>
        <w:t>、NO</w:t>
      </w:r>
      <w:r>
        <w:rPr>
          <w:rFonts w:hint="eastAsia" w:hAnsi="宋体" w:cs="宋体"/>
          <w:color w:val="000000"/>
          <w:sz w:val="25"/>
          <w:vertAlign w:val="subscript"/>
        </w:rPr>
        <w:t>2</w:t>
      </w:r>
      <w:r>
        <w:rPr>
          <w:rFonts w:hint="eastAsia" w:hAnsi="宋体" w:cs="宋体"/>
          <w:color w:val="000000"/>
          <w:sz w:val="25"/>
        </w:rPr>
        <w:t xml:space="preserve">四项因子。 </w:t>
      </w:r>
    </w:p>
    <w:p w14:paraId="0C980F07">
      <w:pPr>
        <w:spacing w:line="460" w:lineRule="exact"/>
        <w:ind w:firstLine="546" w:firstLineChars="200"/>
        <w:rPr>
          <w:rFonts w:ascii="黑体" w:hAnsi="黑体" w:eastAsia="黑体"/>
          <w:color w:val="000000"/>
          <w:sz w:val="25"/>
        </w:rPr>
      </w:pPr>
      <w:r>
        <w:rPr>
          <w:rFonts w:hint="eastAsia" w:ascii="黑体" w:hAnsi="黑体" w:eastAsia="黑体"/>
          <w:color w:val="000000"/>
          <w:sz w:val="25"/>
        </w:rPr>
        <w:t>表3.1-2  区域2020年</w:t>
      </w:r>
      <w:r>
        <w:rPr>
          <w:rFonts w:hint="eastAsia" w:ascii="黑体" w:hAnsi="黑体" w:eastAsia="黑体" w:cs="宋体"/>
          <w:color w:val="000000"/>
          <w:sz w:val="25"/>
        </w:rPr>
        <w:t>～</w:t>
      </w:r>
      <w:r>
        <w:rPr>
          <w:rFonts w:hint="eastAsia" w:ascii="黑体" w:hAnsi="黑体" w:eastAsia="黑体"/>
          <w:color w:val="000000"/>
          <w:sz w:val="25"/>
        </w:rPr>
        <w:t>2024年环境空气质量变化情况一览表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95"/>
        <w:gridCol w:w="697"/>
        <w:gridCol w:w="987"/>
        <w:gridCol w:w="1051"/>
        <w:gridCol w:w="1215"/>
        <w:gridCol w:w="1085"/>
        <w:gridCol w:w="997"/>
        <w:gridCol w:w="1006"/>
        <w:gridCol w:w="944"/>
        <w:gridCol w:w="533"/>
      </w:tblGrid>
      <w:tr w14:paraId="0CC225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Align w:val="center"/>
          </w:tcPr>
          <w:p w14:paraId="3172E71F">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地区</w:t>
            </w:r>
          </w:p>
        </w:tc>
        <w:tc>
          <w:tcPr>
            <w:tcW w:w="387" w:type="pct"/>
            <w:vAlign w:val="center"/>
          </w:tcPr>
          <w:p w14:paraId="5F7CC341">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污染物</w:t>
            </w:r>
          </w:p>
        </w:tc>
        <w:tc>
          <w:tcPr>
            <w:tcW w:w="548" w:type="pct"/>
            <w:vAlign w:val="center"/>
          </w:tcPr>
          <w:p w14:paraId="08544553">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年评价</w:t>
            </w:r>
          </w:p>
          <w:p w14:paraId="6FCBA2E5">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指标</w:t>
            </w:r>
          </w:p>
        </w:tc>
        <w:tc>
          <w:tcPr>
            <w:tcW w:w="583" w:type="pct"/>
            <w:vAlign w:val="center"/>
          </w:tcPr>
          <w:p w14:paraId="24F222C9">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2020年现状浓度（μg/m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674" w:type="pct"/>
            <w:vAlign w:val="center"/>
          </w:tcPr>
          <w:p w14:paraId="1E156710">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2021年现状浓度（μg/m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602" w:type="pct"/>
            <w:vAlign w:val="center"/>
          </w:tcPr>
          <w:p w14:paraId="10862AF4">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2022年现状浓度（μg/m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53" w:type="pct"/>
            <w:vAlign w:val="center"/>
          </w:tcPr>
          <w:p w14:paraId="35883EC4">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2023年现状浓度（μg/m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58" w:type="pct"/>
            <w:vAlign w:val="center"/>
          </w:tcPr>
          <w:p w14:paraId="6BA4B80D">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2024年现状浓度（μg/m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24" w:type="pct"/>
            <w:vAlign w:val="center"/>
          </w:tcPr>
          <w:p w14:paraId="162B5A57">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标准值</w:t>
            </w:r>
          </w:p>
          <w:p w14:paraId="798BDE70">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（μg/m</w:t>
            </w:r>
            <w:r>
              <w:rPr>
                <w:rFonts w:hint="eastAsia" w:hAnsi="宋体" w:cs="宋体"/>
                <w:color w:val="000000"/>
                <w:spacing w:val="-20"/>
                <w:sz w:val="21"/>
                <w:szCs w:val="21"/>
                <w:vertAlign w:val="superscript"/>
              </w:rPr>
              <w:t>3</w:t>
            </w:r>
            <w:r>
              <w:rPr>
                <w:rFonts w:hint="eastAsia" w:hAnsi="宋体" w:cs="宋体"/>
                <w:color w:val="000000"/>
                <w:spacing w:val="-20"/>
                <w:sz w:val="21"/>
                <w:szCs w:val="21"/>
              </w:rPr>
              <w:t>）</w:t>
            </w:r>
          </w:p>
        </w:tc>
        <w:tc>
          <w:tcPr>
            <w:tcW w:w="296" w:type="pct"/>
            <w:vAlign w:val="center"/>
          </w:tcPr>
          <w:p w14:paraId="0CCC5570">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达标</w:t>
            </w:r>
          </w:p>
          <w:p w14:paraId="23B8C5B7">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情况</w:t>
            </w:r>
          </w:p>
        </w:tc>
      </w:tr>
      <w:tr w14:paraId="0E550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restart"/>
            <w:vAlign w:val="center"/>
          </w:tcPr>
          <w:p w14:paraId="37DDECE2">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阿克苏地区</w:t>
            </w:r>
          </w:p>
        </w:tc>
        <w:tc>
          <w:tcPr>
            <w:tcW w:w="387" w:type="pct"/>
            <w:vAlign w:val="center"/>
          </w:tcPr>
          <w:p w14:paraId="3A813C65">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PM</w:t>
            </w:r>
            <w:r>
              <w:rPr>
                <w:rFonts w:hint="eastAsia" w:hAnsi="宋体" w:cs="宋体"/>
                <w:color w:val="000000"/>
                <w:spacing w:val="-20"/>
                <w:sz w:val="21"/>
                <w:szCs w:val="21"/>
                <w:vertAlign w:val="subscript"/>
              </w:rPr>
              <w:t>10</w:t>
            </w:r>
          </w:p>
        </w:tc>
        <w:tc>
          <w:tcPr>
            <w:tcW w:w="548" w:type="pct"/>
            <w:vAlign w:val="center"/>
          </w:tcPr>
          <w:p w14:paraId="0C26001D">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年平均值</w:t>
            </w:r>
          </w:p>
        </w:tc>
        <w:tc>
          <w:tcPr>
            <w:tcW w:w="583" w:type="pct"/>
            <w:vAlign w:val="center"/>
          </w:tcPr>
          <w:p w14:paraId="2374087C">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95</w:t>
            </w:r>
          </w:p>
        </w:tc>
        <w:tc>
          <w:tcPr>
            <w:tcW w:w="674" w:type="pct"/>
            <w:vAlign w:val="center"/>
          </w:tcPr>
          <w:p w14:paraId="6ECCFB97">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87</w:t>
            </w:r>
          </w:p>
        </w:tc>
        <w:tc>
          <w:tcPr>
            <w:tcW w:w="602" w:type="pct"/>
            <w:vAlign w:val="center"/>
          </w:tcPr>
          <w:p w14:paraId="115C5BD3">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94</w:t>
            </w:r>
          </w:p>
        </w:tc>
        <w:tc>
          <w:tcPr>
            <w:tcW w:w="553" w:type="pct"/>
            <w:vAlign w:val="center"/>
          </w:tcPr>
          <w:p w14:paraId="23BF1882">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82</w:t>
            </w:r>
          </w:p>
        </w:tc>
        <w:tc>
          <w:tcPr>
            <w:tcW w:w="558" w:type="pct"/>
            <w:vAlign w:val="center"/>
          </w:tcPr>
          <w:p w14:paraId="77289C74">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81</w:t>
            </w:r>
          </w:p>
        </w:tc>
        <w:tc>
          <w:tcPr>
            <w:tcW w:w="524" w:type="pct"/>
            <w:vAlign w:val="center"/>
          </w:tcPr>
          <w:p w14:paraId="6E0DD088">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60</w:t>
            </w:r>
          </w:p>
        </w:tc>
        <w:tc>
          <w:tcPr>
            <w:tcW w:w="296" w:type="pct"/>
            <w:vAlign w:val="center"/>
          </w:tcPr>
          <w:p w14:paraId="5E00A7AA">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超标</w:t>
            </w:r>
          </w:p>
        </w:tc>
      </w:tr>
      <w:tr w14:paraId="15AAD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3A6ED8AC">
            <w:pPr>
              <w:topLinePunct/>
              <w:spacing w:line="0" w:lineRule="atLeast"/>
              <w:jc w:val="center"/>
              <w:rPr>
                <w:rFonts w:hint="eastAsia" w:hAnsi="宋体" w:cs="宋体"/>
                <w:color w:val="000000"/>
                <w:spacing w:val="-20"/>
                <w:sz w:val="21"/>
                <w:szCs w:val="21"/>
              </w:rPr>
            </w:pPr>
          </w:p>
        </w:tc>
        <w:tc>
          <w:tcPr>
            <w:tcW w:w="387" w:type="pct"/>
            <w:vAlign w:val="center"/>
          </w:tcPr>
          <w:p w14:paraId="1CD6E38A">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PM</w:t>
            </w:r>
            <w:r>
              <w:rPr>
                <w:rFonts w:hint="eastAsia" w:hAnsi="宋体" w:cs="宋体"/>
                <w:color w:val="000000"/>
                <w:spacing w:val="-20"/>
                <w:sz w:val="21"/>
                <w:szCs w:val="21"/>
                <w:vertAlign w:val="subscript"/>
              </w:rPr>
              <w:t>2.5</w:t>
            </w:r>
          </w:p>
        </w:tc>
        <w:tc>
          <w:tcPr>
            <w:tcW w:w="548" w:type="pct"/>
            <w:vAlign w:val="center"/>
          </w:tcPr>
          <w:p w14:paraId="36862751">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年平均值</w:t>
            </w:r>
          </w:p>
        </w:tc>
        <w:tc>
          <w:tcPr>
            <w:tcW w:w="583" w:type="pct"/>
            <w:vAlign w:val="center"/>
          </w:tcPr>
          <w:p w14:paraId="5436ACE4">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39</w:t>
            </w:r>
          </w:p>
        </w:tc>
        <w:tc>
          <w:tcPr>
            <w:tcW w:w="674" w:type="pct"/>
            <w:vAlign w:val="center"/>
          </w:tcPr>
          <w:p w14:paraId="3461989E">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35</w:t>
            </w:r>
          </w:p>
        </w:tc>
        <w:tc>
          <w:tcPr>
            <w:tcW w:w="602" w:type="pct"/>
            <w:vAlign w:val="center"/>
          </w:tcPr>
          <w:p w14:paraId="1938FEC3">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41</w:t>
            </w:r>
          </w:p>
        </w:tc>
        <w:tc>
          <w:tcPr>
            <w:tcW w:w="553" w:type="pct"/>
            <w:vAlign w:val="center"/>
          </w:tcPr>
          <w:p w14:paraId="2767DA76">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26</w:t>
            </w:r>
          </w:p>
        </w:tc>
        <w:tc>
          <w:tcPr>
            <w:tcW w:w="558" w:type="pct"/>
            <w:vAlign w:val="center"/>
          </w:tcPr>
          <w:p w14:paraId="0AF6808C">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35</w:t>
            </w:r>
          </w:p>
        </w:tc>
        <w:tc>
          <w:tcPr>
            <w:tcW w:w="524" w:type="pct"/>
            <w:vAlign w:val="center"/>
          </w:tcPr>
          <w:p w14:paraId="27ECA367">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30</w:t>
            </w:r>
          </w:p>
        </w:tc>
        <w:tc>
          <w:tcPr>
            <w:tcW w:w="296" w:type="pct"/>
            <w:vAlign w:val="center"/>
          </w:tcPr>
          <w:p w14:paraId="01F7F850">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超标</w:t>
            </w:r>
          </w:p>
        </w:tc>
      </w:tr>
      <w:tr w14:paraId="3F3970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0DBC04ED">
            <w:pPr>
              <w:topLinePunct/>
              <w:spacing w:line="0" w:lineRule="atLeast"/>
              <w:jc w:val="center"/>
              <w:rPr>
                <w:rFonts w:hint="eastAsia" w:hAnsi="宋体" w:cs="宋体"/>
                <w:color w:val="000000"/>
                <w:spacing w:val="-20"/>
                <w:sz w:val="21"/>
                <w:szCs w:val="21"/>
              </w:rPr>
            </w:pPr>
          </w:p>
        </w:tc>
        <w:tc>
          <w:tcPr>
            <w:tcW w:w="387" w:type="pct"/>
            <w:vAlign w:val="center"/>
          </w:tcPr>
          <w:p w14:paraId="5C2A5D53">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SO</w:t>
            </w:r>
            <w:r>
              <w:rPr>
                <w:rFonts w:hint="eastAsia" w:hAnsi="宋体" w:cs="宋体"/>
                <w:color w:val="000000"/>
                <w:spacing w:val="-20"/>
                <w:sz w:val="21"/>
                <w:szCs w:val="21"/>
                <w:vertAlign w:val="subscript"/>
              </w:rPr>
              <w:t>2</w:t>
            </w:r>
          </w:p>
        </w:tc>
        <w:tc>
          <w:tcPr>
            <w:tcW w:w="548" w:type="pct"/>
            <w:vAlign w:val="center"/>
          </w:tcPr>
          <w:p w14:paraId="242E1843">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年平均值</w:t>
            </w:r>
          </w:p>
        </w:tc>
        <w:tc>
          <w:tcPr>
            <w:tcW w:w="583" w:type="pct"/>
            <w:vAlign w:val="center"/>
          </w:tcPr>
          <w:p w14:paraId="23C1FFBB">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7</w:t>
            </w:r>
          </w:p>
        </w:tc>
        <w:tc>
          <w:tcPr>
            <w:tcW w:w="674" w:type="pct"/>
            <w:vAlign w:val="center"/>
          </w:tcPr>
          <w:p w14:paraId="20F75D14">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6</w:t>
            </w:r>
          </w:p>
        </w:tc>
        <w:tc>
          <w:tcPr>
            <w:tcW w:w="602" w:type="pct"/>
            <w:vAlign w:val="center"/>
          </w:tcPr>
          <w:p w14:paraId="0520687E">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6</w:t>
            </w:r>
          </w:p>
        </w:tc>
        <w:tc>
          <w:tcPr>
            <w:tcW w:w="553" w:type="pct"/>
            <w:vAlign w:val="center"/>
          </w:tcPr>
          <w:p w14:paraId="26E2CD45">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5</w:t>
            </w:r>
          </w:p>
        </w:tc>
        <w:tc>
          <w:tcPr>
            <w:tcW w:w="558" w:type="pct"/>
            <w:vAlign w:val="center"/>
          </w:tcPr>
          <w:p w14:paraId="79C734DD">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5</w:t>
            </w:r>
          </w:p>
        </w:tc>
        <w:tc>
          <w:tcPr>
            <w:tcW w:w="524" w:type="pct"/>
            <w:vAlign w:val="center"/>
          </w:tcPr>
          <w:p w14:paraId="505D179E">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60</w:t>
            </w:r>
          </w:p>
        </w:tc>
        <w:tc>
          <w:tcPr>
            <w:tcW w:w="296" w:type="pct"/>
            <w:vAlign w:val="center"/>
          </w:tcPr>
          <w:p w14:paraId="332D3838">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达标</w:t>
            </w:r>
          </w:p>
        </w:tc>
      </w:tr>
      <w:tr w14:paraId="5206F8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200B68F9">
            <w:pPr>
              <w:topLinePunct/>
              <w:spacing w:line="0" w:lineRule="atLeast"/>
              <w:jc w:val="center"/>
              <w:rPr>
                <w:rFonts w:hint="eastAsia" w:hAnsi="宋体" w:cs="宋体"/>
                <w:color w:val="000000"/>
                <w:spacing w:val="-20"/>
                <w:sz w:val="21"/>
                <w:szCs w:val="21"/>
              </w:rPr>
            </w:pPr>
          </w:p>
        </w:tc>
        <w:tc>
          <w:tcPr>
            <w:tcW w:w="387" w:type="pct"/>
            <w:vAlign w:val="center"/>
          </w:tcPr>
          <w:p w14:paraId="7FC683EF">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NO</w:t>
            </w:r>
            <w:r>
              <w:rPr>
                <w:rFonts w:hint="eastAsia" w:hAnsi="宋体" w:cs="宋体"/>
                <w:color w:val="000000"/>
                <w:spacing w:val="-20"/>
                <w:sz w:val="21"/>
                <w:szCs w:val="21"/>
                <w:vertAlign w:val="subscript"/>
              </w:rPr>
              <w:t>2</w:t>
            </w:r>
          </w:p>
        </w:tc>
        <w:tc>
          <w:tcPr>
            <w:tcW w:w="548" w:type="pct"/>
            <w:vAlign w:val="center"/>
          </w:tcPr>
          <w:p w14:paraId="100E6D0B">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年平均值</w:t>
            </w:r>
          </w:p>
        </w:tc>
        <w:tc>
          <w:tcPr>
            <w:tcW w:w="583" w:type="pct"/>
            <w:vAlign w:val="center"/>
          </w:tcPr>
          <w:p w14:paraId="1D8721BE">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28</w:t>
            </w:r>
          </w:p>
        </w:tc>
        <w:tc>
          <w:tcPr>
            <w:tcW w:w="674" w:type="pct"/>
            <w:vAlign w:val="center"/>
          </w:tcPr>
          <w:p w14:paraId="1ABC6669">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29</w:t>
            </w:r>
          </w:p>
        </w:tc>
        <w:tc>
          <w:tcPr>
            <w:tcW w:w="602" w:type="pct"/>
            <w:vAlign w:val="center"/>
          </w:tcPr>
          <w:p w14:paraId="2536C322">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24</w:t>
            </w:r>
          </w:p>
        </w:tc>
        <w:tc>
          <w:tcPr>
            <w:tcW w:w="553" w:type="pct"/>
            <w:vAlign w:val="center"/>
          </w:tcPr>
          <w:p w14:paraId="5D061EDE">
            <w:pPr>
              <w:topLinePunct/>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14</w:t>
            </w:r>
          </w:p>
        </w:tc>
        <w:tc>
          <w:tcPr>
            <w:tcW w:w="558" w:type="pct"/>
            <w:vAlign w:val="center"/>
          </w:tcPr>
          <w:p w14:paraId="2358260E">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27</w:t>
            </w:r>
          </w:p>
        </w:tc>
        <w:tc>
          <w:tcPr>
            <w:tcW w:w="524" w:type="pct"/>
            <w:vAlign w:val="center"/>
          </w:tcPr>
          <w:p w14:paraId="10061C6D">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40</w:t>
            </w:r>
          </w:p>
        </w:tc>
        <w:tc>
          <w:tcPr>
            <w:tcW w:w="296" w:type="pct"/>
            <w:vAlign w:val="center"/>
          </w:tcPr>
          <w:p w14:paraId="3E4EE76C">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达标</w:t>
            </w:r>
          </w:p>
        </w:tc>
      </w:tr>
    </w:tbl>
    <w:p w14:paraId="5672E2E1">
      <w:pPr>
        <w:spacing w:line="460" w:lineRule="exact"/>
        <w:ind w:firstLine="526" w:firstLineChars="200"/>
        <w:rPr>
          <w:rFonts w:ascii="黑体" w:hAnsi="黑体" w:eastAsia="黑体"/>
          <w:color w:val="000000"/>
          <w:sz w:val="25"/>
        </w:rPr>
      </w:pPr>
      <w:r>
        <w:br w:type="page"/>
      </w:r>
      <w:r>
        <w:rPr>
          <w:rFonts w:hint="eastAsia" w:ascii="黑体" w:hAnsi="黑体" w:eastAsia="黑体"/>
        </w:rPr>
        <w:t>续</w:t>
      </w:r>
      <w:r>
        <w:rPr>
          <w:rFonts w:hint="eastAsia" w:ascii="黑体" w:hAnsi="黑体" w:eastAsia="黑体"/>
          <w:color w:val="000000"/>
          <w:sz w:val="25"/>
        </w:rPr>
        <w:t>表3.1-2  区域2020年</w:t>
      </w:r>
      <w:r>
        <w:rPr>
          <w:rFonts w:hint="eastAsia" w:hAnsi="宋体" w:cs="宋体"/>
          <w:color w:val="000000"/>
          <w:sz w:val="25"/>
        </w:rPr>
        <w:t>～</w:t>
      </w:r>
      <w:r>
        <w:rPr>
          <w:rFonts w:hint="eastAsia" w:ascii="黑体" w:hAnsi="黑体" w:eastAsia="黑体"/>
          <w:color w:val="000000"/>
          <w:sz w:val="25"/>
        </w:rPr>
        <w:t>2024年环境空气质量变化情况一览表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95"/>
        <w:gridCol w:w="697"/>
        <w:gridCol w:w="987"/>
        <w:gridCol w:w="1051"/>
        <w:gridCol w:w="1215"/>
        <w:gridCol w:w="1085"/>
        <w:gridCol w:w="997"/>
        <w:gridCol w:w="1006"/>
        <w:gridCol w:w="944"/>
        <w:gridCol w:w="533"/>
      </w:tblGrid>
      <w:tr w14:paraId="5D984F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Align w:val="center"/>
          </w:tcPr>
          <w:p w14:paraId="616AC51B">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地区</w:t>
            </w:r>
          </w:p>
        </w:tc>
        <w:tc>
          <w:tcPr>
            <w:tcW w:w="387" w:type="pct"/>
            <w:vAlign w:val="center"/>
          </w:tcPr>
          <w:p w14:paraId="4A3FB59F">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污染物</w:t>
            </w:r>
          </w:p>
        </w:tc>
        <w:tc>
          <w:tcPr>
            <w:tcW w:w="548" w:type="pct"/>
            <w:vAlign w:val="center"/>
          </w:tcPr>
          <w:p w14:paraId="5F65A375">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年评价</w:t>
            </w:r>
          </w:p>
          <w:p w14:paraId="21F7481C">
            <w:pPr>
              <w:topLinePunct/>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指标</w:t>
            </w:r>
          </w:p>
        </w:tc>
        <w:tc>
          <w:tcPr>
            <w:tcW w:w="583" w:type="pct"/>
            <w:vAlign w:val="center"/>
          </w:tcPr>
          <w:p w14:paraId="20199EA1">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2020年现状浓度（μg/m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674" w:type="pct"/>
            <w:vAlign w:val="center"/>
          </w:tcPr>
          <w:p w14:paraId="2F754A5F">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2021年现状浓度（μg/m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602" w:type="pct"/>
            <w:vAlign w:val="center"/>
          </w:tcPr>
          <w:p w14:paraId="1ADD7FAC">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2022年现状浓度（μg/m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53" w:type="pct"/>
            <w:vAlign w:val="center"/>
          </w:tcPr>
          <w:p w14:paraId="19FB61F9">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2023年现状浓度（μg/m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58" w:type="pct"/>
            <w:vAlign w:val="center"/>
          </w:tcPr>
          <w:p w14:paraId="02F00FEB">
            <w:pPr>
              <w:spacing w:line="0" w:lineRule="atLeast"/>
              <w:jc w:val="center"/>
              <w:rPr>
                <w:rFonts w:hint="eastAsia" w:hAnsi="宋体" w:cs="宋体"/>
                <w:color w:val="000000"/>
                <w:spacing w:val="-20"/>
                <w:sz w:val="21"/>
                <w:szCs w:val="21"/>
              </w:rPr>
            </w:pPr>
            <w:r>
              <w:rPr>
                <w:rFonts w:hint="eastAsia" w:hAnsi="宋体" w:cs="宋体"/>
                <w:color w:val="000000"/>
                <w:spacing w:val="-10"/>
                <w:sz w:val="21"/>
                <w:szCs w:val="21"/>
              </w:rPr>
              <w:t>2024年现状浓度（μg/m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524" w:type="pct"/>
            <w:vAlign w:val="center"/>
          </w:tcPr>
          <w:p w14:paraId="7F575E7D">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标准值</w:t>
            </w:r>
          </w:p>
          <w:p w14:paraId="7E3C774E">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（μg/m</w:t>
            </w:r>
            <w:r>
              <w:rPr>
                <w:rFonts w:hint="eastAsia" w:hAnsi="宋体" w:cs="宋体"/>
                <w:color w:val="000000"/>
                <w:spacing w:val="-20"/>
                <w:sz w:val="21"/>
                <w:szCs w:val="21"/>
                <w:vertAlign w:val="superscript"/>
              </w:rPr>
              <w:t>3</w:t>
            </w:r>
            <w:r>
              <w:rPr>
                <w:rFonts w:hint="eastAsia" w:hAnsi="宋体" w:cs="宋体"/>
                <w:color w:val="000000"/>
                <w:spacing w:val="-20"/>
                <w:sz w:val="21"/>
                <w:szCs w:val="21"/>
              </w:rPr>
              <w:t>）</w:t>
            </w:r>
          </w:p>
        </w:tc>
        <w:tc>
          <w:tcPr>
            <w:tcW w:w="296" w:type="pct"/>
            <w:vAlign w:val="center"/>
          </w:tcPr>
          <w:p w14:paraId="749A0DD7">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达标</w:t>
            </w:r>
          </w:p>
          <w:p w14:paraId="27C6E1AC">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情况</w:t>
            </w:r>
          </w:p>
        </w:tc>
      </w:tr>
      <w:tr w14:paraId="0260C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restart"/>
            <w:vAlign w:val="center"/>
          </w:tcPr>
          <w:p w14:paraId="67D86A5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w:t>
            </w:r>
          </w:p>
        </w:tc>
        <w:tc>
          <w:tcPr>
            <w:tcW w:w="387" w:type="pct"/>
            <w:vAlign w:val="center"/>
          </w:tcPr>
          <w:p w14:paraId="3D24F0C3">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10</w:t>
            </w:r>
          </w:p>
        </w:tc>
        <w:tc>
          <w:tcPr>
            <w:tcW w:w="548" w:type="pct"/>
            <w:vAlign w:val="center"/>
          </w:tcPr>
          <w:p w14:paraId="79778435">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年平均值</w:t>
            </w:r>
          </w:p>
        </w:tc>
        <w:tc>
          <w:tcPr>
            <w:tcW w:w="583" w:type="pct"/>
            <w:vAlign w:val="center"/>
          </w:tcPr>
          <w:p w14:paraId="7A5104A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4" w:type="pct"/>
            <w:vAlign w:val="center"/>
          </w:tcPr>
          <w:p w14:paraId="0AF66BA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123</w:t>
            </w:r>
          </w:p>
        </w:tc>
        <w:tc>
          <w:tcPr>
            <w:tcW w:w="602" w:type="pct"/>
            <w:vAlign w:val="center"/>
          </w:tcPr>
          <w:p w14:paraId="12587F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125</w:t>
            </w:r>
          </w:p>
        </w:tc>
        <w:tc>
          <w:tcPr>
            <w:tcW w:w="553" w:type="pct"/>
            <w:vAlign w:val="center"/>
          </w:tcPr>
          <w:p w14:paraId="79D84F2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141</w:t>
            </w:r>
          </w:p>
        </w:tc>
        <w:tc>
          <w:tcPr>
            <w:tcW w:w="558" w:type="pct"/>
            <w:vAlign w:val="center"/>
          </w:tcPr>
          <w:p w14:paraId="2309357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114</w:t>
            </w:r>
          </w:p>
        </w:tc>
        <w:tc>
          <w:tcPr>
            <w:tcW w:w="524" w:type="pct"/>
            <w:vAlign w:val="center"/>
          </w:tcPr>
          <w:p w14:paraId="26899A68">
            <w:pPr>
              <w:topLinePunct/>
              <w:spacing w:line="0" w:lineRule="atLeast"/>
              <w:jc w:val="center"/>
              <w:rPr>
                <w:rFonts w:hint="eastAsia" w:hAnsi="宋体" w:cs="宋体"/>
                <w:color w:val="000000"/>
                <w:spacing w:val="-10"/>
                <w:sz w:val="21"/>
                <w:szCs w:val="21"/>
              </w:rPr>
            </w:pPr>
            <w:r>
              <w:rPr>
                <w:rFonts w:hint="eastAsia" w:hAnsi="宋体" w:cs="宋体"/>
                <w:color w:val="000000"/>
                <w:spacing w:val="-20"/>
                <w:sz w:val="21"/>
                <w:szCs w:val="21"/>
              </w:rPr>
              <w:t>60</w:t>
            </w:r>
          </w:p>
        </w:tc>
        <w:tc>
          <w:tcPr>
            <w:tcW w:w="296" w:type="pct"/>
            <w:vAlign w:val="center"/>
          </w:tcPr>
          <w:p w14:paraId="684743BF">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w:t>
            </w:r>
          </w:p>
        </w:tc>
      </w:tr>
      <w:tr w14:paraId="0FF5F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75CC7162">
            <w:pPr>
              <w:topLinePunct/>
              <w:spacing w:line="0" w:lineRule="atLeast"/>
              <w:jc w:val="center"/>
              <w:rPr>
                <w:rFonts w:hint="eastAsia" w:hAnsi="宋体" w:cs="宋体"/>
                <w:color w:val="000000"/>
                <w:spacing w:val="-10"/>
                <w:sz w:val="21"/>
                <w:szCs w:val="21"/>
              </w:rPr>
            </w:pPr>
          </w:p>
        </w:tc>
        <w:tc>
          <w:tcPr>
            <w:tcW w:w="387" w:type="pct"/>
            <w:vAlign w:val="center"/>
          </w:tcPr>
          <w:p w14:paraId="50891F1A">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2.5</w:t>
            </w:r>
          </w:p>
        </w:tc>
        <w:tc>
          <w:tcPr>
            <w:tcW w:w="548" w:type="pct"/>
            <w:vAlign w:val="center"/>
          </w:tcPr>
          <w:p w14:paraId="6A58F572">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年平均值</w:t>
            </w:r>
          </w:p>
        </w:tc>
        <w:tc>
          <w:tcPr>
            <w:tcW w:w="583" w:type="pct"/>
            <w:vAlign w:val="center"/>
          </w:tcPr>
          <w:p w14:paraId="0434FF85">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4" w:type="pct"/>
            <w:vAlign w:val="center"/>
          </w:tcPr>
          <w:p w14:paraId="2DDB2CB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44</w:t>
            </w:r>
          </w:p>
        </w:tc>
        <w:tc>
          <w:tcPr>
            <w:tcW w:w="602" w:type="pct"/>
            <w:vAlign w:val="center"/>
          </w:tcPr>
          <w:p w14:paraId="433A3D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43</w:t>
            </w:r>
          </w:p>
        </w:tc>
        <w:tc>
          <w:tcPr>
            <w:tcW w:w="553" w:type="pct"/>
            <w:vAlign w:val="center"/>
          </w:tcPr>
          <w:p w14:paraId="75F26B7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43</w:t>
            </w:r>
          </w:p>
        </w:tc>
        <w:tc>
          <w:tcPr>
            <w:tcW w:w="558" w:type="pct"/>
            <w:vAlign w:val="center"/>
          </w:tcPr>
          <w:p w14:paraId="5FE34BD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44</w:t>
            </w:r>
          </w:p>
        </w:tc>
        <w:tc>
          <w:tcPr>
            <w:tcW w:w="524" w:type="pct"/>
            <w:vAlign w:val="center"/>
          </w:tcPr>
          <w:p w14:paraId="009C7AA2">
            <w:pPr>
              <w:topLinePunct/>
              <w:spacing w:line="0" w:lineRule="atLeast"/>
              <w:jc w:val="center"/>
              <w:rPr>
                <w:rFonts w:hint="eastAsia" w:hAnsi="宋体" w:cs="宋体"/>
                <w:color w:val="000000"/>
                <w:spacing w:val="-10"/>
                <w:sz w:val="21"/>
                <w:szCs w:val="21"/>
              </w:rPr>
            </w:pPr>
            <w:r>
              <w:rPr>
                <w:rFonts w:hint="eastAsia" w:hAnsi="宋体" w:cs="宋体"/>
                <w:color w:val="000000"/>
                <w:spacing w:val="-20"/>
                <w:sz w:val="21"/>
                <w:szCs w:val="21"/>
              </w:rPr>
              <w:t>30</w:t>
            </w:r>
          </w:p>
        </w:tc>
        <w:tc>
          <w:tcPr>
            <w:tcW w:w="296" w:type="pct"/>
            <w:vAlign w:val="center"/>
          </w:tcPr>
          <w:p w14:paraId="6D895D0F">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w:t>
            </w:r>
          </w:p>
        </w:tc>
      </w:tr>
      <w:tr w14:paraId="18978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18C32020">
            <w:pPr>
              <w:topLinePunct/>
              <w:spacing w:line="0" w:lineRule="atLeast"/>
              <w:jc w:val="center"/>
              <w:rPr>
                <w:rFonts w:hint="eastAsia" w:hAnsi="宋体" w:cs="宋体"/>
                <w:color w:val="000000"/>
                <w:spacing w:val="-10"/>
                <w:sz w:val="21"/>
                <w:szCs w:val="21"/>
              </w:rPr>
            </w:pPr>
          </w:p>
        </w:tc>
        <w:tc>
          <w:tcPr>
            <w:tcW w:w="387" w:type="pct"/>
            <w:vAlign w:val="center"/>
          </w:tcPr>
          <w:p w14:paraId="4F82434D">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2</w:t>
            </w:r>
          </w:p>
        </w:tc>
        <w:tc>
          <w:tcPr>
            <w:tcW w:w="548" w:type="pct"/>
            <w:vAlign w:val="center"/>
          </w:tcPr>
          <w:p w14:paraId="267BD440">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年平均值</w:t>
            </w:r>
          </w:p>
        </w:tc>
        <w:tc>
          <w:tcPr>
            <w:tcW w:w="583" w:type="pct"/>
            <w:vAlign w:val="center"/>
          </w:tcPr>
          <w:p w14:paraId="1AB77A56">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4" w:type="pct"/>
            <w:vAlign w:val="center"/>
          </w:tcPr>
          <w:p w14:paraId="4A4BDD1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w:t>
            </w:r>
          </w:p>
        </w:tc>
        <w:tc>
          <w:tcPr>
            <w:tcW w:w="602" w:type="pct"/>
            <w:vAlign w:val="center"/>
          </w:tcPr>
          <w:p w14:paraId="642D46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553" w:type="pct"/>
            <w:vAlign w:val="center"/>
          </w:tcPr>
          <w:p w14:paraId="2AF4A75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558" w:type="pct"/>
            <w:vAlign w:val="center"/>
          </w:tcPr>
          <w:p w14:paraId="3243DDD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524" w:type="pct"/>
            <w:vAlign w:val="center"/>
          </w:tcPr>
          <w:p w14:paraId="17BA0A85">
            <w:pPr>
              <w:topLinePunct/>
              <w:spacing w:line="0" w:lineRule="atLeast"/>
              <w:jc w:val="center"/>
              <w:rPr>
                <w:rFonts w:hint="eastAsia" w:hAnsi="宋体" w:cs="宋体"/>
                <w:color w:val="000000"/>
                <w:spacing w:val="-10"/>
                <w:sz w:val="21"/>
                <w:szCs w:val="21"/>
              </w:rPr>
            </w:pPr>
            <w:r>
              <w:rPr>
                <w:rFonts w:hint="eastAsia" w:hAnsi="宋体" w:cs="宋体"/>
                <w:color w:val="000000"/>
                <w:spacing w:val="-20"/>
                <w:sz w:val="21"/>
                <w:szCs w:val="21"/>
              </w:rPr>
              <w:t>60</w:t>
            </w:r>
          </w:p>
        </w:tc>
        <w:tc>
          <w:tcPr>
            <w:tcW w:w="296" w:type="pct"/>
            <w:vAlign w:val="center"/>
          </w:tcPr>
          <w:p w14:paraId="1F75FF8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2F965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75" w:type="pct"/>
            <w:vMerge w:val="continue"/>
            <w:vAlign w:val="center"/>
          </w:tcPr>
          <w:p w14:paraId="5BE1F234">
            <w:pPr>
              <w:topLinePunct/>
              <w:spacing w:line="0" w:lineRule="atLeast"/>
              <w:jc w:val="center"/>
              <w:rPr>
                <w:rFonts w:hint="eastAsia" w:hAnsi="宋体" w:cs="宋体"/>
                <w:color w:val="000000"/>
                <w:spacing w:val="-10"/>
                <w:sz w:val="21"/>
                <w:szCs w:val="21"/>
              </w:rPr>
            </w:pPr>
          </w:p>
        </w:tc>
        <w:tc>
          <w:tcPr>
            <w:tcW w:w="387" w:type="pct"/>
            <w:vAlign w:val="center"/>
          </w:tcPr>
          <w:p w14:paraId="20EB8EC9">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NO</w:t>
            </w:r>
            <w:r>
              <w:rPr>
                <w:rFonts w:hint="eastAsia" w:hAnsi="宋体" w:cs="宋体"/>
                <w:color w:val="000000"/>
                <w:spacing w:val="-10"/>
                <w:sz w:val="21"/>
                <w:szCs w:val="21"/>
                <w:vertAlign w:val="subscript"/>
              </w:rPr>
              <w:t>2</w:t>
            </w:r>
          </w:p>
        </w:tc>
        <w:tc>
          <w:tcPr>
            <w:tcW w:w="548" w:type="pct"/>
            <w:vAlign w:val="center"/>
          </w:tcPr>
          <w:p w14:paraId="1CBEA3E2">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年平均值</w:t>
            </w:r>
          </w:p>
        </w:tc>
        <w:tc>
          <w:tcPr>
            <w:tcW w:w="583" w:type="pct"/>
            <w:vAlign w:val="center"/>
          </w:tcPr>
          <w:p w14:paraId="14D19346">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4" w:type="pct"/>
            <w:vAlign w:val="center"/>
          </w:tcPr>
          <w:p w14:paraId="6CC41E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25</w:t>
            </w:r>
          </w:p>
        </w:tc>
        <w:tc>
          <w:tcPr>
            <w:tcW w:w="602" w:type="pct"/>
            <w:vAlign w:val="center"/>
          </w:tcPr>
          <w:p w14:paraId="7C9E23D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18</w:t>
            </w:r>
          </w:p>
        </w:tc>
        <w:tc>
          <w:tcPr>
            <w:tcW w:w="553" w:type="pct"/>
            <w:vAlign w:val="center"/>
          </w:tcPr>
          <w:p w14:paraId="5677E1A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16</w:t>
            </w:r>
          </w:p>
        </w:tc>
        <w:tc>
          <w:tcPr>
            <w:tcW w:w="558" w:type="pct"/>
            <w:vAlign w:val="center"/>
          </w:tcPr>
          <w:p w14:paraId="61026E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524" w:type="pct"/>
            <w:vAlign w:val="center"/>
          </w:tcPr>
          <w:p w14:paraId="63894ECC">
            <w:pPr>
              <w:topLinePunct/>
              <w:spacing w:line="0" w:lineRule="atLeast"/>
              <w:jc w:val="center"/>
              <w:rPr>
                <w:rFonts w:hint="eastAsia" w:hAnsi="宋体" w:cs="宋体"/>
                <w:color w:val="000000"/>
                <w:spacing w:val="-10"/>
                <w:sz w:val="21"/>
                <w:szCs w:val="21"/>
              </w:rPr>
            </w:pPr>
            <w:r>
              <w:rPr>
                <w:rFonts w:hint="eastAsia" w:hAnsi="宋体" w:cs="宋体"/>
                <w:color w:val="000000"/>
                <w:spacing w:val="-20"/>
                <w:sz w:val="21"/>
                <w:szCs w:val="21"/>
              </w:rPr>
              <w:t>40</w:t>
            </w:r>
          </w:p>
        </w:tc>
        <w:tc>
          <w:tcPr>
            <w:tcW w:w="296" w:type="pct"/>
            <w:vAlign w:val="center"/>
          </w:tcPr>
          <w:p w14:paraId="1D2948B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bl>
    <w:p w14:paraId="291A81AB">
      <w:pPr>
        <w:adjustRightInd w:val="0"/>
        <w:spacing w:before="240"/>
        <w:ind w:firstLine="526" w:firstLineChars="200"/>
        <w:rPr>
          <w:rFonts w:hAnsi="宋体" w:cs="宋体"/>
          <w:color w:val="000000"/>
          <w:szCs w:val="24"/>
        </w:rPr>
      </w:pPr>
      <w:r>
        <w:rPr>
          <w:rFonts w:hint="eastAsia" w:hAnsi="宋体" w:cs="宋体"/>
          <w:color w:val="000000"/>
          <w:szCs w:val="24"/>
        </w:rPr>
        <w:t>从表中可以看出，区域PM</w:t>
      </w:r>
      <w:r>
        <w:rPr>
          <w:rFonts w:hint="eastAsia" w:hAnsi="宋体" w:cs="宋体"/>
          <w:color w:val="000000"/>
          <w:szCs w:val="24"/>
          <w:vertAlign w:val="subscript"/>
        </w:rPr>
        <w:t>10</w:t>
      </w:r>
      <w:r>
        <w:rPr>
          <w:rFonts w:hint="eastAsia" w:hAnsi="宋体" w:cs="宋体"/>
          <w:color w:val="000000"/>
          <w:szCs w:val="24"/>
        </w:rPr>
        <w:t>、PM</w:t>
      </w:r>
      <w:r>
        <w:rPr>
          <w:rFonts w:hint="eastAsia" w:hAnsi="宋体" w:cs="宋体"/>
          <w:color w:val="000000"/>
          <w:szCs w:val="24"/>
          <w:vertAlign w:val="subscript"/>
        </w:rPr>
        <w:t>2.5</w:t>
      </w:r>
      <w:r>
        <w:rPr>
          <w:rFonts w:hint="eastAsia" w:hAnsi="宋体" w:cs="宋体"/>
          <w:color w:val="000000"/>
          <w:szCs w:val="24"/>
        </w:rPr>
        <w:t>年平均值均处于超标状态，主要原因是紧邻沙漠导致，并不是油气田开发过程造成；SO</w:t>
      </w:r>
      <w:r>
        <w:rPr>
          <w:rFonts w:hint="eastAsia" w:hAnsi="宋体" w:cs="宋体"/>
          <w:color w:val="000000"/>
          <w:szCs w:val="24"/>
          <w:vertAlign w:val="subscript"/>
        </w:rPr>
        <w:t>2</w:t>
      </w:r>
      <w:r>
        <w:rPr>
          <w:rFonts w:hint="eastAsia" w:hAnsi="宋体" w:cs="宋体"/>
          <w:color w:val="000000"/>
          <w:szCs w:val="24"/>
        </w:rPr>
        <w:t>、NO</w:t>
      </w:r>
      <w:r>
        <w:rPr>
          <w:rFonts w:hint="eastAsia" w:hAnsi="宋体" w:cs="宋体"/>
          <w:color w:val="000000"/>
          <w:szCs w:val="24"/>
          <w:vertAlign w:val="subscript"/>
        </w:rPr>
        <w:t>2</w:t>
      </w:r>
      <w:r>
        <w:rPr>
          <w:rFonts w:hint="eastAsia" w:hAnsi="宋体" w:cs="宋体"/>
          <w:color w:val="000000"/>
          <w:szCs w:val="24"/>
        </w:rPr>
        <w:t>年平均值未超过标准要求，说明油气田开发过程中加热炉的使用未导致区域二氧化硫、氮氧化物产生较大影响。</w:t>
      </w:r>
    </w:p>
    <w:p w14:paraId="791FBF2D">
      <w:pPr>
        <w:adjustRightInd w:val="0"/>
        <w:ind w:firstLine="526" w:firstLineChars="200"/>
        <w:rPr>
          <w:rFonts w:hint="eastAsia" w:hAnsi="宋体" w:cs="宋体"/>
          <w:color w:val="000000"/>
          <w:sz w:val="25"/>
        </w:rPr>
      </w:pPr>
      <w:r>
        <w:rPr>
          <w:rFonts w:hint="eastAsia" w:hAnsi="宋体" w:cs="宋体"/>
          <w:color w:val="000000"/>
          <w:szCs w:val="24"/>
        </w:rPr>
        <w:t>由于非甲烷总烃、硫化氢不属于基本6项因子，所在区域非甲烷总烃、硫化氢监测结果主要来源于区域历史环境影响评价报告中所开展的监测，由于各监测点位的差异，无法进行有效的对比，主要以区域的检测结果进行说明，根据统计的结果，整个区域非甲烷总烃、硫化氢小时值均未超过标准要求，监测值均在小范围波动，未因油气田开发导致非甲烷总烃、硫化氢监测值大幅度变化。说明项目的建设和运行对区域环境空气质量影响不大。</w:t>
      </w:r>
    </w:p>
    <w:p w14:paraId="206BF70D">
      <w:pPr>
        <w:adjustRightInd w:val="0"/>
        <w:ind w:firstLine="526" w:firstLineChars="200"/>
        <w:rPr>
          <w:rFonts w:hAnsi="宋体" w:cs="宋体"/>
          <w:color w:val="000000"/>
          <w:szCs w:val="24"/>
        </w:rPr>
      </w:pPr>
      <w:r>
        <w:rPr>
          <w:rFonts w:hint="eastAsia"/>
          <w:color w:val="000000"/>
          <w:kern w:val="0"/>
          <w:szCs w:val="24"/>
        </w:rPr>
        <w:t>综上所述，说明</w:t>
      </w:r>
      <w:r>
        <w:rPr>
          <w:rFonts w:hint="eastAsia"/>
          <w:color w:val="000000"/>
          <w:szCs w:val="24"/>
        </w:rPr>
        <w:t>加热炉等</w:t>
      </w:r>
      <w:r>
        <w:rPr>
          <w:rFonts w:hint="eastAsia" w:hAnsi="宋体" w:cs="宋体"/>
          <w:color w:val="000000"/>
          <w:kern w:val="0"/>
          <w:szCs w:val="24"/>
        </w:rPr>
        <w:t>有组织废气污染防治措施、</w:t>
      </w:r>
      <w:r>
        <w:rPr>
          <w:rFonts w:hint="eastAsia"/>
          <w:color w:val="000000"/>
          <w:kern w:val="0"/>
          <w:szCs w:val="24"/>
        </w:rPr>
        <w:t>各站场无组织废气污染防治措施基本适用、有效，</w:t>
      </w:r>
      <w:r>
        <w:rPr>
          <w:rFonts w:hint="eastAsia" w:hAnsi="宋体" w:cs="宋体"/>
          <w:color w:val="000000"/>
          <w:szCs w:val="24"/>
        </w:rPr>
        <w:t>废气污染防治措施均基本按照环评及批复落实；</w:t>
      </w:r>
      <w:r>
        <w:rPr>
          <w:rFonts w:hint="eastAsia"/>
          <w:color w:val="000000"/>
          <w:szCs w:val="24"/>
        </w:rPr>
        <w:t>区域环境空气质量保持稳定，环境空气中的</w:t>
      </w:r>
      <w:r>
        <w:rPr>
          <w:rFonts w:hint="eastAsia"/>
          <w:color w:val="000000"/>
          <w:kern w:val="0"/>
          <w:szCs w:val="24"/>
        </w:rPr>
        <w:t>非甲烷总烃</w:t>
      </w:r>
      <w:r>
        <w:rPr>
          <w:rFonts w:hint="eastAsia"/>
          <w:color w:val="000000"/>
          <w:szCs w:val="24"/>
        </w:rPr>
        <w:t>和</w:t>
      </w:r>
      <w:r>
        <w:rPr>
          <w:rFonts w:hint="eastAsia"/>
          <w:color w:val="000000"/>
          <w:kern w:val="0"/>
          <w:szCs w:val="24"/>
        </w:rPr>
        <w:t>H</w:t>
      </w:r>
      <w:r>
        <w:rPr>
          <w:rFonts w:hint="eastAsia"/>
          <w:color w:val="000000"/>
          <w:kern w:val="0"/>
          <w:szCs w:val="24"/>
          <w:vertAlign w:val="subscript"/>
        </w:rPr>
        <w:t>2</w:t>
      </w:r>
      <w:r>
        <w:rPr>
          <w:rFonts w:hint="eastAsia"/>
          <w:color w:val="000000"/>
          <w:kern w:val="0"/>
          <w:szCs w:val="24"/>
        </w:rPr>
        <w:t>S</w:t>
      </w:r>
      <w:r>
        <w:rPr>
          <w:rFonts w:hint="eastAsia"/>
          <w:color w:val="000000"/>
          <w:szCs w:val="24"/>
        </w:rPr>
        <w:t>并未因</w:t>
      </w:r>
      <w:r>
        <w:rPr>
          <w:rFonts w:hint="eastAsia" w:hAnsi="宋体" w:cs="宋体"/>
          <w:color w:val="000000"/>
          <w:szCs w:val="24"/>
        </w:rPr>
        <w:t>塔中Ⅰ号气田Ⅲ区</w:t>
      </w:r>
      <w:r>
        <w:rPr>
          <w:rFonts w:hint="eastAsia"/>
          <w:color w:val="000000"/>
          <w:szCs w:val="24"/>
        </w:rPr>
        <w:t>的开发建设而明显增加</w:t>
      </w:r>
      <w:r>
        <w:rPr>
          <w:rFonts w:hint="eastAsia" w:hAnsi="宋体" w:cs="宋体"/>
          <w:color w:val="000000"/>
          <w:szCs w:val="24"/>
        </w:rPr>
        <w:t>。</w:t>
      </w:r>
    </w:p>
    <w:p w14:paraId="7425120D">
      <w:pPr>
        <w:adjustRightInd w:val="0"/>
        <w:outlineLvl w:val="3"/>
        <w:rPr>
          <w:rFonts w:hAnsi="宋体" w:cs="宋体"/>
          <w:color w:val="000000"/>
          <w:szCs w:val="24"/>
        </w:rPr>
      </w:pPr>
      <w:r>
        <w:rPr>
          <w:rFonts w:hAnsi="宋体" w:cs="宋体"/>
          <w:color w:val="000000"/>
          <w:szCs w:val="24"/>
        </w:rPr>
        <w:t>3.1.</w:t>
      </w:r>
      <w:r>
        <w:rPr>
          <w:rFonts w:hint="eastAsia" w:hAnsi="宋体" w:cs="宋体"/>
          <w:color w:val="000000"/>
          <w:szCs w:val="24"/>
        </w:rPr>
        <w:t>3</w:t>
      </w:r>
      <w:r>
        <w:rPr>
          <w:rFonts w:hAnsi="宋体" w:cs="宋体"/>
          <w:color w:val="000000"/>
          <w:szCs w:val="24"/>
        </w:rPr>
        <w:t xml:space="preserve">.5 </w:t>
      </w:r>
      <w:r>
        <w:rPr>
          <w:rFonts w:hint="eastAsia" w:hAnsi="宋体" w:cs="宋体"/>
          <w:color w:val="000000"/>
          <w:szCs w:val="24"/>
        </w:rPr>
        <w:t>固体废物影响回顾</w:t>
      </w:r>
    </w:p>
    <w:p w14:paraId="79D189B0">
      <w:pPr>
        <w:autoSpaceDE w:val="0"/>
        <w:autoSpaceDN w:val="0"/>
        <w:adjustRightInd w:val="0"/>
        <w:ind w:firstLine="526" w:firstLineChars="200"/>
        <w:textAlignment w:val="bottom"/>
        <w:rPr>
          <w:rFonts w:hAnsi="宋体"/>
          <w:color w:val="000000"/>
          <w:szCs w:val="24"/>
        </w:rPr>
      </w:pPr>
      <w:bookmarkStart w:id="105" w:name="_Toc32467"/>
      <w:bookmarkStart w:id="106" w:name="_Toc27380"/>
      <w:r>
        <w:rPr>
          <w:rFonts w:hint="eastAsia" w:hAnsi="宋体"/>
          <w:color w:val="000000"/>
          <w:szCs w:val="24"/>
        </w:rPr>
        <w:t>根据本次调查情况，区块施工期固废主要是钻井岩屑、钻井泥浆废弃物、含油废物和生活垃圾等，钻井岩屑随泥浆一同进入泥浆不落地系统，其中非磺化水基泥浆钻井岩屑采用泥浆不落地技术在井场进行固液分离，分离后的液相回用于钻井液配制，分离后的固相暂存于井场内岩屑池，干化后用于铺垫油区内的井场、道路等；磺化水基泥浆钻井岩屑在现场进行固液分离后，液相回用于钻井液配制，固相暂存于岩屑池内由塔中钻试修废弃物环保处理站运营单位定期拉运至处理站，经“高温氧化”工艺处理满足《油气田钻井固体废弃物综合利用污染物控制要求》（DB65/T3997-2017）后，最终</w:t>
      </w:r>
      <w:r>
        <w:rPr>
          <w:rFonts w:hint="eastAsia" w:hAnsi="宋体" w:cs="宋体"/>
          <w:color w:val="000000"/>
          <w:szCs w:val="24"/>
        </w:rPr>
        <w:t>用于铺设服务区域生产的各种内部道路、铺垫井场等</w:t>
      </w:r>
      <w:r>
        <w:rPr>
          <w:rFonts w:hint="eastAsia" w:hAnsi="宋体"/>
          <w:color w:val="000000"/>
          <w:szCs w:val="24"/>
        </w:rPr>
        <w:t>；运营期含油废物由塔中钻井废弃物综合处理站接收处置；生活垃圾集中收集后，拉运至生活垃圾填埋场处置。</w:t>
      </w:r>
    </w:p>
    <w:p w14:paraId="42F37537">
      <w:pPr>
        <w:ind w:firstLine="526" w:firstLineChars="200"/>
        <w:rPr>
          <w:color w:val="000000"/>
          <w:sz w:val="25"/>
        </w:rPr>
      </w:pPr>
      <w:r>
        <w:rPr>
          <w:rFonts w:hint="eastAsia"/>
          <w:color w:val="000000"/>
          <w:szCs w:val="24"/>
        </w:rPr>
        <w:t>区块各井场及站场严格落实</w:t>
      </w:r>
      <w:r>
        <w:rPr>
          <w:rFonts w:hint="eastAsia" w:hAnsi="宋体"/>
          <w:color w:val="000000"/>
          <w:szCs w:val="24"/>
        </w:rPr>
        <w:t>《危险废物贮存污染控制标准》（GB18597-2023）</w:t>
      </w:r>
      <w:r>
        <w:rPr>
          <w:rFonts w:hint="eastAsia"/>
          <w:color w:val="000000"/>
          <w:szCs w:val="24"/>
        </w:rPr>
        <w:t>和《一般工业固体废物贮存和填埋污染控制标准》（GB18599-2020）中的相关要求，开发建设过程中所产生的各种固体废物均可以得到有效的处理，</w:t>
      </w:r>
      <w:r>
        <w:rPr>
          <w:rFonts w:hint="eastAsia" w:hAnsi="宋体" w:cs="宋体"/>
          <w:color w:val="000000"/>
          <w:kern w:val="0"/>
          <w:szCs w:val="24"/>
        </w:rPr>
        <w:t>项目区内已有工程生产活动和生活产生的固体废物没有对周围环境产生重大不利影响。</w:t>
      </w:r>
    </w:p>
    <w:p w14:paraId="29890D7C">
      <w:pPr>
        <w:adjustRightInd w:val="0"/>
        <w:outlineLvl w:val="3"/>
        <w:rPr>
          <w:rFonts w:hAnsi="宋体" w:cs="宋体"/>
          <w:color w:val="000000"/>
          <w:szCs w:val="24"/>
        </w:rPr>
      </w:pPr>
      <w:r>
        <w:rPr>
          <w:rFonts w:hAnsi="宋体" w:cs="宋体"/>
          <w:color w:val="000000"/>
          <w:szCs w:val="24"/>
        </w:rPr>
        <w:t>3.1.</w:t>
      </w:r>
      <w:r>
        <w:rPr>
          <w:rFonts w:hint="eastAsia" w:hAnsi="宋体" w:cs="宋体"/>
          <w:color w:val="000000"/>
          <w:szCs w:val="24"/>
        </w:rPr>
        <w:t>3</w:t>
      </w:r>
      <w:r>
        <w:rPr>
          <w:rFonts w:hAnsi="宋体" w:cs="宋体"/>
          <w:color w:val="000000"/>
          <w:szCs w:val="24"/>
        </w:rPr>
        <w:t>.6</w:t>
      </w:r>
      <w:r>
        <w:rPr>
          <w:rFonts w:hint="eastAsia" w:hAnsi="宋体" w:cs="宋体"/>
          <w:color w:val="000000"/>
          <w:szCs w:val="24"/>
        </w:rPr>
        <w:t>声环境影响回顾</w:t>
      </w:r>
    </w:p>
    <w:p w14:paraId="1CE52018">
      <w:pPr>
        <w:ind w:firstLine="526" w:firstLineChars="200"/>
        <w:rPr>
          <w:rFonts w:hint="eastAsia" w:hAnsi="宋体" w:cs="宋体"/>
          <w:color w:val="000000"/>
          <w:szCs w:val="24"/>
        </w:rPr>
      </w:pPr>
      <w:r>
        <w:rPr>
          <w:rFonts w:hint="eastAsia" w:hAnsi="宋体" w:cs="宋体"/>
          <w:color w:val="000000"/>
          <w:szCs w:val="24"/>
        </w:rPr>
        <w:t>根据本次调查情况，区块施工期钻井噪声污染源主要为泥浆泵噪声、钻机噪声和放喷气流噪声，采取选用增加隔震垫、弹性材料等减震措施；运输、平整场地、管沟开挖及回填、建筑物修建、井下作业等过程中，施工机械的强噪声源会导致作业现场周围噪声超出《建筑施工噪声排放标准》(GB12523-2025)标准要求，但是由于油井均分布在空旷地带，加上井下作业周期较短，声源具有不固定性和不稳定性，在施工时，对高噪声设备设置临时屏蔽设施，则其对周围环境的影响是可以接受的。运营期噪声污染源包括井场及站场加热炉、泵类等设备噪声，选用低噪声设备并采取基础减振措施后，区域生产期产生的噪声基本处于区域本底噪声水平范围内，对周边声环境质量的影响很小，区块所在地为空旷地带，对声强的增加不敏感，因此区域现有井场、站场等运行噪声对周围环境的影响较小，不会导致所在区域声环境质量超出相应功能区要求。</w:t>
      </w:r>
    </w:p>
    <w:p w14:paraId="774D4C3E">
      <w:pPr>
        <w:adjustRightInd w:val="0"/>
        <w:ind w:firstLine="526" w:firstLineChars="200"/>
        <w:rPr>
          <w:rFonts w:hAnsi="宋体" w:cs="宋体"/>
          <w:color w:val="000000"/>
          <w:szCs w:val="24"/>
        </w:rPr>
      </w:pPr>
      <w:r>
        <w:rPr>
          <w:rFonts w:hint="eastAsia"/>
          <w:color w:val="000000"/>
          <w:szCs w:val="24"/>
        </w:rPr>
        <w:t>根据后评价开展期间进行的污染源监测数据，井场、站场场界噪声均满足《声环境质量标准》（GB3096-2008）2类标准要求。</w:t>
      </w:r>
      <w:r>
        <w:rPr>
          <w:rFonts w:hint="eastAsia" w:hAnsi="宋体" w:cs="宋体"/>
          <w:color w:val="000000"/>
          <w:szCs w:val="24"/>
        </w:rPr>
        <w:t>因此油田落实了设计及环评提出的噪声污染防治的相关措施，区块开发对周围声环境的影响可行，在采取有效声污染防治措施后不会导致所在区域声环境质量超出相应功能区要求。</w:t>
      </w:r>
    </w:p>
    <w:p w14:paraId="481064EF">
      <w:pPr>
        <w:adjustRightInd w:val="0"/>
        <w:outlineLvl w:val="3"/>
        <w:rPr>
          <w:rFonts w:hAnsi="宋体" w:cs="宋体"/>
          <w:color w:val="000000"/>
          <w:szCs w:val="24"/>
        </w:rPr>
      </w:pPr>
      <w:r>
        <w:rPr>
          <w:rFonts w:hAnsi="宋体" w:cs="宋体"/>
          <w:color w:val="000000"/>
          <w:szCs w:val="24"/>
        </w:rPr>
        <w:t>3.1.</w:t>
      </w:r>
      <w:r>
        <w:rPr>
          <w:rFonts w:hint="eastAsia" w:hAnsi="宋体" w:cs="宋体"/>
          <w:color w:val="000000"/>
          <w:szCs w:val="24"/>
        </w:rPr>
        <w:t>3</w:t>
      </w:r>
      <w:r>
        <w:rPr>
          <w:rFonts w:hAnsi="宋体" w:cs="宋体"/>
          <w:color w:val="000000"/>
          <w:szCs w:val="24"/>
        </w:rPr>
        <w:t xml:space="preserve">.7 </w:t>
      </w:r>
      <w:r>
        <w:rPr>
          <w:rFonts w:hint="eastAsia" w:hAnsi="宋体" w:cs="宋体"/>
          <w:color w:val="000000"/>
          <w:szCs w:val="24"/>
        </w:rPr>
        <w:t>环境风险回顾</w:t>
      </w:r>
    </w:p>
    <w:bookmarkEnd w:id="105"/>
    <w:bookmarkEnd w:id="106"/>
    <w:p w14:paraId="63E9D20E">
      <w:pPr>
        <w:ind w:firstLine="526" w:firstLineChars="200"/>
        <w:rPr>
          <w:rFonts w:cs="宋体"/>
          <w:color w:val="000000"/>
          <w:szCs w:val="24"/>
        </w:rPr>
      </w:pPr>
      <w:r>
        <w:rPr>
          <w:rFonts w:hint="eastAsia" w:hAnsi="宋体" w:cs="宋体"/>
          <w:color w:val="000000"/>
          <w:szCs w:val="24"/>
        </w:rPr>
        <w:t>塔中Ⅰ号气田Ⅲ区</w:t>
      </w:r>
      <w:r>
        <w:rPr>
          <w:rFonts w:hint="eastAsia" w:cs="宋体"/>
          <w:color w:val="000000"/>
          <w:szCs w:val="24"/>
        </w:rPr>
        <w:t>隶属于塔里木油田分公司塔中采油气管理区管理，《塔里木油田公司塔中油气开发部塔中第三联合站突发环境事件应急预案》于2025年7月16日完成备案工作（备案编号653200-2025-271-L）。</w:t>
      </w:r>
      <w:r>
        <w:rPr>
          <w:rFonts w:hint="eastAsia" w:hAnsi="宋体" w:cs="宋体"/>
          <w:color w:val="000000"/>
          <w:szCs w:val="24"/>
        </w:rPr>
        <w:t>区块</w:t>
      </w:r>
      <w:r>
        <w:rPr>
          <w:rFonts w:hint="eastAsia" w:cs="宋体"/>
          <w:color w:val="000000"/>
          <w:szCs w:val="24"/>
        </w:rPr>
        <w:t>采取了有效的环境风险防范和应急措施，建立了应急管理体系，开展了应急培训和应急演练，具备处置突发环境事件的能力，应急物资储备充足，应急保障措施完善。</w:t>
      </w:r>
    </w:p>
    <w:p w14:paraId="55E58533">
      <w:pPr>
        <w:adjustRightInd w:val="0"/>
        <w:outlineLvl w:val="3"/>
        <w:rPr>
          <w:rFonts w:hint="eastAsia" w:hAnsi="宋体"/>
          <w:color w:val="000000"/>
          <w:szCs w:val="24"/>
        </w:rPr>
      </w:pPr>
      <w:r>
        <w:rPr>
          <w:rFonts w:hint="eastAsia" w:hAnsi="宋体" w:cs="宋体"/>
          <w:color w:val="000000"/>
          <w:szCs w:val="24"/>
        </w:rPr>
        <w:t>3.1.3.8</w:t>
      </w:r>
      <w:r>
        <w:rPr>
          <w:rFonts w:hint="eastAsia" w:hAnsi="宋体"/>
          <w:color w:val="000000"/>
          <w:szCs w:val="24"/>
        </w:rPr>
        <w:t xml:space="preserve"> 与排污许可衔接情况</w:t>
      </w:r>
    </w:p>
    <w:p w14:paraId="2D602DEC">
      <w:pPr>
        <w:autoSpaceDE w:val="0"/>
        <w:autoSpaceDN w:val="0"/>
        <w:ind w:firstLine="526" w:firstLineChars="200"/>
        <w:rPr>
          <w:rFonts w:hint="eastAsia" w:hAnsi="宋体" w:cs="宋体"/>
          <w:color w:val="000000"/>
          <w:sz w:val="25"/>
        </w:rPr>
      </w:pPr>
      <w:r>
        <w:rPr>
          <w:rFonts w:hint="eastAsia" w:hAnsi="宋体" w:cs="宋体"/>
          <w:color w:val="000000"/>
          <w:szCs w:val="24"/>
        </w:rPr>
        <w:t>排污口是否规范，是项目验收的前提条件之一。从评价调查及收集资料可以看出，塔中采油气管理区基本能做到排污口规范化。固体废物、危险废物贮存场所均设置有标志牌，废气排放口、噪声排放口规范化管理较规范，废气监测口的设置、噪声排放口标志牌设置符合国家和自治区的相关要求进行规范管理，并自行开展了相关监测。塔中采油气管理区按照《固定污染源排污许可分类管理名录（2019版）》规定的范围，已对加热炉等固定污染源办理了排污许可证。根据《排污口规范化整治技术要求（试行）》（环监〔1996〕470号）、《&lt;环境保护图形标志〉实施细则》（环监〔1996〕463号）、《排污单位自行监测技术指南 总则》(HJ819-2017)、《排污单位自行监测技术指南 陆上石油天然气开采工业》(HJ1248-2022)，塔中采油气管理区进一步建立完善了自行监测制度及排污口规范化管理制度。</w:t>
      </w:r>
      <w:r>
        <w:rPr>
          <w:rFonts w:hint="eastAsia" w:cs="宋体"/>
          <w:color w:val="000000"/>
          <w:szCs w:val="24"/>
        </w:rPr>
        <w:t>塔里木油田分公司塔中采油气管理区（第二采油气作业区）、塔里木油田分公司塔中采油气管理区（第二采油作业区西部二）及塔里木油田分公司塔中采油气管理区（第二采油作业区西部三）分别于2020年11月7日、2020年11月5日、2020年11月7日取得固定污染源排污登记回执</w:t>
      </w:r>
      <w:r>
        <w:rPr>
          <w:rFonts w:hint="eastAsia" w:hAnsi="宋体" w:cs="宋体"/>
          <w:color w:val="000000"/>
          <w:szCs w:val="24"/>
        </w:rPr>
        <w:t>。</w:t>
      </w:r>
    </w:p>
    <w:p w14:paraId="1BD4ABB2">
      <w:pPr>
        <w:autoSpaceDE w:val="0"/>
        <w:autoSpaceDN w:val="0"/>
        <w:jc w:val="left"/>
        <w:outlineLvl w:val="2"/>
        <w:rPr>
          <w:rFonts w:hint="eastAsia" w:hAnsi="宋体" w:cs="宋体"/>
          <w:color w:val="000000"/>
          <w:szCs w:val="24"/>
        </w:rPr>
      </w:pPr>
      <w:r>
        <w:rPr>
          <w:rFonts w:hint="eastAsia" w:hAnsi="宋体" w:cs="宋体"/>
          <w:color w:val="000000"/>
          <w:szCs w:val="24"/>
        </w:rPr>
        <w:t>3.1.4 区块污染物排放情况</w:t>
      </w:r>
    </w:p>
    <w:p w14:paraId="45C1611C">
      <w:pPr>
        <w:autoSpaceDE w:val="0"/>
        <w:autoSpaceDN w:val="0"/>
        <w:adjustRightInd w:val="0"/>
        <w:ind w:firstLine="526" w:firstLineChars="200"/>
        <w:rPr>
          <w:rFonts w:hint="eastAsia" w:hAnsi="宋体" w:cs="宋体"/>
          <w:color w:val="000000"/>
          <w:szCs w:val="24"/>
          <w:lang w:val="zh-CN"/>
        </w:rPr>
      </w:pPr>
      <w:r>
        <w:rPr>
          <w:rFonts w:hint="eastAsia" w:hAnsi="宋体" w:cs="宋体"/>
          <w:color w:val="000000"/>
          <w:szCs w:val="24"/>
          <w:lang w:val="zh-CN"/>
        </w:rPr>
        <w:t>根据</w:t>
      </w:r>
      <w:r>
        <w:rPr>
          <w:rFonts w:hint="eastAsia" w:hAnsi="宋体"/>
          <w:color w:val="000000"/>
          <w:szCs w:val="24"/>
        </w:rPr>
        <w:t>塔中采油气管理区</w:t>
      </w:r>
      <w:r>
        <w:rPr>
          <w:rFonts w:hint="eastAsia" w:hAnsi="宋体" w:cs="宋体"/>
          <w:color w:val="000000"/>
          <w:szCs w:val="24"/>
        </w:rPr>
        <w:t>例行监测</w:t>
      </w:r>
      <w:r>
        <w:rPr>
          <w:rFonts w:hint="eastAsia"/>
          <w:color w:val="000000"/>
          <w:szCs w:val="24"/>
        </w:rPr>
        <w:t>进行的污染源监测数据及《塔中油气开发部塔中油气田环境影响后评价报告书》，环境影响评价及竣工环境保护验收调查报告、监测结果分析及验收结论</w:t>
      </w:r>
      <w:r>
        <w:rPr>
          <w:rFonts w:hint="eastAsia" w:hAnsi="宋体" w:cs="宋体"/>
          <w:color w:val="000000"/>
          <w:szCs w:val="24"/>
          <w:lang w:val="zh-CN"/>
        </w:rPr>
        <w:t>，</w:t>
      </w:r>
      <w:r>
        <w:rPr>
          <w:rFonts w:hint="eastAsia"/>
          <w:color w:val="000000"/>
          <w:szCs w:val="24"/>
        </w:rPr>
        <w:t>塔中Ⅰ号气田Ⅲ区</w:t>
      </w:r>
      <w:r>
        <w:rPr>
          <w:rFonts w:hint="eastAsia" w:hAnsi="宋体" w:cs="宋体"/>
          <w:color w:val="000000"/>
          <w:szCs w:val="24"/>
          <w:lang w:val="zh-CN"/>
        </w:rPr>
        <w:t>污染物年排放情况见表</w:t>
      </w:r>
      <w:r>
        <w:rPr>
          <w:rFonts w:hint="eastAsia" w:hAnsi="宋体" w:cs="宋体"/>
          <w:color w:val="000000"/>
          <w:szCs w:val="24"/>
        </w:rPr>
        <w:t>3.1-3</w:t>
      </w:r>
      <w:r>
        <w:rPr>
          <w:rFonts w:hint="eastAsia" w:hAnsi="宋体" w:cs="宋体"/>
          <w:color w:val="000000"/>
          <w:szCs w:val="24"/>
          <w:lang w:val="zh-CN"/>
        </w:rPr>
        <w:t>。</w:t>
      </w:r>
    </w:p>
    <w:p w14:paraId="1CD7BCE4">
      <w:pPr>
        <w:tabs>
          <w:tab w:val="left" w:pos="2630"/>
        </w:tabs>
        <w:spacing w:line="259" w:lineRule="auto"/>
        <w:ind w:firstLine="526" w:firstLineChars="200"/>
        <w:rPr>
          <w:rFonts w:hint="eastAsia" w:ascii="黑体" w:hAnsi="黑体" w:eastAsia="黑体"/>
          <w:color w:val="000000"/>
          <w:szCs w:val="24"/>
        </w:rPr>
      </w:pPr>
      <w:r>
        <w:rPr>
          <w:rFonts w:ascii="黑体" w:hAnsi="黑体" w:eastAsia="黑体"/>
          <w:color w:val="000000"/>
          <w:szCs w:val="24"/>
        </w:rPr>
        <w:t>表</w:t>
      </w:r>
      <w:r>
        <w:rPr>
          <w:rFonts w:hint="eastAsia" w:ascii="黑体" w:hAnsi="黑体" w:eastAsia="黑体"/>
          <w:color w:val="000000"/>
          <w:szCs w:val="24"/>
        </w:rPr>
        <w:t>3.1</w:t>
      </w:r>
      <w:r>
        <w:rPr>
          <w:rFonts w:ascii="黑体" w:hAnsi="黑体" w:eastAsia="黑体"/>
          <w:color w:val="000000"/>
          <w:szCs w:val="24"/>
        </w:rPr>
        <w:t>-</w:t>
      </w:r>
      <w:r>
        <w:rPr>
          <w:rFonts w:hint="eastAsia" w:ascii="黑体" w:hAnsi="黑体" w:eastAsia="黑体"/>
          <w:color w:val="000000"/>
          <w:szCs w:val="24"/>
        </w:rPr>
        <w:t>3    塔中Ⅰ号气田Ⅲ区污染物排放情况一览表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344"/>
        <w:gridCol w:w="4051"/>
        <w:gridCol w:w="3615"/>
      </w:tblGrid>
      <w:tr w14:paraId="15EDB3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Align w:val="center"/>
          </w:tcPr>
          <w:p w14:paraId="0EFB03C7">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序号</w:t>
            </w:r>
          </w:p>
        </w:tc>
        <w:tc>
          <w:tcPr>
            <w:tcW w:w="2248" w:type="pct"/>
            <w:vAlign w:val="center"/>
          </w:tcPr>
          <w:p w14:paraId="2DEBDBC4">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污染物</w:t>
            </w:r>
          </w:p>
        </w:tc>
        <w:tc>
          <w:tcPr>
            <w:tcW w:w="2006" w:type="pct"/>
            <w:vAlign w:val="center"/>
          </w:tcPr>
          <w:p w14:paraId="0AFCB658">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排放量（t/a）</w:t>
            </w:r>
          </w:p>
        </w:tc>
      </w:tr>
      <w:tr w14:paraId="70D25A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restart"/>
            <w:vAlign w:val="center"/>
          </w:tcPr>
          <w:p w14:paraId="51F25183">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1</w:t>
            </w:r>
          </w:p>
        </w:tc>
        <w:tc>
          <w:tcPr>
            <w:tcW w:w="2248" w:type="pct"/>
            <w:vAlign w:val="center"/>
          </w:tcPr>
          <w:p w14:paraId="14BDC423">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SO</w:t>
            </w:r>
            <w:r>
              <w:rPr>
                <w:rFonts w:hint="eastAsia" w:hAnsi="宋体" w:cs="宋体"/>
                <w:color w:val="000000"/>
                <w:spacing w:val="-10"/>
                <w:sz w:val="21"/>
                <w:szCs w:val="21"/>
                <w:vertAlign w:val="subscript"/>
                <w:lang w:val="zh-CN" w:bidi="zh-CN"/>
              </w:rPr>
              <w:t>2</w:t>
            </w:r>
          </w:p>
        </w:tc>
        <w:tc>
          <w:tcPr>
            <w:tcW w:w="2006" w:type="pct"/>
            <w:vAlign w:val="center"/>
          </w:tcPr>
          <w:p w14:paraId="165E7C4A">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11.58</w:t>
            </w:r>
          </w:p>
        </w:tc>
      </w:tr>
      <w:tr w14:paraId="2D587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continue"/>
            <w:vAlign w:val="center"/>
          </w:tcPr>
          <w:p w14:paraId="4D859AC6">
            <w:pPr>
              <w:spacing w:line="0" w:lineRule="atLeast"/>
              <w:jc w:val="center"/>
              <w:rPr>
                <w:rFonts w:hint="eastAsia" w:hAnsi="宋体" w:cs="宋体"/>
                <w:color w:val="000000"/>
                <w:spacing w:val="-10"/>
                <w:sz w:val="21"/>
                <w:szCs w:val="21"/>
              </w:rPr>
            </w:pPr>
          </w:p>
        </w:tc>
        <w:tc>
          <w:tcPr>
            <w:tcW w:w="2248" w:type="pct"/>
            <w:vAlign w:val="center"/>
          </w:tcPr>
          <w:p w14:paraId="526E109A">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NO</w:t>
            </w:r>
            <w:r>
              <w:rPr>
                <w:rFonts w:hint="eastAsia" w:hAnsi="宋体" w:cs="宋体"/>
                <w:color w:val="000000"/>
                <w:spacing w:val="-10"/>
                <w:sz w:val="21"/>
                <w:szCs w:val="21"/>
                <w:vertAlign w:val="subscript"/>
                <w:lang w:val="zh-CN" w:bidi="zh-CN"/>
              </w:rPr>
              <w:t>X</w:t>
            </w:r>
          </w:p>
        </w:tc>
        <w:tc>
          <w:tcPr>
            <w:tcW w:w="2006" w:type="pct"/>
            <w:vAlign w:val="center"/>
          </w:tcPr>
          <w:p w14:paraId="1D24D533">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142.06</w:t>
            </w:r>
          </w:p>
        </w:tc>
      </w:tr>
      <w:tr w14:paraId="7159F1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continue"/>
            <w:vAlign w:val="center"/>
          </w:tcPr>
          <w:p w14:paraId="22C24895">
            <w:pPr>
              <w:spacing w:line="0" w:lineRule="atLeast"/>
              <w:jc w:val="center"/>
              <w:rPr>
                <w:rFonts w:hint="eastAsia" w:hAnsi="宋体" w:cs="宋体"/>
                <w:color w:val="000000"/>
                <w:spacing w:val="-10"/>
                <w:sz w:val="21"/>
                <w:szCs w:val="21"/>
              </w:rPr>
            </w:pPr>
          </w:p>
        </w:tc>
        <w:tc>
          <w:tcPr>
            <w:tcW w:w="2248" w:type="pct"/>
            <w:vAlign w:val="center"/>
          </w:tcPr>
          <w:p w14:paraId="0B52139C">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颗粒物</w:t>
            </w:r>
          </w:p>
        </w:tc>
        <w:tc>
          <w:tcPr>
            <w:tcW w:w="2006" w:type="pct"/>
            <w:vAlign w:val="center"/>
          </w:tcPr>
          <w:p w14:paraId="38DED29E">
            <w:pPr>
              <w:spacing w:line="0" w:lineRule="atLeast"/>
              <w:jc w:val="center"/>
              <w:textAlignment w:val="center"/>
              <w:rPr>
                <w:rFonts w:hint="eastAsia" w:hAnsi="宋体"/>
                <w:color w:val="000000"/>
                <w:spacing w:val="-10"/>
                <w:sz w:val="21"/>
                <w:szCs w:val="21"/>
              </w:rPr>
            </w:pPr>
            <w:r>
              <w:rPr>
                <w:rFonts w:hint="eastAsia" w:hAnsi="宋体"/>
                <w:color w:val="000000"/>
                <w:spacing w:val="-10"/>
                <w:sz w:val="21"/>
                <w:szCs w:val="21"/>
              </w:rPr>
              <w:t>23.96</w:t>
            </w:r>
          </w:p>
        </w:tc>
      </w:tr>
    </w:tbl>
    <w:p w14:paraId="1AAEAC97">
      <w:pPr>
        <w:tabs>
          <w:tab w:val="left" w:pos="2630"/>
        </w:tabs>
        <w:spacing w:line="259" w:lineRule="auto"/>
        <w:ind w:firstLine="526" w:firstLineChars="200"/>
        <w:rPr>
          <w:rFonts w:hint="eastAsia" w:ascii="黑体" w:hAnsi="黑体" w:eastAsia="黑体"/>
          <w:color w:val="000000"/>
          <w:szCs w:val="24"/>
        </w:rPr>
      </w:pPr>
      <w:r>
        <w:br w:type="page"/>
      </w:r>
      <w:r>
        <w:rPr>
          <w:rFonts w:hint="eastAsia" w:ascii="黑体" w:hAnsi="黑体" w:eastAsia="黑体"/>
        </w:rPr>
        <w:t>续</w:t>
      </w:r>
      <w:r>
        <w:rPr>
          <w:rFonts w:ascii="黑体" w:hAnsi="黑体" w:eastAsia="黑体"/>
          <w:color w:val="000000"/>
          <w:szCs w:val="24"/>
        </w:rPr>
        <w:t>表</w:t>
      </w:r>
      <w:r>
        <w:rPr>
          <w:rFonts w:hint="eastAsia" w:ascii="黑体" w:hAnsi="黑体" w:eastAsia="黑体"/>
          <w:color w:val="000000"/>
          <w:szCs w:val="24"/>
        </w:rPr>
        <w:t>3.1</w:t>
      </w:r>
      <w:r>
        <w:rPr>
          <w:rFonts w:ascii="黑体" w:hAnsi="黑体" w:eastAsia="黑体"/>
          <w:color w:val="000000"/>
          <w:szCs w:val="24"/>
        </w:rPr>
        <w:t>-</w:t>
      </w:r>
      <w:r>
        <w:rPr>
          <w:rFonts w:hint="eastAsia" w:ascii="黑体" w:hAnsi="黑体" w:eastAsia="黑体"/>
          <w:color w:val="000000"/>
          <w:szCs w:val="24"/>
        </w:rPr>
        <w:t>3    塔中Ⅰ号气田Ⅲ区污染物排放情况一览表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344"/>
        <w:gridCol w:w="4051"/>
        <w:gridCol w:w="3615"/>
      </w:tblGrid>
      <w:tr w14:paraId="108AA5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Align w:val="center"/>
          </w:tcPr>
          <w:p w14:paraId="74905B1A">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序号</w:t>
            </w:r>
          </w:p>
        </w:tc>
        <w:tc>
          <w:tcPr>
            <w:tcW w:w="2247" w:type="pct"/>
            <w:vAlign w:val="center"/>
          </w:tcPr>
          <w:p w14:paraId="2A51D5E2">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污染物</w:t>
            </w:r>
          </w:p>
        </w:tc>
        <w:tc>
          <w:tcPr>
            <w:tcW w:w="2007" w:type="pct"/>
            <w:vAlign w:val="center"/>
          </w:tcPr>
          <w:p w14:paraId="705DF600">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排放量（t/a）</w:t>
            </w:r>
          </w:p>
        </w:tc>
      </w:tr>
      <w:tr w14:paraId="2C398C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restart"/>
            <w:vAlign w:val="center"/>
          </w:tcPr>
          <w:p w14:paraId="52A103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2248" w:type="pct"/>
            <w:vAlign w:val="center"/>
          </w:tcPr>
          <w:p w14:paraId="26926396">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非甲烷总烃</w:t>
            </w:r>
          </w:p>
        </w:tc>
        <w:tc>
          <w:tcPr>
            <w:tcW w:w="2006" w:type="pct"/>
            <w:vAlign w:val="center"/>
          </w:tcPr>
          <w:p w14:paraId="2A8FF644">
            <w:pPr>
              <w:spacing w:line="0" w:lineRule="atLeast"/>
              <w:jc w:val="center"/>
              <w:textAlignment w:val="center"/>
              <w:rPr>
                <w:rFonts w:hAnsi="宋体"/>
                <w:color w:val="000000"/>
                <w:spacing w:val="-10"/>
                <w:sz w:val="21"/>
                <w:szCs w:val="21"/>
              </w:rPr>
            </w:pPr>
            <w:r>
              <w:rPr>
                <w:rFonts w:hint="eastAsia" w:hAnsi="宋体"/>
                <w:color w:val="000000"/>
                <w:spacing w:val="-10"/>
                <w:sz w:val="21"/>
                <w:szCs w:val="21"/>
              </w:rPr>
              <w:t>99.46</w:t>
            </w:r>
          </w:p>
        </w:tc>
      </w:tr>
      <w:tr w14:paraId="392304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continue"/>
            <w:vAlign w:val="center"/>
          </w:tcPr>
          <w:p w14:paraId="759F14D0">
            <w:pPr>
              <w:spacing w:line="0" w:lineRule="atLeast"/>
              <w:jc w:val="center"/>
              <w:rPr>
                <w:rFonts w:hint="eastAsia" w:hAnsi="宋体" w:cs="宋体"/>
                <w:color w:val="000000"/>
                <w:spacing w:val="-10"/>
                <w:sz w:val="21"/>
                <w:szCs w:val="21"/>
              </w:rPr>
            </w:pPr>
          </w:p>
        </w:tc>
        <w:tc>
          <w:tcPr>
            <w:tcW w:w="2248" w:type="pct"/>
            <w:vAlign w:val="center"/>
          </w:tcPr>
          <w:p w14:paraId="2F39560F">
            <w:pPr>
              <w:spacing w:line="0" w:lineRule="atLeast"/>
              <w:jc w:val="center"/>
              <w:rPr>
                <w:rFonts w:hAnsi="宋体" w:cs="宋体"/>
                <w:color w:val="000000"/>
                <w:spacing w:val="-10"/>
                <w:sz w:val="21"/>
                <w:szCs w:val="21"/>
                <w:lang w:bidi="zh-CN"/>
              </w:rPr>
            </w:pPr>
            <w:r>
              <w:rPr>
                <w:rFonts w:hint="eastAsia" w:hAnsi="宋体" w:cs="宋体"/>
                <w:color w:val="000000"/>
                <w:spacing w:val="-10"/>
                <w:sz w:val="21"/>
                <w:szCs w:val="21"/>
                <w:lang w:bidi="zh-CN"/>
              </w:rPr>
              <w:t>H</w:t>
            </w:r>
            <w:r>
              <w:rPr>
                <w:rFonts w:hint="eastAsia" w:hAnsi="宋体" w:cs="宋体"/>
                <w:color w:val="000000"/>
                <w:spacing w:val="-10"/>
                <w:sz w:val="21"/>
                <w:szCs w:val="21"/>
                <w:vertAlign w:val="subscript"/>
                <w:lang w:bidi="zh-CN"/>
              </w:rPr>
              <w:t>2</w:t>
            </w:r>
            <w:r>
              <w:rPr>
                <w:rFonts w:hint="eastAsia" w:hAnsi="宋体" w:cs="宋体"/>
                <w:color w:val="000000"/>
                <w:spacing w:val="-10"/>
                <w:sz w:val="21"/>
                <w:szCs w:val="21"/>
                <w:lang w:bidi="zh-CN"/>
              </w:rPr>
              <w:t>S</w:t>
            </w:r>
          </w:p>
        </w:tc>
        <w:tc>
          <w:tcPr>
            <w:tcW w:w="2006" w:type="pct"/>
            <w:vAlign w:val="center"/>
          </w:tcPr>
          <w:p w14:paraId="555B6E06">
            <w:pPr>
              <w:spacing w:line="0" w:lineRule="atLeast"/>
              <w:jc w:val="center"/>
              <w:textAlignment w:val="center"/>
              <w:rPr>
                <w:rFonts w:hAnsi="宋体"/>
                <w:color w:val="000000"/>
                <w:spacing w:val="-10"/>
                <w:sz w:val="21"/>
                <w:szCs w:val="21"/>
              </w:rPr>
            </w:pPr>
            <w:r>
              <w:rPr>
                <w:rFonts w:hint="eastAsia" w:hAnsi="宋体"/>
                <w:color w:val="000000"/>
                <w:spacing w:val="-10"/>
                <w:sz w:val="21"/>
                <w:szCs w:val="21"/>
              </w:rPr>
              <w:t>1.15</w:t>
            </w:r>
          </w:p>
        </w:tc>
      </w:tr>
      <w:tr w14:paraId="153ED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restart"/>
            <w:vAlign w:val="center"/>
          </w:tcPr>
          <w:p w14:paraId="21F7DD8C">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2</w:t>
            </w:r>
          </w:p>
        </w:tc>
        <w:tc>
          <w:tcPr>
            <w:tcW w:w="2248" w:type="pct"/>
            <w:vAlign w:val="center"/>
          </w:tcPr>
          <w:p w14:paraId="78C97CC6">
            <w:pPr>
              <w:spacing w:line="0" w:lineRule="atLeast"/>
              <w:jc w:val="center"/>
              <w:rPr>
                <w:rFonts w:hint="eastAsia" w:hAnsi="宋体" w:cs="宋体"/>
                <w:color w:val="000000"/>
                <w:spacing w:val="-10"/>
                <w:sz w:val="21"/>
                <w:szCs w:val="21"/>
                <w:lang w:bidi="zh-CN"/>
              </w:rPr>
            </w:pPr>
            <w:r>
              <w:rPr>
                <w:rFonts w:hint="eastAsia" w:hAnsi="宋体" w:cs="宋体"/>
                <w:color w:val="000000"/>
                <w:spacing w:val="-10"/>
                <w:sz w:val="21"/>
                <w:szCs w:val="21"/>
                <w:lang w:val="zh-CN" w:bidi="zh-CN"/>
              </w:rPr>
              <w:t>COD</w:t>
            </w:r>
          </w:p>
        </w:tc>
        <w:tc>
          <w:tcPr>
            <w:tcW w:w="2006" w:type="pct"/>
            <w:vAlign w:val="center"/>
          </w:tcPr>
          <w:p w14:paraId="5CA3EB37">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0</w:t>
            </w:r>
          </w:p>
        </w:tc>
      </w:tr>
      <w:tr w14:paraId="6B9CD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Merge w:val="continue"/>
            <w:vAlign w:val="center"/>
          </w:tcPr>
          <w:p w14:paraId="624FA13F">
            <w:pPr>
              <w:spacing w:line="0" w:lineRule="atLeast"/>
              <w:jc w:val="center"/>
              <w:rPr>
                <w:rFonts w:hint="eastAsia" w:hAnsi="宋体" w:cs="宋体"/>
                <w:color w:val="000000"/>
                <w:spacing w:val="-10"/>
                <w:sz w:val="21"/>
                <w:szCs w:val="21"/>
              </w:rPr>
            </w:pPr>
          </w:p>
        </w:tc>
        <w:tc>
          <w:tcPr>
            <w:tcW w:w="2248" w:type="pct"/>
            <w:vAlign w:val="center"/>
          </w:tcPr>
          <w:p w14:paraId="09DF23E5">
            <w:pPr>
              <w:spacing w:line="0" w:lineRule="atLeast"/>
              <w:jc w:val="center"/>
              <w:rPr>
                <w:rFonts w:hint="eastAsia" w:hAnsi="宋体" w:cs="宋体"/>
                <w:color w:val="000000"/>
                <w:spacing w:val="-10"/>
                <w:sz w:val="21"/>
                <w:szCs w:val="21"/>
                <w:lang w:bidi="zh-CN"/>
              </w:rPr>
            </w:pPr>
            <w:r>
              <w:rPr>
                <w:rFonts w:hint="eastAsia" w:hAnsi="宋体" w:cs="宋体"/>
                <w:color w:val="000000"/>
                <w:spacing w:val="-10"/>
                <w:sz w:val="21"/>
                <w:szCs w:val="21"/>
                <w:lang w:val="zh-CN" w:bidi="zh-CN"/>
              </w:rPr>
              <w:t>氨氮</w:t>
            </w:r>
          </w:p>
        </w:tc>
        <w:tc>
          <w:tcPr>
            <w:tcW w:w="2006" w:type="pct"/>
            <w:vAlign w:val="center"/>
          </w:tcPr>
          <w:p w14:paraId="41F3ECB6">
            <w:pPr>
              <w:spacing w:line="0" w:lineRule="atLeast"/>
              <w:jc w:val="center"/>
              <w:rPr>
                <w:rFonts w:hint="eastAsia" w:hAnsi="宋体" w:cs="宋体"/>
                <w:color w:val="000000"/>
                <w:spacing w:val="-10"/>
                <w:sz w:val="21"/>
                <w:szCs w:val="21"/>
                <w:lang w:val="zh-CN" w:bidi="zh-CN"/>
              </w:rPr>
            </w:pPr>
            <w:r>
              <w:rPr>
                <w:rFonts w:hint="eastAsia" w:hAnsi="宋体" w:cs="宋体"/>
                <w:color w:val="000000"/>
                <w:spacing w:val="-10"/>
                <w:sz w:val="21"/>
                <w:szCs w:val="21"/>
                <w:lang w:val="zh-CN" w:bidi="zh-CN"/>
              </w:rPr>
              <w:t>0</w:t>
            </w:r>
          </w:p>
        </w:tc>
      </w:tr>
      <w:tr w14:paraId="1A7C7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6" w:type="pct"/>
            <w:vAlign w:val="center"/>
          </w:tcPr>
          <w:p w14:paraId="64E9C3A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2248" w:type="pct"/>
            <w:vAlign w:val="center"/>
          </w:tcPr>
          <w:p w14:paraId="742EF291">
            <w:pPr>
              <w:spacing w:line="0" w:lineRule="atLeast"/>
              <w:jc w:val="center"/>
              <w:rPr>
                <w:rFonts w:hint="eastAsia" w:hAnsi="宋体" w:cs="宋体"/>
                <w:color w:val="000000"/>
                <w:spacing w:val="-10"/>
                <w:sz w:val="21"/>
                <w:szCs w:val="21"/>
                <w:lang w:bidi="zh-CN"/>
              </w:rPr>
            </w:pPr>
            <w:r>
              <w:rPr>
                <w:rFonts w:hint="eastAsia" w:hAnsi="宋体" w:cs="宋体"/>
                <w:color w:val="000000"/>
                <w:spacing w:val="-10"/>
                <w:sz w:val="21"/>
                <w:szCs w:val="21"/>
                <w:lang w:bidi="zh-CN"/>
              </w:rPr>
              <w:t>固体废物</w:t>
            </w:r>
          </w:p>
        </w:tc>
        <w:tc>
          <w:tcPr>
            <w:tcW w:w="2006" w:type="pct"/>
            <w:vAlign w:val="center"/>
          </w:tcPr>
          <w:p w14:paraId="1E9E5BFA">
            <w:pPr>
              <w:spacing w:line="0" w:lineRule="atLeast"/>
              <w:jc w:val="center"/>
              <w:rPr>
                <w:rFonts w:hint="eastAsia" w:hAnsi="宋体" w:cs="宋体"/>
                <w:color w:val="000000"/>
                <w:spacing w:val="-10"/>
                <w:sz w:val="21"/>
                <w:szCs w:val="21"/>
                <w:lang w:bidi="zh-CN"/>
              </w:rPr>
            </w:pPr>
            <w:r>
              <w:rPr>
                <w:rFonts w:hint="eastAsia" w:hAnsi="宋体" w:cs="宋体"/>
                <w:color w:val="000000"/>
                <w:spacing w:val="-10"/>
                <w:sz w:val="21"/>
                <w:szCs w:val="21"/>
                <w:lang w:bidi="zh-CN"/>
              </w:rPr>
              <w:t>0</w:t>
            </w:r>
          </w:p>
        </w:tc>
      </w:tr>
    </w:tbl>
    <w:p w14:paraId="225E280F">
      <w:pPr>
        <w:adjustRightInd w:val="0"/>
        <w:spacing w:before="240" w:line="245" w:lineRule="auto"/>
        <w:outlineLvl w:val="2"/>
        <w:rPr>
          <w:rFonts w:hint="eastAsia" w:hAnsi="宋体" w:cs="宋体"/>
          <w:color w:val="000000"/>
          <w:szCs w:val="24"/>
        </w:rPr>
      </w:pPr>
      <w:r>
        <w:rPr>
          <w:rFonts w:hint="eastAsia" w:hAnsi="宋体" w:cs="宋体"/>
          <w:color w:val="000000"/>
          <w:szCs w:val="24"/>
        </w:rPr>
        <w:t>3.1.5 存在环保问题及整改措施</w:t>
      </w:r>
    </w:p>
    <w:p w14:paraId="1DAAED33">
      <w:pPr>
        <w:topLinePunct/>
        <w:autoSpaceDE w:val="0"/>
        <w:spacing w:line="245" w:lineRule="auto"/>
        <w:ind w:firstLine="526" w:firstLineChars="200"/>
        <w:textAlignment w:val="baseline"/>
        <w:rPr>
          <w:rFonts w:hint="eastAsia" w:hAnsi="宋体" w:cs="宋体"/>
          <w:color w:val="000000"/>
          <w:kern w:val="21"/>
          <w:szCs w:val="24"/>
        </w:rPr>
      </w:pPr>
      <w:r>
        <w:rPr>
          <w:rFonts w:hint="eastAsia" w:hAnsi="宋体" w:cs="宋体"/>
          <w:color w:val="000000"/>
          <w:kern w:val="21"/>
          <w:szCs w:val="24"/>
        </w:rPr>
        <w:t>根据评价期间及现状调查结果以及现行法律法规文件要求，塔中Ⅰ号气田Ⅲ区内现有完钻井井场已进行了平整，井口周边区域进行了硬化，井区的巡检道路采用砂石路面，井场规范。具体存在的问题如下：</w:t>
      </w:r>
    </w:p>
    <w:p w14:paraId="0856ADC7">
      <w:pPr>
        <w:spacing w:line="245" w:lineRule="auto"/>
        <w:ind w:firstLine="520"/>
        <w:rPr>
          <w:rFonts w:hint="eastAsia"/>
          <w:color w:val="000000"/>
          <w:szCs w:val="24"/>
        </w:rPr>
      </w:pPr>
      <w:r>
        <w:rPr>
          <w:rFonts w:hint="eastAsia"/>
          <w:color w:val="000000"/>
          <w:szCs w:val="24"/>
        </w:rPr>
        <w:t>（1）道路沿线草方格出现破损的情况；</w:t>
      </w:r>
    </w:p>
    <w:p w14:paraId="7FBDEEF6">
      <w:pPr>
        <w:spacing w:line="245" w:lineRule="auto"/>
        <w:ind w:firstLine="520"/>
        <w:rPr>
          <w:rFonts w:hint="eastAsia"/>
          <w:color w:val="000000"/>
          <w:szCs w:val="24"/>
        </w:rPr>
      </w:pPr>
      <w:r>
        <w:rPr>
          <w:rFonts w:hint="eastAsia"/>
          <w:color w:val="000000"/>
          <w:szCs w:val="24"/>
        </w:rPr>
        <w:t>（2）部分</w:t>
      </w:r>
      <w:r>
        <w:rPr>
          <w:rFonts w:hint="eastAsia" w:hAnsi="Cambria"/>
          <w:color w:val="000000"/>
          <w:szCs w:val="24"/>
        </w:rPr>
        <w:t>井场遗留已停止使用的设备。</w:t>
      </w:r>
    </w:p>
    <w:p w14:paraId="7228B8D5">
      <w:pPr>
        <w:topLinePunct/>
        <w:autoSpaceDE w:val="0"/>
        <w:adjustRightInd w:val="0"/>
        <w:spacing w:line="245" w:lineRule="auto"/>
        <w:ind w:firstLine="526" w:firstLineChars="200"/>
        <w:textAlignment w:val="baseline"/>
        <w:rPr>
          <w:rFonts w:hint="eastAsia" w:hAnsi="宋体" w:cs="宋体"/>
          <w:color w:val="000000"/>
          <w:kern w:val="21"/>
          <w:szCs w:val="24"/>
        </w:rPr>
      </w:pPr>
      <w:r>
        <w:rPr>
          <w:rFonts w:hint="eastAsia" w:hAnsi="宋体" w:cs="宋体"/>
          <w:b/>
          <w:bCs/>
          <w:color w:val="000000"/>
          <w:kern w:val="21"/>
          <w:szCs w:val="24"/>
        </w:rPr>
        <w:t>整改方案</w:t>
      </w:r>
      <w:r>
        <w:rPr>
          <w:rFonts w:hint="eastAsia" w:hAnsi="宋体" w:cs="宋体"/>
          <w:color w:val="000000"/>
          <w:kern w:val="21"/>
          <w:szCs w:val="24"/>
        </w:rPr>
        <w:t>：</w:t>
      </w:r>
    </w:p>
    <w:p w14:paraId="56B3E6B6">
      <w:pPr>
        <w:topLinePunct/>
        <w:autoSpaceDE w:val="0"/>
        <w:adjustRightInd w:val="0"/>
        <w:spacing w:line="245" w:lineRule="auto"/>
        <w:ind w:firstLine="526" w:firstLineChars="200"/>
        <w:textAlignment w:val="baseline"/>
        <w:rPr>
          <w:rFonts w:hint="eastAsia" w:hAnsi="宋体" w:cs="宋体"/>
          <w:color w:val="000000"/>
          <w:szCs w:val="24"/>
        </w:rPr>
      </w:pPr>
      <w:r>
        <w:rPr>
          <w:rFonts w:hint="eastAsia" w:hAnsi="宋体" w:cs="宋体"/>
          <w:color w:val="000000"/>
          <w:szCs w:val="24"/>
        </w:rPr>
        <w:t>目前存在的问题已纳入塔中采油气管理区2026年度整改计划中，已落实到具体的责任部门，并明确了资金来源，目前正在实施整改中。建议整改方案如下：</w:t>
      </w:r>
    </w:p>
    <w:p w14:paraId="4A01F81C">
      <w:pPr>
        <w:autoSpaceDE w:val="0"/>
        <w:adjustRightInd w:val="0"/>
        <w:spacing w:line="245" w:lineRule="auto"/>
        <w:ind w:firstLine="526" w:firstLineChars="200"/>
        <w:textAlignment w:val="baseline"/>
        <w:rPr>
          <w:rFonts w:hint="eastAsia" w:hAnsi="宋体" w:cs="宋体"/>
          <w:color w:val="000000"/>
          <w:szCs w:val="24"/>
        </w:rPr>
      </w:pPr>
      <w:r>
        <w:rPr>
          <w:rFonts w:hint="eastAsia"/>
          <w:color w:val="000000"/>
          <w:kern w:val="21"/>
          <w:szCs w:val="24"/>
        </w:rPr>
        <w:t>（1）</w:t>
      </w:r>
      <w:r>
        <w:rPr>
          <w:rFonts w:hint="eastAsia" w:hAnsi="宋体" w:cs="宋体"/>
          <w:color w:val="000000"/>
          <w:kern w:val="21"/>
          <w:szCs w:val="24"/>
        </w:rPr>
        <w:t>定期对</w:t>
      </w:r>
      <w:r>
        <w:rPr>
          <w:rFonts w:hint="eastAsia"/>
          <w:color w:val="000000"/>
          <w:kern w:val="21"/>
          <w:szCs w:val="24"/>
        </w:rPr>
        <w:t>道路沿线</w:t>
      </w:r>
      <w:r>
        <w:rPr>
          <w:rFonts w:hint="eastAsia" w:hAnsi="宋体" w:cs="宋体"/>
          <w:color w:val="000000"/>
          <w:kern w:val="21"/>
          <w:szCs w:val="24"/>
        </w:rPr>
        <w:t>草方格、沙障进行维护</w:t>
      </w:r>
      <w:r>
        <w:rPr>
          <w:rFonts w:hint="eastAsia" w:hAnsi="宋体" w:cs="宋体"/>
          <w:color w:val="000000"/>
          <w:szCs w:val="24"/>
        </w:rPr>
        <w:t>；</w:t>
      </w:r>
    </w:p>
    <w:p w14:paraId="73B44168">
      <w:pPr>
        <w:spacing w:line="245" w:lineRule="auto"/>
        <w:ind w:firstLine="526" w:firstLineChars="200"/>
        <w:rPr>
          <w:rFonts w:hint="eastAsia"/>
          <w:color w:val="000000"/>
          <w:sz w:val="25"/>
        </w:rPr>
      </w:pPr>
      <w:r>
        <w:rPr>
          <w:rFonts w:hint="eastAsia" w:hAnsi="宋体" w:cs="宋体"/>
          <w:color w:val="000000"/>
          <w:szCs w:val="24"/>
        </w:rPr>
        <w:t>（2）对井场</w:t>
      </w:r>
      <w:r>
        <w:rPr>
          <w:rFonts w:hint="eastAsia" w:hAnsi="Cambria"/>
          <w:color w:val="000000"/>
          <w:szCs w:val="24"/>
        </w:rPr>
        <w:t>已停止使用的设备进行收集，拉运至区域站场重复利用，或交由相关厂家回收处置</w:t>
      </w:r>
      <w:r>
        <w:rPr>
          <w:rFonts w:hint="eastAsia" w:hAnsi="宋体" w:cs="宋体"/>
          <w:color w:val="000000"/>
          <w:szCs w:val="24"/>
        </w:rPr>
        <w:t>。</w:t>
      </w:r>
    </w:p>
    <w:p w14:paraId="653F6A37">
      <w:pPr>
        <w:tabs>
          <w:tab w:val="left" w:pos="700"/>
        </w:tabs>
        <w:adjustRightInd w:val="0"/>
        <w:outlineLvl w:val="1"/>
        <w:rPr>
          <w:rFonts w:hint="eastAsia" w:hAnsi="宋体" w:cs="宋体"/>
          <w:color w:val="000000"/>
          <w:szCs w:val="24"/>
        </w:rPr>
      </w:pPr>
      <w:bookmarkStart w:id="107" w:name="_Toc18021"/>
      <w:bookmarkStart w:id="108" w:name="_Toc230178785"/>
      <w:bookmarkStart w:id="109" w:name="_Toc225771631"/>
      <w:bookmarkStart w:id="110" w:name="_Toc152140053"/>
      <w:r>
        <w:rPr>
          <w:rFonts w:hint="eastAsia" w:hAnsi="宋体" w:cs="宋体"/>
          <w:color w:val="000000"/>
          <w:szCs w:val="24"/>
        </w:rPr>
        <w:t>3.2 现有工程</w:t>
      </w:r>
      <w:bookmarkEnd w:id="107"/>
      <w:bookmarkEnd w:id="108"/>
      <w:bookmarkEnd w:id="109"/>
      <w:bookmarkEnd w:id="110"/>
    </w:p>
    <w:p w14:paraId="365DC27E">
      <w:pPr>
        <w:adjustRightInd w:val="0"/>
        <w:outlineLvl w:val="2"/>
        <w:rPr>
          <w:rFonts w:hint="eastAsia" w:hAnsi="宋体" w:cs="宋体"/>
          <w:color w:val="000000"/>
          <w:szCs w:val="24"/>
        </w:rPr>
      </w:pPr>
      <w:r>
        <w:rPr>
          <w:rFonts w:hint="eastAsia" w:hAnsi="宋体" w:cs="宋体"/>
          <w:color w:val="000000"/>
          <w:szCs w:val="24"/>
        </w:rPr>
        <w:t>3.2.1 现有工程概况</w:t>
      </w:r>
    </w:p>
    <w:p w14:paraId="41764518">
      <w:pPr>
        <w:ind w:firstLine="482" w:firstLineChars="200"/>
        <w:textAlignment w:val="baseline"/>
        <w:rPr>
          <w:rFonts w:hint="eastAsia" w:hAnsi="宋体" w:cs="宋体"/>
          <w:color w:val="000000"/>
          <w:spacing w:val="-6"/>
          <w:szCs w:val="24"/>
        </w:rPr>
      </w:pPr>
      <w:r>
        <w:rPr>
          <w:rFonts w:hint="eastAsia" w:hAnsi="宋体" w:cs="宋体"/>
          <w:color w:val="000000"/>
          <w:spacing w:val="-6"/>
          <w:szCs w:val="24"/>
        </w:rPr>
        <w:t>(1)基本情况</w:t>
      </w:r>
    </w:p>
    <w:p w14:paraId="4FFFDE60">
      <w:pPr>
        <w:widowControl/>
        <w:ind w:firstLine="526" w:firstLineChars="200"/>
        <w:jc w:val="left"/>
        <w:rPr>
          <w:rFonts w:hint="eastAsia" w:hAnsi="宋体" w:cs="宋体"/>
          <w:color w:val="000000"/>
          <w:szCs w:val="24"/>
        </w:rPr>
      </w:pPr>
      <w:r>
        <w:rPr>
          <w:rFonts w:hint="eastAsia" w:hAnsi="宋体" w:cs="宋体"/>
          <w:color w:val="000000"/>
          <w:kern w:val="0"/>
          <w:szCs w:val="24"/>
          <w:lang w:bidi="ar"/>
        </w:rPr>
        <w:t>ZG431-H4至5#集DN150外输管线，管线规格：Φ168.3×8.8mm，管线材质：L245NCS，设计压力：10MPa，运行压力1.5MPa～4MPa，运行温度：40℃～50℃，投用时间：2014年1月投用。</w:t>
      </w:r>
    </w:p>
    <w:p w14:paraId="463B4E9F">
      <w:pPr>
        <w:pStyle w:val="12"/>
        <w:spacing w:after="0"/>
        <w:rPr>
          <w:rFonts w:hint="eastAsia" w:hAnsi="宋体" w:eastAsia="宋体" w:cs="宋体"/>
          <w:bCs/>
          <w:color w:val="000000"/>
          <w:sz w:val="24"/>
          <w:szCs w:val="24"/>
        </w:rPr>
      </w:pPr>
      <w:r>
        <w:rPr>
          <w:rFonts w:hint="eastAsia" w:hAnsi="宋体" w:eastAsia="宋体" w:cs="宋体"/>
          <w:bCs/>
          <w:color w:val="000000"/>
          <w:sz w:val="24"/>
          <w:szCs w:val="24"/>
        </w:rPr>
        <w:t>(2)运行工艺</w:t>
      </w:r>
    </w:p>
    <w:p w14:paraId="555C4283">
      <w:pPr>
        <w:pStyle w:val="12"/>
        <w:spacing w:after="0"/>
        <w:rPr>
          <w:rFonts w:hint="eastAsia" w:hAnsi="宋体" w:eastAsia="宋体" w:cs="宋体"/>
          <w:bCs/>
          <w:color w:val="000000"/>
          <w:sz w:val="24"/>
          <w:szCs w:val="24"/>
        </w:rPr>
      </w:pPr>
      <w:r>
        <w:rPr>
          <w:rFonts w:hint="eastAsia" w:hAnsi="宋体" w:eastAsia="宋体" w:cs="宋体"/>
          <w:bCs/>
          <w:color w:val="000000"/>
          <w:sz w:val="24"/>
          <w:szCs w:val="24"/>
        </w:rPr>
        <w:t>拟建工程现有管线敷设方式主要为埋地敷设；管线主要承担周边井场至5#集的集输任务，各井场采出液经现有管线输送至5#集。拟建工程实施后，可消除现有管线安全环保风险隐患，保证区域开采需求；拟建工程的实施不会引起现有井场、站场排污量的变化。</w:t>
      </w:r>
    </w:p>
    <w:p w14:paraId="01258DD7">
      <w:pPr>
        <w:adjustRightInd w:val="0"/>
        <w:outlineLvl w:val="2"/>
        <w:rPr>
          <w:rFonts w:hAnsi="宋体" w:cs="宋体"/>
          <w:color w:val="000000"/>
        </w:rPr>
      </w:pPr>
      <w:r>
        <w:rPr>
          <w:rFonts w:hint="eastAsia" w:hAnsi="宋体" w:cs="宋体"/>
          <w:color w:val="000000"/>
        </w:rPr>
        <w:t>3.2.2 现有工程手续履行情况</w:t>
      </w:r>
    </w:p>
    <w:p w14:paraId="60E3B603">
      <w:pPr>
        <w:adjustRightInd w:val="0"/>
        <w:ind w:firstLine="526" w:firstLineChars="200"/>
        <w:rPr>
          <w:color w:val="000000"/>
        </w:rPr>
      </w:pPr>
      <w:r>
        <w:rPr>
          <w:rFonts w:hint="eastAsia"/>
          <w:color w:val="000000"/>
        </w:rPr>
        <w:t>现有工程环保手续执行情况见表3.2-1所示。</w:t>
      </w:r>
    </w:p>
    <w:p w14:paraId="0CF8B789">
      <w:pPr>
        <w:adjustRightInd w:val="0"/>
        <w:ind w:firstLine="526" w:firstLineChars="200"/>
        <w:rPr>
          <w:rFonts w:hint="eastAsia" w:ascii="黑体" w:hAnsi="黑体" w:eastAsia="黑体"/>
          <w:color w:val="000000"/>
        </w:rPr>
      </w:pPr>
      <w:r>
        <w:rPr>
          <w:rFonts w:hint="eastAsia"/>
          <w:color w:val="000000"/>
        </w:rPr>
        <w:t xml:space="preserve">表3.2-1      </w:t>
      </w:r>
      <w:r>
        <w:rPr>
          <w:rFonts w:hint="eastAsia" w:ascii="黑体" w:hAnsi="黑体" w:eastAsia="黑体"/>
          <w:color w:val="000000"/>
        </w:rPr>
        <w:t xml:space="preserve"> 环评及验收情况一览表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412"/>
        <w:gridCol w:w="1539"/>
        <w:gridCol w:w="1392"/>
        <w:gridCol w:w="1141"/>
        <w:gridCol w:w="1163"/>
        <w:gridCol w:w="1181"/>
        <w:gridCol w:w="1183"/>
      </w:tblGrid>
      <w:tr w14:paraId="099704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82" w:hRule="atLeast"/>
          <w:jc w:val="center"/>
        </w:trPr>
        <w:tc>
          <w:tcPr>
            <w:tcW w:w="784" w:type="pct"/>
            <w:vMerge w:val="restart"/>
            <w:vAlign w:val="center"/>
          </w:tcPr>
          <w:p w14:paraId="3DAAEA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建设项目</w:t>
            </w:r>
          </w:p>
          <w:p w14:paraId="67B5F4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2259" w:type="pct"/>
            <w:gridSpan w:val="3"/>
            <w:vAlign w:val="center"/>
          </w:tcPr>
          <w:p w14:paraId="6DD80F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环评文件</w:t>
            </w:r>
          </w:p>
        </w:tc>
        <w:tc>
          <w:tcPr>
            <w:tcW w:w="1956" w:type="pct"/>
            <w:gridSpan w:val="3"/>
            <w:vAlign w:val="center"/>
          </w:tcPr>
          <w:p w14:paraId="799DFE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验收文件</w:t>
            </w:r>
          </w:p>
        </w:tc>
      </w:tr>
      <w:tr w14:paraId="258A44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82" w:hRule="atLeast"/>
          <w:jc w:val="center"/>
        </w:trPr>
        <w:tc>
          <w:tcPr>
            <w:tcW w:w="784" w:type="pct"/>
            <w:vMerge w:val="continue"/>
            <w:vAlign w:val="center"/>
          </w:tcPr>
          <w:p w14:paraId="1B383FF2">
            <w:pPr>
              <w:spacing w:line="0" w:lineRule="atLeast"/>
              <w:jc w:val="center"/>
              <w:rPr>
                <w:rFonts w:hint="eastAsia" w:hAnsi="宋体" w:cs="宋体"/>
                <w:color w:val="000000"/>
                <w:spacing w:val="-10"/>
                <w:sz w:val="21"/>
                <w:szCs w:val="21"/>
              </w:rPr>
            </w:pPr>
          </w:p>
        </w:tc>
        <w:tc>
          <w:tcPr>
            <w:tcW w:w="854" w:type="pct"/>
            <w:vAlign w:val="center"/>
          </w:tcPr>
          <w:p w14:paraId="122DFE5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审批单位</w:t>
            </w:r>
          </w:p>
        </w:tc>
        <w:tc>
          <w:tcPr>
            <w:tcW w:w="772" w:type="pct"/>
            <w:vAlign w:val="center"/>
          </w:tcPr>
          <w:p w14:paraId="0B1116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批准文号</w:t>
            </w:r>
          </w:p>
        </w:tc>
        <w:tc>
          <w:tcPr>
            <w:tcW w:w="632" w:type="pct"/>
            <w:vAlign w:val="center"/>
          </w:tcPr>
          <w:p w14:paraId="5514433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批准时间</w:t>
            </w:r>
          </w:p>
        </w:tc>
        <w:tc>
          <w:tcPr>
            <w:tcW w:w="645" w:type="pct"/>
            <w:vAlign w:val="center"/>
          </w:tcPr>
          <w:p w14:paraId="5471EE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验收单位</w:t>
            </w:r>
          </w:p>
        </w:tc>
        <w:tc>
          <w:tcPr>
            <w:tcW w:w="655" w:type="pct"/>
            <w:vAlign w:val="center"/>
          </w:tcPr>
          <w:p w14:paraId="2D1A405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验收文号</w:t>
            </w:r>
          </w:p>
        </w:tc>
        <w:tc>
          <w:tcPr>
            <w:tcW w:w="655" w:type="pct"/>
            <w:vAlign w:val="center"/>
          </w:tcPr>
          <w:p w14:paraId="432246BF">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验收时间</w:t>
            </w:r>
          </w:p>
        </w:tc>
      </w:tr>
      <w:tr w14:paraId="61A702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93" w:hRule="atLeast"/>
          <w:jc w:val="center"/>
        </w:trPr>
        <w:tc>
          <w:tcPr>
            <w:tcW w:w="784" w:type="pct"/>
            <w:vAlign w:val="center"/>
          </w:tcPr>
          <w:p w14:paraId="31A2C527">
            <w:pPr>
              <w:spacing w:line="0" w:lineRule="atLeast"/>
              <w:jc w:val="center"/>
              <w:rPr>
                <w:rFonts w:hAnsi="宋体" w:cs="宋体"/>
                <w:color w:val="000000"/>
                <w:spacing w:val="-10"/>
                <w:sz w:val="21"/>
                <w:szCs w:val="21"/>
              </w:rPr>
            </w:pPr>
            <w:r>
              <w:rPr>
                <w:rFonts w:hint="eastAsia" w:hAnsi="宋体" w:cs="宋体"/>
                <w:color w:val="000000"/>
                <w:spacing w:val="0"/>
                <w:sz w:val="21"/>
                <w:szCs w:val="21"/>
              </w:rPr>
              <w:t>塔中Ⅰ号凝析气田中古8-中古43区块开发建设工程</w:t>
            </w:r>
          </w:p>
        </w:tc>
        <w:tc>
          <w:tcPr>
            <w:tcW w:w="854" w:type="pct"/>
            <w:vAlign w:val="center"/>
          </w:tcPr>
          <w:p w14:paraId="6DF46546">
            <w:pPr>
              <w:spacing w:line="0" w:lineRule="atLeast"/>
              <w:jc w:val="center"/>
              <w:rPr>
                <w:rFonts w:hAnsi="宋体" w:cs="宋体"/>
                <w:color w:val="000000"/>
                <w:spacing w:val="-10"/>
                <w:sz w:val="21"/>
                <w:szCs w:val="21"/>
              </w:rPr>
            </w:pPr>
            <w:r>
              <w:rPr>
                <w:rFonts w:hint="eastAsia" w:hAnsi="宋体" w:cs="宋体"/>
                <w:color w:val="000000"/>
                <w:spacing w:val="0"/>
                <w:sz w:val="21"/>
                <w:szCs w:val="21"/>
              </w:rPr>
              <w:t>新疆维吾尔自治区生态环境厅</w:t>
            </w:r>
          </w:p>
        </w:tc>
        <w:tc>
          <w:tcPr>
            <w:tcW w:w="772" w:type="pct"/>
            <w:vAlign w:val="center"/>
          </w:tcPr>
          <w:p w14:paraId="18C29A30">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新环评价函〔2013〕</w:t>
            </w:r>
          </w:p>
          <w:p w14:paraId="30190326">
            <w:pPr>
              <w:spacing w:line="0" w:lineRule="atLeast"/>
              <w:jc w:val="center"/>
              <w:rPr>
                <w:rFonts w:hAnsi="宋体" w:cs="宋体"/>
                <w:color w:val="000000"/>
                <w:spacing w:val="-10"/>
                <w:sz w:val="21"/>
                <w:szCs w:val="21"/>
              </w:rPr>
            </w:pPr>
            <w:r>
              <w:rPr>
                <w:rFonts w:hint="eastAsia" w:hAnsi="宋体" w:cs="宋体"/>
                <w:color w:val="000000"/>
                <w:spacing w:val="0"/>
                <w:sz w:val="21"/>
                <w:szCs w:val="21"/>
              </w:rPr>
              <w:t>712号</w:t>
            </w:r>
          </w:p>
        </w:tc>
        <w:tc>
          <w:tcPr>
            <w:tcW w:w="632" w:type="pct"/>
            <w:vAlign w:val="center"/>
          </w:tcPr>
          <w:p w14:paraId="1DAFC21C">
            <w:pPr>
              <w:spacing w:line="0" w:lineRule="atLeast"/>
              <w:jc w:val="center"/>
              <w:rPr>
                <w:rFonts w:hAnsi="宋体" w:cs="宋体"/>
                <w:color w:val="000000"/>
                <w:spacing w:val="-10"/>
                <w:sz w:val="21"/>
                <w:szCs w:val="21"/>
              </w:rPr>
            </w:pPr>
            <w:r>
              <w:rPr>
                <w:rFonts w:hint="eastAsia" w:hAnsi="宋体" w:cs="宋体"/>
                <w:color w:val="000000"/>
                <w:spacing w:val="0"/>
                <w:sz w:val="21"/>
                <w:szCs w:val="21"/>
              </w:rPr>
              <w:t>2013.8.13</w:t>
            </w:r>
          </w:p>
        </w:tc>
        <w:tc>
          <w:tcPr>
            <w:tcW w:w="645" w:type="pct"/>
            <w:vAlign w:val="center"/>
          </w:tcPr>
          <w:p w14:paraId="708673F3">
            <w:pPr>
              <w:spacing w:line="0" w:lineRule="atLeast"/>
              <w:jc w:val="center"/>
              <w:rPr>
                <w:rFonts w:hint="eastAsia" w:hAnsi="宋体" w:cs="宋体"/>
                <w:color w:val="000000"/>
                <w:spacing w:val="-10"/>
                <w:sz w:val="21"/>
                <w:szCs w:val="21"/>
              </w:rPr>
            </w:pPr>
            <w:r>
              <w:rPr>
                <w:rFonts w:hint="eastAsia" w:hAnsi="宋体" w:cs="宋体"/>
                <w:color w:val="000000"/>
                <w:spacing w:val="0"/>
                <w:sz w:val="21"/>
                <w:szCs w:val="21"/>
              </w:rPr>
              <w:t>新疆维吾尔自治区生态环境厅</w:t>
            </w:r>
          </w:p>
        </w:tc>
        <w:tc>
          <w:tcPr>
            <w:tcW w:w="655" w:type="pct"/>
            <w:vAlign w:val="center"/>
          </w:tcPr>
          <w:p w14:paraId="5C855D0A">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新环评价函〔2017〕1340号</w:t>
            </w:r>
          </w:p>
        </w:tc>
        <w:tc>
          <w:tcPr>
            <w:tcW w:w="655" w:type="pct"/>
            <w:vAlign w:val="center"/>
          </w:tcPr>
          <w:p w14:paraId="4F9FBABB">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2017.</w:t>
            </w:r>
          </w:p>
          <w:p w14:paraId="03DA2808">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8.27</w:t>
            </w:r>
          </w:p>
        </w:tc>
      </w:tr>
    </w:tbl>
    <w:p w14:paraId="69A6F157">
      <w:pPr>
        <w:adjustRightInd w:val="0"/>
        <w:spacing w:before="160"/>
        <w:outlineLvl w:val="2"/>
        <w:rPr>
          <w:rFonts w:hAnsi="宋体" w:cs="宋体"/>
          <w:color w:val="000000"/>
        </w:rPr>
      </w:pPr>
      <w:r>
        <w:rPr>
          <w:rFonts w:hint="eastAsia" w:hAnsi="宋体" w:cs="宋体"/>
          <w:color w:val="000000"/>
        </w:rPr>
        <w:t>3.2.3 现有工程污染物达标情况</w:t>
      </w:r>
    </w:p>
    <w:p w14:paraId="29AA9E26">
      <w:pPr>
        <w:tabs>
          <w:tab w:val="left" w:pos="700"/>
        </w:tabs>
        <w:adjustRightInd w:val="0"/>
        <w:ind w:firstLine="482" w:firstLineChars="200"/>
        <w:rPr>
          <w:rFonts w:hint="eastAsia" w:hAnsi="宋体" w:cs="宋体"/>
          <w:color w:val="000000"/>
        </w:rPr>
      </w:pPr>
      <w:r>
        <w:rPr>
          <w:rFonts w:hint="eastAsia" w:hAnsi="宋体" w:cs="宋体"/>
          <w:color w:val="000000"/>
          <w:spacing w:val="-6"/>
        </w:rPr>
        <w:t>拟建工程现有工程主要</w:t>
      </w:r>
      <w:r>
        <w:rPr>
          <w:rFonts w:hint="eastAsia" w:hAnsi="宋体" w:cs="宋体"/>
          <w:color w:val="000000"/>
          <w:spacing w:val="6"/>
        </w:rPr>
        <w:t>为管线工程，正常运营期间无废气、废水、噪声、固废等污染物产生及排放</w:t>
      </w:r>
      <w:r>
        <w:rPr>
          <w:rFonts w:hint="eastAsia" w:hAnsi="宋体" w:cs="宋体"/>
          <w:color w:val="000000"/>
        </w:rPr>
        <w:t>。</w:t>
      </w:r>
    </w:p>
    <w:p w14:paraId="4F24392F">
      <w:pPr>
        <w:autoSpaceDE w:val="0"/>
        <w:autoSpaceDN w:val="0"/>
        <w:adjustRightInd w:val="0"/>
        <w:jc w:val="left"/>
        <w:outlineLvl w:val="2"/>
        <w:rPr>
          <w:rFonts w:hint="eastAsia" w:hAnsi="宋体" w:cs="宋体"/>
          <w:color w:val="000000"/>
          <w:szCs w:val="24"/>
        </w:rPr>
      </w:pPr>
      <w:r>
        <w:rPr>
          <w:rFonts w:hint="eastAsia" w:hAnsi="宋体" w:cs="宋体"/>
          <w:color w:val="000000"/>
          <w:szCs w:val="24"/>
        </w:rPr>
        <w:t>3.2.4 现有工程环境影响回顾</w:t>
      </w:r>
    </w:p>
    <w:p w14:paraId="63326074">
      <w:pPr>
        <w:pStyle w:val="10"/>
        <w:rPr>
          <w:rFonts w:ascii="宋体" w:hAnsi="宋体" w:eastAsia="宋体" w:cs="宋体"/>
          <w:color w:val="000000"/>
        </w:rPr>
      </w:pPr>
      <w:r>
        <w:rPr>
          <w:rFonts w:hint="eastAsia" w:ascii="宋体" w:hAnsi="宋体" w:eastAsia="宋体" w:cs="宋体"/>
          <w:color w:val="000000"/>
          <w:sz w:val="24"/>
          <w:szCs w:val="24"/>
        </w:rPr>
        <w:t>拟建工程现有工程均为管线工程，正常运营期间无废气、废水、噪声、固体废物产生，对项目区的环境影响主要体现在施工期间对占地范围内的植被产生一定的影响；现有管线施工结束后对施工迹地进行了恢复，根据现场踏勘及塔中采油气管理区后评调查结论，管线施工迹地均进行了清理和平整，沿线采取了草方格固沙措施，管线沿线情况详见图3.2-1。</w:t>
      </w:r>
    </w:p>
    <w:p w14:paraId="6B4232B1">
      <w:pPr>
        <w:autoSpaceDE w:val="0"/>
        <w:autoSpaceDN w:val="0"/>
        <w:adjustRightInd w:val="0"/>
        <w:jc w:val="left"/>
        <w:rPr>
          <w:rFonts w:hint="eastAsia" w:hAnsi="宋体" w:cs="宋体"/>
          <w:color w:val="000000"/>
        </w:rPr>
      </w:pPr>
      <w:r>
        <w:rPr>
          <w:rFonts w:hint="eastAsia" w:hAnsi="宋体" w:cs="宋体"/>
          <w:color w:val="000000"/>
        </w:rPr>
        <w:pict>
          <v:shape id="图片 241" o:spid="_x0000_s1037" o:spt="75" alt="IMG_5877" type="#_x0000_t75" style="position:absolute;left:0pt;margin-left:113.05pt;margin-top:1.65pt;height:163.3pt;width:218.35pt;z-index:251679744;mso-width-relative:page;mso-height-relative:page;" filled="f" o:preferrelative="t" stroked="f" coordsize="21600,21600">
            <v:path/>
            <v:fill on="f" focussize="0,0"/>
            <v:stroke on="f"/>
            <v:imagedata r:id="rId22" o:title="IMG_5877"/>
            <o:lock v:ext="edit" aspectratio="t"/>
          </v:shape>
        </w:pict>
      </w:r>
    </w:p>
    <w:p w14:paraId="71B93DAA">
      <w:pPr>
        <w:autoSpaceDE w:val="0"/>
        <w:autoSpaceDN w:val="0"/>
        <w:adjustRightInd w:val="0"/>
        <w:jc w:val="left"/>
        <w:rPr>
          <w:rFonts w:hint="eastAsia" w:hAnsi="宋体" w:cs="宋体"/>
          <w:color w:val="000000"/>
        </w:rPr>
      </w:pPr>
    </w:p>
    <w:p w14:paraId="11A3B849">
      <w:pPr>
        <w:autoSpaceDE w:val="0"/>
        <w:autoSpaceDN w:val="0"/>
        <w:adjustRightInd w:val="0"/>
        <w:jc w:val="left"/>
        <w:rPr>
          <w:rFonts w:hint="eastAsia" w:hAnsi="宋体" w:cs="宋体"/>
          <w:color w:val="000000"/>
        </w:rPr>
      </w:pPr>
    </w:p>
    <w:p w14:paraId="37214013">
      <w:pPr>
        <w:autoSpaceDE w:val="0"/>
        <w:autoSpaceDN w:val="0"/>
        <w:adjustRightInd w:val="0"/>
        <w:jc w:val="left"/>
        <w:rPr>
          <w:rFonts w:hint="eastAsia" w:hAnsi="宋体" w:cs="宋体"/>
          <w:color w:val="000000"/>
        </w:rPr>
      </w:pPr>
    </w:p>
    <w:p w14:paraId="3294393D">
      <w:pPr>
        <w:autoSpaceDE w:val="0"/>
        <w:autoSpaceDN w:val="0"/>
        <w:adjustRightInd w:val="0"/>
        <w:jc w:val="left"/>
        <w:rPr>
          <w:rFonts w:hint="eastAsia" w:hAnsi="宋体" w:cs="宋体"/>
          <w:color w:val="000000"/>
        </w:rPr>
      </w:pPr>
    </w:p>
    <w:p w14:paraId="1B4A73F6">
      <w:pPr>
        <w:autoSpaceDE w:val="0"/>
        <w:autoSpaceDN w:val="0"/>
        <w:adjustRightInd w:val="0"/>
        <w:jc w:val="left"/>
        <w:rPr>
          <w:rFonts w:hint="eastAsia" w:hAnsi="宋体" w:cs="宋体"/>
          <w:color w:val="000000"/>
        </w:rPr>
      </w:pPr>
    </w:p>
    <w:p w14:paraId="4B0B9B3F">
      <w:pPr>
        <w:autoSpaceDE w:val="0"/>
        <w:autoSpaceDN w:val="0"/>
        <w:adjustRightInd w:val="0"/>
        <w:jc w:val="left"/>
        <w:rPr>
          <w:rFonts w:hint="eastAsia" w:hAnsi="宋体" w:cs="宋体"/>
          <w:color w:val="000000"/>
        </w:rPr>
      </w:pPr>
    </w:p>
    <w:p w14:paraId="5082DCF6">
      <w:pPr>
        <w:autoSpaceDE w:val="0"/>
        <w:autoSpaceDN w:val="0"/>
        <w:adjustRightInd w:val="0"/>
        <w:jc w:val="center"/>
        <w:rPr>
          <w:rFonts w:hint="eastAsia" w:hAnsi="宋体" w:cs="宋体"/>
          <w:color w:val="000000"/>
        </w:rPr>
      </w:pPr>
      <w:r>
        <w:rPr>
          <w:rFonts w:hAnsi="宋体" w:cs="宋体"/>
          <w:color w:val="000000"/>
        </w:rPr>
        <w:t xml:space="preserve">图3.2-1   </w:t>
      </w:r>
      <w:r>
        <w:rPr>
          <w:rFonts w:ascii="黑体" w:hAnsi="黑体" w:eastAsia="黑体" w:cs="黑体"/>
          <w:color w:val="000000"/>
        </w:rPr>
        <w:t>现有管线沿线情况</w:t>
      </w:r>
    </w:p>
    <w:p w14:paraId="42CDC53B">
      <w:pPr>
        <w:topLinePunct/>
        <w:adjustRightInd w:val="0"/>
        <w:spacing w:before="240"/>
        <w:jc w:val="left"/>
        <w:outlineLvl w:val="2"/>
        <w:rPr>
          <w:rFonts w:hAnsi="宋体" w:cs="宋体"/>
          <w:color w:val="000000"/>
        </w:rPr>
      </w:pPr>
      <w:r>
        <w:rPr>
          <w:rFonts w:hint="eastAsia" w:hAnsi="宋体" w:cs="宋体"/>
          <w:color w:val="000000"/>
        </w:rPr>
        <w:t xml:space="preserve">3.2.5 </w:t>
      </w:r>
      <w:r>
        <w:rPr>
          <w:rFonts w:hint="eastAsia" w:hAnsi="宋体" w:cs="宋体"/>
          <w:bCs/>
          <w:color w:val="000000"/>
        </w:rPr>
        <w:t>现有工程</w:t>
      </w:r>
      <w:r>
        <w:rPr>
          <w:rFonts w:hint="eastAsia" w:hAnsi="宋体" w:cs="宋体"/>
          <w:color w:val="000000"/>
        </w:rPr>
        <w:t>环境问题及“以新带老”改进意见</w:t>
      </w:r>
    </w:p>
    <w:p w14:paraId="68C7E814">
      <w:pPr>
        <w:pStyle w:val="94"/>
        <w:kinsoku/>
        <w:wordWrap/>
        <w:overflowPunct/>
        <w:topLinePunct/>
        <w:autoSpaceDN/>
        <w:adjustRightInd/>
        <w:snapToGrid/>
        <w:spacing w:after="0" w:line="240" w:lineRule="auto"/>
        <w:ind w:firstLine="526" w:firstLineChars="200"/>
        <w:jc w:val="both"/>
        <w:rPr>
          <w:rFonts w:hint="eastAsia" w:hAnsi="宋体" w:cs="宋体"/>
          <w:b/>
          <w:bCs/>
          <w:color w:val="000000"/>
          <w:szCs w:val="24"/>
        </w:rPr>
      </w:pPr>
      <w:r>
        <w:rPr>
          <w:rFonts w:hint="eastAsia" w:hAnsi="宋体" w:cs="宋体"/>
          <w:b/>
          <w:bCs/>
          <w:color w:val="000000"/>
          <w:szCs w:val="24"/>
        </w:rPr>
        <w:t>现有工程环境问题：</w:t>
      </w:r>
    </w:p>
    <w:p w14:paraId="78E6FC67">
      <w:pPr>
        <w:ind w:firstLine="520"/>
        <w:rPr>
          <w:rFonts w:hint="eastAsia"/>
          <w:color w:val="000000"/>
        </w:rPr>
      </w:pPr>
      <w:r>
        <w:rPr>
          <w:rFonts w:hint="eastAsia" w:hAnsi="宋体" w:cs="宋体"/>
          <w:color w:val="000000"/>
          <w:szCs w:val="24"/>
        </w:rPr>
        <w:t>现有管线历经多年的生产运行服役，存在管道腐蚀减薄风险，若不进行管线隐患治理，管道壁厚减薄至最小壁厚以下，可能会发生刺漏事件，管道失效影响生产且造成环境污染，存在安全和环境风险隐患。</w:t>
      </w:r>
    </w:p>
    <w:p w14:paraId="0D019D8B">
      <w:pPr>
        <w:pStyle w:val="94"/>
        <w:kinsoku/>
        <w:wordWrap/>
        <w:overflowPunct/>
        <w:topLinePunct/>
        <w:autoSpaceDN/>
        <w:snapToGrid/>
        <w:spacing w:after="0" w:line="240" w:lineRule="auto"/>
        <w:ind w:firstLine="526" w:firstLineChars="200"/>
        <w:jc w:val="both"/>
        <w:rPr>
          <w:rFonts w:hint="eastAsia" w:hAnsi="宋体" w:cs="宋体"/>
          <w:color w:val="000000"/>
          <w:szCs w:val="24"/>
        </w:rPr>
      </w:pPr>
      <w:r>
        <w:rPr>
          <w:rFonts w:hint="eastAsia" w:hAnsi="宋体" w:cs="宋体"/>
          <w:b/>
          <w:bCs/>
          <w:color w:val="000000"/>
          <w:szCs w:val="24"/>
        </w:rPr>
        <w:t>整改方案</w:t>
      </w:r>
      <w:r>
        <w:rPr>
          <w:rFonts w:hint="eastAsia" w:hAnsi="宋体" w:cs="宋体"/>
          <w:color w:val="000000"/>
          <w:szCs w:val="24"/>
        </w:rPr>
        <w:t>：</w:t>
      </w:r>
    </w:p>
    <w:p w14:paraId="5CBA82DF">
      <w:pPr>
        <w:tabs>
          <w:tab w:val="left" w:pos="700"/>
        </w:tabs>
        <w:adjustRightInd w:val="0"/>
        <w:ind w:firstLine="526" w:firstLineChars="200"/>
        <w:rPr>
          <w:rFonts w:hint="eastAsia" w:hAnsi="宋体" w:cs="宋体"/>
          <w:color w:val="000000"/>
          <w:sz w:val="25"/>
        </w:rPr>
      </w:pPr>
      <w:r>
        <w:rPr>
          <w:rFonts w:hint="eastAsia" w:hAnsi="宋体" w:cs="宋体"/>
          <w:color w:val="000000"/>
          <w:szCs w:val="24"/>
        </w:rPr>
        <w:t>拟建工程对现有管线进行更换、修复，整改方案将随着拟建工程实施同时完成，从而实现消除管线安全和环境风险隐患。</w:t>
      </w:r>
    </w:p>
    <w:p w14:paraId="2B2E55B1">
      <w:pPr>
        <w:spacing w:line="463" w:lineRule="exact"/>
        <w:outlineLvl w:val="1"/>
        <w:rPr>
          <w:rFonts w:ascii="黑体" w:hAnsi="黑体" w:eastAsia="黑体" w:cs="黑体"/>
          <w:color w:val="000000"/>
          <w:sz w:val="28"/>
          <w:szCs w:val="28"/>
          <w:lang w:bidi="ar"/>
        </w:rPr>
      </w:pPr>
      <w:bookmarkStart w:id="111" w:name="_Toc230178786"/>
      <w:r>
        <w:rPr>
          <w:rFonts w:hint="eastAsia" w:ascii="黑体" w:hAnsi="黑体" w:eastAsia="黑体" w:cs="黑体"/>
          <w:color w:val="000000"/>
          <w:sz w:val="28"/>
          <w:szCs w:val="28"/>
          <w:lang w:bidi="ar"/>
        </w:rPr>
        <w:t>3.3 拟建工程</w:t>
      </w:r>
      <w:bookmarkEnd w:id="101"/>
      <w:bookmarkEnd w:id="102"/>
      <w:bookmarkEnd w:id="103"/>
      <w:bookmarkEnd w:id="104"/>
      <w:bookmarkEnd w:id="111"/>
    </w:p>
    <w:p w14:paraId="6095E6B0">
      <w:pPr>
        <w:adjustRightInd w:val="0"/>
        <w:spacing w:line="463" w:lineRule="exact"/>
        <w:outlineLvl w:val="2"/>
        <w:rPr>
          <w:rFonts w:hAnsi="宋体" w:cs="宋体"/>
          <w:color w:val="000000"/>
          <w:szCs w:val="24"/>
        </w:rPr>
      </w:pPr>
      <w:r>
        <w:rPr>
          <w:rFonts w:hint="eastAsia" w:hAnsi="宋体" w:cs="宋体"/>
          <w:color w:val="000000"/>
          <w:szCs w:val="24"/>
        </w:rPr>
        <w:t>3.3.1 基本概况</w:t>
      </w:r>
    </w:p>
    <w:p w14:paraId="44813580">
      <w:pPr>
        <w:pStyle w:val="94"/>
        <w:kinsoku/>
        <w:wordWrap/>
        <w:overflowPunct/>
        <w:autoSpaceDN/>
        <w:snapToGrid/>
        <w:spacing w:after="0" w:line="480" w:lineRule="exact"/>
        <w:ind w:firstLine="526" w:firstLineChars="200"/>
        <w:jc w:val="both"/>
        <w:rPr>
          <w:rFonts w:hAnsi="宋体" w:cs="宋体"/>
          <w:color w:val="000000"/>
          <w:szCs w:val="24"/>
        </w:rPr>
      </w:pPr>
      <w:r>
        <w:rPr>
          <w:rFonts w:hint="eastAsia" w:hAnsi="宋体" w:cs="宋体"/>
          <w:color w:val="000000"/>
          <w:szCs w:val="24"/>
        </w:rPr>
        <w:t>拟建工程基本概况见表3.3-1。</w:t>
      </w:r>
    </w:p>
    <w:p w14:paraId="58B2C7CA">
      <w:pPr>
        <w:adjustRightInd w:val="0"/>
        <w:spacing w:line="480" w:lineRule="exact"/>
        <w:ind w:firstLine="526" w:firstLineChars="200"/>
        <w:rPr>
          <w:rFonts w:hint="eastAsia" w:ascii="黑体" w:hAnsi="黑体" w:eastAsia="黑体"/>
          <w:color w:val="000000"/>
          <w:szCs w:val="24"/>
        </w:rPr>
      </w:pPr>
      <w:r>
        <w:rPr>
          <w:rFonts w:hint="eastAsia" w:ascii="黑体" w:hAnsi="黑体" w:eastAsia="黑体" w:cs="宋体"/>
          <w:color w:val="000000"/>
          <w:szCs w:val="24"/>
        </w:rPr>
        <w:t xml:space="preserve">表3.3-1        </w:t>
      </w:r>
      <w:r>
        <w:rPr>
          <w:rFonts w:hint="eastAsia" w:ascii="黑体" w:hAnsi="黑体" w:eastAsia="黑体"/>
          <w:color w:val="000000"/>
          <w:szCs w:val="24"/>
        </w:rPr>
        <w:t xml:space="preserve"> 拟建工程基本概况一览表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59"/>
        <w:gridCol w:w="507"/>
        <w:gridCol w:w="916"/>
        <w:gridCol w:w="7033"/>
      </w:tblGrid>
      <w:tr w14:paraId="638BC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1982" w:type="dxa"/>
            <w:gridSpan w:val="3"/>
            <w:tcMar>
              <w:left w:w="28" w:type="dxa"/>
              <w:right w:w="28" w:type="dxa"/>
            </w:tcMar>
            <w:vAlign w:val="center"/>
          </w:tcPr>
          <w:p w14:paraId="2B160F2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7033" w:type="dxa"/>
            <w:tcMar>
              <w:left w:w="28" w:type="dxa"/>
              <w:right w:w="28" w:type="dxa"/>
            </w:tcMar>
            <w:vAlign w:val="center"/>
          </w:tcPr>
          <w:p w14:paraId="736884E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 本 情 况</w:t>
            </w:r>
          </w:p>
        </w:tc>
      </w:tr>
      <w:tr w14:paraId="4B00B0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76555C2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项目名称</w:t>
            </w:r>
          </w:p>
        </w:tc>
        <w:tc>
          <w:tcPr>
            <w:tcW w:w="7033" w:type="dxa"/>
            <w:tcMar>
              <w:left w:w="28" w:type="dxa"/>
              <w:right w:w="28" w:type="dxa"/>
            </w:tcMar>
            <w:vAlign w:val="center"/>
          </w:tcPr>
          <w:p w14:paraId="1AF2FDC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2号集至塔三联集输管线改造项目</w:t>
            </w:r>
          </w:p>
        </w:tc>
      </w:tr>
      <w:tr w14:paraId="22EA2D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4B7A4E1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建设单位</w:t>
            </w:r>
          </w:p>
        </w:tc>
        <w:tc>
          <w:tcPr>
            <w:tcW w:w="7033" w:type="dxa"/>
            <w:tcMar>
              <w:left w:w="28" w:type="dxa"/>
              <w:right w:w="28" w:type="dxa"/>
            </w:tcMar>
            <w:vAlign w:val="center"/>
          </w:tcPr>
          <w:p w14:paraId="2EEA3023">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中国石油天然气股份有限公司塔里木油田分公司</w:t>
            </w:r>
          </w:p>
        </w:tc>
      </w:tr>
      <w:tr w14:paraId="29B313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517749B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建设地点</w:t>
            </w:r>
          </w:p>
        </w:tc>
        <w:tc>
          <w:tcPr>
            <w:tcW w:w="7033" w:type="dxa"/>
            <w:tcMar>
              <w:left w:w="28" w:type="dxa"/>
              <w:right w:w="28" w:type="dxa"/>
            </w:tcMar>
            <w:vAlign w:val="center"/>
          </w:tcPr>
          <w:p w14:paraId="71313C76">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新疆维吾尔自治区阿克苏地区沙雅县、和田地区民丰县境内</w:t>
            </w:r>
          </w:p>
        </w:tc>
      </w:tr>
      <w:tr w14:paraId="23921D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7B07F34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建设性质</w:t>
            </w:r>
          </w:p>
        </w:tc>
        <w:tc>
          <w:tcPr>
            <w:tcW w:w="7033" w:type="dxa"/>
            <w:tcMar>
              <w:left w:w="28" w:type="dxa"/>
              <w:right w:w="28" w:type="dxa"/>
            </w:tcMar>
            <w:vAlign w:val="center"/>
          </w:tcPr>
          <w:p w14:paraId="48B0855B">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改扩建</w:t>
            </w:r>
          </w:p>
        </w:tc>
      </w:tr>
      <w:tr w14:paraId="66D725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24E0696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建设周期</w:t>
            </w:r>
          </w:p>
        </w:tc>
        <w:tc>
          <w:tcPr>
            <w:tcW w:w="7033" w:type="dxa"/>
            <w:tcMar>
              <w:left w:w="28" w:type="dxa"/>
              <w:right w:w="28" w:type="dxa"/>
            </w:tcMar>
            <w:vAlign w:val="center"/>
          </w:tcPr>
          <w:p w14:paraId="6283699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1个月</w:t>
            </w:r>
          </w:p>
        </w:tc>
      </w:tr>
      <w:tr w14:paraId="72937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67B5F2F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总投资</w:t>
            </w:r>
          </w:p>
        </w:tc>
        <w:tc>
          <w:tcPr>
            <w:tcW w:w="7033" w:type="dxa"/>
            <w:tcMar>
              <w:left w:w="28" w:type="dxa"/>
              <w:right w:w="28" w:type="dxa"/>
            </w:tcMar>
            <w:vAlign w:val="center"/>
          </w:tcPr>
          <w:p w14:paraId="6FD2EBD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项目总投资354.88万元，其中环保投资50万元，占总投资的14.09%</w:t>
            </w:r>
          </w:p>
        </w:tc>
      </w:tr>
      <w:tr w14:paraId="465D03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982" w:type="dxa"/>
            <w:gridSpan w:val="3"/>
            <w:tcMar>
              <w:left w:w="28" w:type="dxa"/>
              <w:right w:w="28" w:type="dxa"/>
            </w:tcMar>
            <w:vAlign w:val="center"/>
          </w:tcPr>
          <w:p w14:paraId="62F867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占地面积</w:t>
            </w:r>
          </w:p>
        </w:tc>
        <w:tc>
          <w:tcPr>
            <w:tcW w:w="7033" w:type="dxa"/>
            <w:tcMar>
              <w:left w:w="28" w:type="dxa"/>
              <w:right w:w="28" w:type="dxa"/>
            </w:tcMar>
            <w:vAlign w:val="center"/>
          </w:tcPr>
          <w:p w14:paraId="4A0405D6">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占地面积5.96hm</w:t>
            </w:r>
            <w:r>
              <w:rPr>
                <w:rFonts w:hint="eastAsia" w:hAnsi="宋体" w:cs="宋体"/>
                <w:color w:val="000000"/>
                <w:spacing w:val="-10"/>
                <w:sz w:val="21"/>
                <w:szCs w:val="21"/>
                <w:vertAlign w:val="superscript"/>
              </w:rPr>
              <w:t>2</w:t>
            </w:r>
            <w:r>
              <w:rPr>
                <w:rFonts w:hint="eastAsia" w:hAnsi="宋体" w:cs="宋体"/>
                <w:color w:val="000000"/>
                <w:spacing w:val="-10"/>
                <w:sz w:val="21"/>
                <w:szCs w:val="21"/>
              </w:rPr>
              <w:t xml:space="preserve"> （全部为临时占地面积）</w:t>
            </w:r>
          </w:p>
        </w:tc>
      </w:tr>
      <w:tr w14:paraId="6440B4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99" w:hRule="atLeast"/>
          <w:jc w:val="center"/>
        </w:trPr>
        <w:tc>
          <w:tcPr>
            <w:tcW w:w="559" w:type="dxa"/>
            <w:vMerge w:val="restart"/>
            <w:tcMar>
              <w:left w:w="28" w:type="dxa"/>
              <w:right w:w="28" w:type="dxa"/>
            </w:tcMar>
            <w:vAlign w:val="center"/>
          </w:tcPr>
          <w:p w14:paraId="33AA76B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br w:type="page"/>
            </w:r>
            <w:r>
              <w:rPr>
                <w:rFonts w:hint="eastAsia" w:hAnsi="宋体" w:cs="宋体"/>
                <w:color w:val="000000"/>
                <w:spacing w:val="-10"/>
                <w:sz w:val="21"/>
                <w:szCs w:val="21"/>
              </w:rPr>
              <w:t>工程内容</w:t>
            </w:r>
          </w:p>
        </w:tc>
        <w:tc>
          <w:tcPr>
            <w:tcW w:w="1423" w:type="dxa"/>
            <w:gridSpan w:val="2"/>
            <w:tcMar>
              <w:left w:w="28" w:type="dxa"/>
              <w:right w:w="28" w:type="dxa"/>
            </w:tcMar>
            <w:vAlign w:val="center"/>
          </w:tcPr>
          <w:p w14:paraId="3C91771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主体工程</w:t>
            </w:r>
          </w:p>
        </w:tc>
        <w:tc>
          <w:tcPr>
            <w:tcW w:w="7033" w:type="dxa"/>
            <w:tcMar>
              <w:left w:w="28" w:type="dxa"/>
              <w:right w:w="28" w:type="dxa"/>
            </w:tcMar>
            <w:vAlign w:val="center"/>
          </w:tcPr>
          <w:p w14:paraId="6B00DBD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①新建ZG11-H1井至ZG8-9井集输管线2.5km，涉及二号集气站和塔三联合站站内管线改造；②更换ZG431-H3至5#集DN150外输管线碰头点后1km管线；采用内穿插HBPE(高阻隔聚烯烃管)对ZG431-H4至5#集DN150外输管线进行修复。</w:t>
            </w:r>
          </w:p>
        </w:tc>
      </w:tr>
      <w:tr w14:paraId="2F25E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559" w:type="dxa"/>
            <w:vMerge w:val="continue"/>
            <w:tcMar>
              <w:left w:w="28" w:type="dxa"/>
              <w:right w:w="28" w:type="dxa"/>
            </w:tcMar>
            <w:vAlign w:val="center"/>
          </w:tcPr>
          <w:p w14:paraId="7C2437C4">
            <w:pPr>
              <w:adjustRightInd w:val="0"/>
              <w:spacing w:line="0" w:lineRule="atLeast"/>
              <w:jc w:val="center"/>
              <w:rPr>
                <w:rFonts w:hint="eastAsia" w:hAnsi="宋体" w:cs="宋体"/>
                <w:color w:val="000000"/>
                <w:spacing w:val="-10"/>
                <w:sz w:val="21"/>
                <w:szCs w:val="21"/>
              </w:rPr>
            </w:pPr>
          </w:p>
        </w:tc>
        <w:tc>
          <w:tcPr>
            <w:tcW w:w="507" w:type="dxa"/>
            <w:vMerge w:val="restart"/>
            <w:tcMar>
              <w:left w:w="28" w:type="dxa"/>
              <w:right w:w="28" w:type="dxa"/>
            </w:tcMar>
            <w:vAlign w:val="center"/>
          </w:tcPr>
          <w:p w14:paraId="1F07DD03">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公辅工程</w:t>
            </w:r>
          </w:p>
        </w:tc>
        <w:tc>
          <w:tcPr>
            <w:tcW w:w="916" w:type="dxa"/>
            <w:tcMar>
              <w:left w:w="28" w:type="dxa"/>
              <w:right w:w="28" w:type="dxa"/>
            </w:tcMar>
            <w:vAlign w:val="center"/>
          </w:tcPr>
          <w:p w14:paraId="2D2297E5">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供电工程</w:t>
            </w:r>
          </w:p>
        </w:tc>
        <w:tc>
          <w:tcPr>
            <w:tcW w:w="7033" w:type="dxa"/>
            <w:tcMar>
              <w:left w:w="28" w:type="dxa"/>
              <w:right w:w="28" w:type="dxa"/>
            </w:tcMar>
            <w:vAlign w:val="center"/>
          </w:tcPr>
          <w:p w14:paraId="13402C3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利旧区域现有电力系统。</w:t>
            </w:r>
          </w:p>
        </w:tc>
      </w:tr>
      <w:tr w14:paraId="6A050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559" w:type="dxa"/>
            <w:vMerge w:val="continue"/>
            <w:tcMar>
              <w:left w:w="28" w:type="dxa"/>
              <w:right w:w="28" w:type="dxa"/>
            </w:tcMar>
            <w:vAlign w:val="center"/>
          </w:tcPr>
          <w:p w14:paraId="03FDB791">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6F7277F7">
            <w:pPr>
              <w:autoSpaceDE w:val="0"/>
              <w:autoSpaceDN w:val="0"/>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7DF47CEF">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给排水</w:t>
            </w:r>
          </w:p>
        </w:tc>
        <w:tc>
          <w:tcPr>
            <w:tcW w:w="7033" w:type="dxa"/>
            <w:tcMar>
              <w:left w:w="28" w:type="dxa"/>
              <w:right w:w="28" w:type="dxa"/>
            </w:tcMar>
            <w:vAlign w:val="center"/>
          </w:tcPr>
          <w:p w14:paraId="1050E0D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施工期：管线试压水及生活用水依托作业区现有供水设施；管线试压废水泼洒抑尘，生活污水依托塔三联合站公寓生活污水处理装置处理。</w:t>
            </w:r>
          </w:p>
          <w:p w14:paraId="165BC98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运营期：无废水产生</w:t>
            </w:r>
            <w:r>
              <w:rPr>
                <w:rFonts w:hint="eastAsia" w:hAnsi="宋体" w:cs="宋体"/>
                <w:color w:val="000000"/>
                <w:spacing w:val="-10"/>
                <w:sz w:val="21"/>
                <w:szCs w:val="21"/>
                <w:lang w:val="zh-CN"/>
              </w:rPr>
              <w:t>；</w:t>
            </w:r>
          </w:p>
          <w:p w14:paraId="470E36E9">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退役期：退役期管线清洗废水依托塔三联合站水处理系统处理。</w:t>
            </w:r>
          </w:p>
        </w:tc>
      </w:tr>
      <w:tr w14:paraId="792232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43" w:hRule="atLeast"/>
          <w:jc w:val="center"/>
        </w:trPr>
        <w:tc>
          <w:tcPr>
            <w:tcW w:w="559" w:type="dxa"/>
            <w:vMerge w:val="continue"/>
            <w:tcMar>
              <w:left w:w="28" w:type="dxa"/>
              <w:right w:w="28" w:type="dxa"/>
            </w:tcMar>
            <w:vAlign w:val="center"/>
          </w:tcPr>
          <w:p w14:paraId="237E4EB0">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2F173EB4">
            <w:pPr>
              <w:autoSpaceDE w:val="0"/>
              <w:autoSpaceDN w:val="0"/>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24C70D84">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防腐工程</w:t>
            </w:r>
          </w:p>
        </w:tc>
        <w:tc>
          <w:tcPr>
            <w:tcW w:w="7033" w:type="dxa"/>
            <w:tcMar>
              <w:left w:w="28" w:type="dxa"/>
              <w:right w:w="28" w:type="dxa"/>
            </w:tcMar>
            <w:vAlign w:val="center"/>
          </w:tcPr>
          <w:p w14:paraId="09C2EEA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ZG11-H1井至ZG8-9井集输管线采用修复油管，不做外防腐；ZG431-H3至DN150集输管道碰头点后1km管线均采用3PE防腐；ZG431-H4至5#集DN150外输管线防腐结构为无溶剂环氧涂料，无气喷涂4道，涂层总干膜厚度不小于400μm。</w:t>
            </w:r>
          </w:p>
        </w:tc>
      </w:tr>
      <w:tr w14:paraId="67F7A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559" w:type="dxa"/>
            <w:vMerge w:val="continue"/>
            <w:tcMar>
              <w:left w:w="28" w:type="dxa"/>
              <w:right w:w="28" w:type="dxa"/>
            </w:tcMar>
            <w:vAlign w:val="center"/>
          </w:tcPr>
          <w:p w14:paraId="23763D86">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73F12C1A">
            <w:pPr>
              <w:autoSpaceDE w:val="0"/>
              <w:autoSpaceDN w:val="0"/>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090136D7">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道路工程</w:t>
            </w:r>
          </w:p>
        </w:tc>
        <w:tc>
          <w:tcPr>
            <w:tcW w:w="7033" w:type="dxa"/>
            <w:tcMar>
              <w:left w:w="28" w:type="dxa"/>
              <w:right w:w="28" w:type="dxa"/>
            </w:tcMar>
            <w:vAlign w:val="center"/>
          </w:tcPr>
          <w:p w14:paraId="73E02F03">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拟建工程不新增施工便道，全部依托区域现有道路</w:t>
            </w:r>
          </w:p>
        </w:tc>
      </w:tr>
    </w:tbl>
    <w:p w14:paraId="1AF3F87A">
      <w:pPr>
        <w:adjustRightInd w:val="0"/>
        <w:spacing w:line="480" w:lineRule="exact"/>
        <w:ind w:firstLine="526" w:firstLineChars="200"/>
        <w:rPr>
          <w:rFonts w:hint="eastAsia" w:ascii="黑体" w:hAnsi="黑体" w:eastAsia="黑体"/>
          <w:color w:val="000000"/>
          <w:szCs w:val="24"/>
        </w:rPr>
      </w:pPr>
      <w:r>
        <w:br w:type="page"/>
      </w:r>
      <w:r>
        <w:rPr>
          <w:rFonts w:hint="eastAsia" w:ascii="黑体" w:hAnsi="黑体" w:eastAsia="黑体" w:cs="宋体"/>
          <w:color w:val="000000"/>
          <w:szCs w:val="24"/>
        </w:rPr>
        <w:t xml:space="preserve">续表3.3-1        </w:t>
      </w:r>
      <w:r>
        <w:rPr>
          <w:rFonts w:hint="eastAsia" w:ascii="黑体" w:hAnsi="黑体" w:eastAsia="黑体"/>
          <w:color w:val="000000"/>
          <w:szCs w:val="24"/>
        </w:rPr>
        <w:t xml:space="preserve"> 拟建工程基本概况一览表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59"/>
        <w:gridCol w:w="507"/>
        <w:gridCol w:w="916"/>
        <w:gridCol w:w="7033"/>
      </w:tblGrid>
      <w:tr w14:paraId="03F97F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82" w:type="dxa"/>
            <w:gridSpan w:val="3"/>
            <w:tcMar>
              <w:left w:w="28" w:type="dxa"/>
              <w:right w:w="28" w:type="dxa"/>
            </w:tcMar>
            <w:vAlign w:val="center"/>
          </w:tcPr>
          <w:p w14:paraId="085CF32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7033" w:type="dxa"/>
            <w:tcMar>
              <w:left w:w="28" w:type="dxa"/>
              <w:right w:w="28" w:type="dxa"/>
            </w:tcMar>
            <w:vAlign w:val="center"/>
          </w:tcPr>
          <w:p w14:paraId="08957FB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 本 情 况</w:t>
            </w:r>
          </w:p>
        </w:tc>
      </w:tr>
      <w:tr w14:paraId="0AC40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9" w:type="dxa"/>
            <w:vMerge w:val="restart"/>
            <w:tcMar>
              <w:left w:w="28" w:type="dxa"/>
              <w:right w:w="28" w:type="dxa"/>
            </w:tcMar>
            <w:vAlign w:val="center"/>
          </w:tcPr>
          <w:p w14:paraId="5F741D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br w:type="page"/>
            </w:r>
            <w:r>
              <w:rPr>
                <w:rFonts w:hint="eastAsia" w:hAnsi="宋体" w:cs="宋体"/>
                <w:color w:val="000000"/>
                <w:spacing w:val="-10"/>
                <w:sz w:val="21"/>
                <w:szCs w:val="21"/>
              </w:rPr>
              <w:t>工程内容</w:t>
            </w:r>
          </w:p>
        </w:tc>
        <w:tc>
          <w:tcPr>
            <w:tcW w:w="507" w:type="dxa"/>
            <w:vMerge w:val="restart"/>
            <w:tcMar>
              <w:left w:w="28" w:type="dxa"/>
              <w:right w:w="28" w:type="dxa"/>
            </w:tcMar>
            <w:vAlign w:val="center"/>
          </w:tcPr>
          <w:p w14:paraId="3AB47B92">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环保工程</w:t>
            </w:r>
          </w:p>
        </w:tc>
        <w:tc>
          <w:tcPr>
            <w:tcW w:w="916" w:type="dxa"/>
            <w:tcMar>
              <w:left w:w="28" w:type="dxa"/>
              <w:right w:w="28" w:type="dxa"/>
            </w:tcMar>
            <w:vAlign w:val="center"/>
          </w:tcPr>
          <w:p w14:paraId="4C674C1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废气</w:t>
            </w:r>
          </w:p>
        </w:tc>
        <w:tc>
          <w:tcPr>
            <w:tcW w:w="7033" w:type="dxa"/>
            <w:tcMar>
              <w:left w:w="28" w:type="dxa"/>
              <w:right w:w="28" w:type="dxa"/>
            </w:tcMar>
            <w:vAlign w:val="center"/>
          </w:tcPr>
          <w:p w14:paraId="787C9729">
            <w:pPr>
              <w:spacing w:line="0" w:lineRule="atLeast"/>
              <w:rPr>
                <w:rFonts w:hint="eastAsia" w:hAnsi="宋体" w:cs="宋体"/>
                <w:color w:val="000000"/>
                <w:spacing w:val="-10"/>
                <w:sz w:val="21"/>
                <w:szCs w:val="21"/>
              </w:rPr>
            </w:pPr>
            <w:r>
              <w:rPr>
                <w:rFonts w:hint="eastAsia" w:hAnsi="宋体" w:cs="宋体"/>
                <w:color w:val="000000"/>
                <w:spacing w:val="-10"/>
                <w:sz w:val="21"/>
                <w:szCs w:val="21"/>
              </w:rPr>
              <w:t>施工期：采取洒水抑尘，运输车辆采取减速慢行和苫盖措施，机械、车辆定期检修，燃烧合格油品，不超负荷运行；焊接使用无毒低尘焊条；热熔过程控制热熔温度及操作时间；</w:t>
            </w:r>
          </w:p>
          <w:p w14:paraId="2774E97E">
            <w:pPr>
              <w:spacing w:line="0" w:lineRule="atLeast"/>
              <w:rPr>
                <w:rFonts w:hint="eastAsia" w:hAnsi="宋体" w:cs="宋体"/>
                <w:color w:val="000000"/>
                <w:spacing w:val="-10"/>
                <w:sz w:val="21"/>
                <w:szCs w:val="21"/>
              </w:rPr>
            </w:pPr>
            <w:r>
              <w:rPr>
                <w:rFonts w:hint="eastAsia" w:hAnsi="宋体" w:cs="宋体"/>
                <w:color w:val="000000"/>
                <w:spacing w:val="-10"/>
                <w:sz w:val="21"/>
                <w:szCs w:val="21"/>
              </w:rPr>
              <w:t>运营期：无废气产生；</w:t>
            </w:r>
          </w:p>
          <w:p w14:paraId="2271F465">
            <w:pPr>
              <w:spacing w:line="0" w:lineRule="atLeast"/>
              <w:rPr>
                <w:rFonts w:hint="eastAsia" w:hAnsi="宋体" w:cs="宋体"/>
                <w:color w:val="000000"/>
                <w:spacing w:val="-10"/>
                <w:sz w:val="21"/>
                <w:szCs w:val="21"/>
              </w:rPr>
            </w:pPr>
            <w:r>
              <w:rPr>
                <w:rFonts w:hint="eastAsia" w:hAnsi="宋体" w:cs="宋体"/>
                <w:color w:val="000000"/>
                <w:spacing w:val="-10"/>
                <w:sz w:val="21"/>
                <w:szCs w:val="21"/>
              </w:rPr>
              <w:t>退役期无废气产生；</w:t>
            </w:r>
          </w:p>
        </w:tc>
      </w:tr>
      <w:tr w14:paraId="27EA88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9" w:type="dxa"/>
            <w:vMerge w:val="continue"/>
            <w:tcMar>
              <w:left w:w="28" w:type="dxa"/>
              <w:right w:w="28" w:type="dxa"/>
            </w:tcMar>
            <w:vAlign w:val="center"/>
          </w:tcPr>
          <w:p w14:paraId="62219B9C">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1A83E512">
            <w:pPr>
              <w:autoSpaceDE w:val="0"/>
              <w:autoSpaceDN w:val="0"/>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531B26D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废水</w:t>
            </w:r>
          </w:p>
        </w:tc>
        <w:tc>
          <w:tcPr>
            <w:tcW w:w="7033" w:type="dxa"/>
            <w:tcMar>
              <w:left w:w="28" w:type="dxa"/>
              <w:right w:w="28" w:type="dxa"/>
            </w:tcMar>
            <w:vAlign w:val="center"/>
          </w:tcPr>
          <w:p w14:paraId="30C1F6CB">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施工期：管道试压废水循环使用，结束后用于洒水降尘；生活污水依托塔三联合站公寓生活污水处理装置处理；</w:t>
            </w:r>
          </w:p>
          <w:p w14:paraId="665E1961">
            <w:pPr>
              <w:spacing w:line="0" w:lineRule="atLeast"/>
              <w:rPr>
                <w:rFonts w:hint="eastAsia" w:hAnsi="宋体" w:cs="宋体"/>
                <w:color w:val="000000"/>
                <w:spacing w:val="-10"/>
                <w:sz w:val="21"/>
                <w:szCs w:val="21"/>
              </w:rPr>
            </w:pPr>
            <w:r>
              <w:rPr>
                <w:rFonts w:hint="eastAsia" w:hAnsi="宋体" w:cs="宋体"/>
                <w:color w:val="000000"/>
                <w:spacing w:val="-10"/>
                <w:sz w:val="21"/>
                <w:szCs w:val="21"/>
              </w:rPr>
              <w:t>运营期：运营期无废水产生；</w:t>
            </w:r>
          </w:p>
          <w:p w14:paraId="3B1437AD">
            <w:pPr>
              <w:spacing w:line="0" w:lineRule="atLeast"/>
              <w:rPr>
                <w:rFonts w:hint="eastAsia" w:hAnsi="宋体" w:cs="宋体"/>
                <w:color w:val="000000"/>
                <w:spacing w:val="-10"/>
                <w:sz w:val="21"/>
                <w:szCs w:val="21"/>
              </w:rPr>
            </w:pPr>
            <w:r>
              <w:rPr>
                <w:rFonts w:hint="eastAsia" w:hAnsi="宋体" w:cs="宋体"/>
                <w:color w:val="000000"/>
                <w:spacing w:val="-10"/>
                <w:sz w:val="21"/>
                <w:szCs w:val="21"/>
              </w:rPr>
              <w:t>退役期：废弃管道清洗废水依托塔三联合站处理；</w:t>
            </w:r>
          </w:p>
        </w:tc>
      </w:tr>
      <w:tr w14:paraId="504984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9" w:type="dxa"/>
            <w:vMerge w:val="continue"/>
            <w:tcMar>
              <w:left w:w="28" w:type="dxa"/>
              <w:right w:w="28" w:type="dxa"/>
            </w:tcMar>
            <w:vAlign w:val="center"/>
          </w:tcPr>
          <w:p w14:paraId="50C4F4A1">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7E0D9DD9">
            <w:pPr>
              <w:adjustRightInd w:val="0"/>
              <w:spacing w:line="0" w:lineRule="atLeast"/>
              <w:jc w:val="center"/>
              <w:rPr>
                <w:rFonts w:hAnsi="宋体" w:cs="宋体"/>
                <w:color w:val="000000"/>
                <w:spacing w:val="-10"/>
                <w:sz w:val="21"/>
                <w:szCs w:val="21"/>
              </w:rPr>
            </w:pPr>
          </w:p>
        </w:tc>
        <w:tc>
          <w:tcPr>
            <w:tcW w:w="916" w:type="dxa"/>
            <w:tcMar>
              <w:left w:w="28" w:type="dxa"/>
              <w:right w:w="28" w:type="dxa"/>
            </w:tcMar>
            <w:vAlign w:val="center"/>
          </w:tcPr>
          <w:p w14:paraId="084D510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噪声</w:t>
            </w:r>
          </w:p>
        </w:tc>
        <w:tc>
          <w:tcPr>
            <w:tcW w:w="7033" w:type="dxa"/>
            <w:tcMar>
              <w:left w:w="28" w:type="dxa"/>
              <w:right w:w="28" w:type="dxa"/>
            </w:tcMar>
            <w:vAlign w:val="center"/>
          </w:tcPr>
          <w:p w14:paraId="7FBC03D7">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施工期：选用低噪声施工设备，合理安排作业时间；</w:t>
            </w:r>
          </w:p>
          <w:p w14:paraId="21D61A7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运营期：无噪声产生；</w:t>
            </w:r>
          </w:p>
          <w:p w14:paraId="7631AC33">
            <w:pPr>
              <w:pStyle w:val="34"/>
              <w:spacing w:line="0" w:lineRule="atLeast"/>
              <w:rPr>
                <w:rFonts w:hAnsi="宋体" w:cs="宋体"/>
                <w:color w:val="000000"/>
                <w:spacing w:val="-10"/>
                <w:sz w:val="21"/>
                <w:szCs w:val="21"/>
              </w:rPr>
            </w:pPr>
            <w:r>
              <w:rPr>
                <w:rFonts w:ascii="宋体" w:hAnsi="宋体" w:cs="宋体"/>
                <w:b w:val="0"/>
                <w:color w:val="000000"/>
                <w:spacing w:val="-10"/>
                <w:sz w:val="21"/>
                <w:szCs w:val="21"/>
              </w:rPr>
              <w:t>退役期：无噪声产生；</w:t>
            </w:r>
          </w:p>
        </w:tc>
      </w:tr>
      <w:tr w14:paraId="68D10B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9" w:type="dxa"/>
            <w:vMerge w:val="continue"/>
            <w:tcMar>
              <w:left w:w="28" w:type="dxa"/>
              <w:right w:w="28" w:type="dxa"/>
            </w:tcMar>
            <w:vAlign w:val="center"/>
          </w:tcPr>
          <w:p w14:paraId="73D5FDB5">
            <w:pPr>
              <w:adjustRightInd w:val="0"/>
              <w:spacing w:line="0" w:lineRule="atLeast"/>
              <w:jc w:val="center"/>
              <w:rPr>
                <w:rFonts w:hint="eastAsia" w:hAnsi="宋体" w:cs="宋体"/>
                <w:color w:val="000000"/>
                <w:spacing w:val="-10"/>
                <w:sz w:val="21"/>
                <w:szCs w:val="21"/>
              </w:rPr>
            </w:pPr>
          </w:p>
        </w:tc>
        <w:tc>
          <w:tcPr>
            <w:tcW w:w="507" w:type="dxa"/>
            <w:vMerge w:val="continue"/>
            <w:tcMar>
              <w:left w:w="28" w:type="dxa"/>
              <w:right w:w="28" w:type="dxa"/>
            </w:tcMar>
            <w:vAlign w:val="center"/>
          </w:tcPr>
          <w:p w14:paraId="7A6AF9E8">
            <w:pPr>
              <w:adjustRightInd w:val="0"/>
              <w:spacing w:line="0" w:lineRule="atLeast"/>
              <w:jc w:val="center"/>
              <w:rPr>
                <w:rFonts w:hAnsi="宋体" w:cs="宋体"/>
                <w:color w:val="000000"/>
                <w:spacing w:val="-10"/>
                <w:sz w:val="21"/>
                <w:szCs w:val="21"/>
              </w:rPr>
            </w:pPr>
          </w:p>
        </w:tc>
        <w:tc>
          <w:tcPr>
            <w:tcW w:w="916" w:type="dxa"/>
            <w:tcMar>
              <w:left w:w="28" w:type="dxa"/>
              <w:right w:w="28" w:type="dxa"/>
            </w:tcMar>
            <w:vAlign w:val="center"/>
          </w:tcPr>
          <w:p w14:paraId="2E44234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固体</w:t>
            </w:r>
          </w:p>
          <w:p w14:paraId="1BBD966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废物</w:t>
            </w:r>
          </w:p>
        </w:tc>
        <w:tc>
          <w:tcPr>
            <w:tcW w:w="7033" w:type="dxa"/>
            <w:tcMar>
              <w:left w:w="28" w:type="dxa"/>
              <w:right w:w="28" w:type="dxa"/>
            </w:tcMar>
            <w:vAlign w:val="center"/>
          </w:tcPr>
          <w:p w14:paraId="3D4DC52A">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施工期：施工土方全部用于管沟回填；管道焊接及吹扫废渣收集后送至塔中固废填埋场填埋处置；生活垃圾定期清运至塔中固废填埋场填埋处置；现有管线内穿插作业过程中产生的清管废渣和废防渗膜桶装收集后由施工单位委托有资质的单位接收处置；</w:t>
            </w:r>
          </w:p>
          <w:p w14:paraId="66E71580">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运营期：运营期无固废产生；</w:t>
            </w:r>
          </w:p>
          <w:p w14:paraId="34F75E74">
            <w:pPr>
              <w:pStyle w:val="34"/>
              <w:spacing w:line="0" w:lineRule="atLeast"/>
              <w:rPr>
                <w:rFonts w:hAnsi="宋体" w:cs="宋体"/>
                <w:color w:val="000000"/>
                <w:spacing w:val="-10"/>
                <w:sz w:val="21"/>
                <w:szCs w:val="21"/>
              </w:rPr>
            </w:pPr>
            <w:r>
              <w:rPr>
                <w:rFonts w:ascii="宋体" w:hAnsi="宋体" w:cs="宋体"/>
                <w:b w:val="0"/>
                <w:color w:val="000000"/>
                <w:spacing w:val="-10"/>
                <w:sz w:val="21"/>
                <w:szCs w:val="21"/>
              </w:rPr>
              <w:t>退役期：废弃管线维持现状，管线内物质应清空干净，并按要求进行清洗，确保管线内无残留采出液，管线两端使用盲板封堵</w:t>
            </w:r>
          </w:p>
        </w:tc>
      </w:tr>
      <w:tr w14:paraId="69732E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19" w:hRule="atLeast"/>
          <w:jc w:val="center"/>
        </w:trPr>
        <w:tc>
          <w:tcPr>
            <w:tcW w:w="559" w:type="dxa"/>
            <w:vMerge w:val="continue"/>
            <w:tcMar>
              <w:left w:w="28" w:type="dxa"/>
              <w:right w:w="28" w:type="dxa"/>
            </w:tcMar>
            <w:vAlign w:val="center"/>
          </w:tcPr>
          <w:p w14:paraId="5F8248EE">
            <w:pPr>
              <w:adjustRightInd w:val="0"/>
              <w:spacing w:line="0" w:lineRule="atLeast"/>
              <w:jc w:val="center"/>
              <w:rPr>
                <w:rFonts w:hint="eastAsia" w:hAnsi="宋体" w:cs="宋体"/>
                <w:color w:val="000000"/>
                <w:spacing w:val="-10"/>
                <w:szCs w:val="24"/>
              </w:rPr>
            </w:pPr>
          </w:p>
        </w:tc>
        <w:tc>
          <w:tcPr>
            <w:tcW w:w="507" w:type="dxa"/>
            <w:vMerge w:val="continue"/>
            <w:tcMar>
              <w:left w:w="28" w:type="dxa"/>
              <w:right w:w="28" w:type="dxa"/>
            </w:tcMar>
            <w:vAlign w:val="center"/>
          </w:tcPr>
          <w:p w14:paraId="5650FD5A">
            <w:pPr>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6BDD9DB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w:t>
            </w:r>
          </w:p>
        </w:tc>
        <w:tc>
          <w:tcPr>
            <w:tcW w:w="7033" w:type="dxa"/>
            <w:tcMar>
              <w:left w:w="28" w:type="dxa"/>
              <w:right w:w="28" w:type="dxa"/>
            </w:tcMar>
            <w:vAlign w:val="center"/>
          </w:tcPr>
          <w:p w14:paraId="20684CA0">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施工期：严格控制施工作业带宽度；填埋所需土方利用管沟挖方，做到土方平衡；临时堆土防尘网苫盖；设置限行彩条旗；工程结束后，及时对临时占地区域进行平整、恢复；</w:t>
            </w:r>
          </w:p>
          <w:p w14:paraId="01B22911">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运营期：在管线上方设置标志，以防附近的各类施工活动对管线的破坏，定期检查管线，如发生管线老化，接口断裂，及时更换管线，以防管线泄漏破坏周边生态；</w:t>
            </w:r>
          </w:p>
          <w:p w14:paraId="0AFCE526">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退役期：废弃管线维持现状，避免因开挖管线对区域生态环境造成二次破坏，管线内物质应清空干净，并按要求进行清洗，管线两端使用盲板封堵；</w:t>
            </w:r>
          </w:p>
        </w:tc>
      </w:tr>
      <w:tr w14:paraId="37F079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559" w:type="dxa"/>
            <w:vMerge w:val="continue"/>
            <w:tcMar>
              <w:left w:w="28" w:type="dxa"/>
              <w:right w:w="28" w:type="dxa"/>
            </w:tcMar>
            <w:vAlign w:val="center"/>
          </w:tcPr>
          <w:p w14:paraId="7087102A">
            <w:pPr>
              <w:adjustRightInd w:val="0"/>
              <w:spacing w:line="0" w:lineRule="atLeast"/>
              <w:jc w:val="center"/>
              <w:rPr>
                <w:rFonts w:hint="eastAsia" w:hAnsi="宋体" w:cs="宋体"/>
                <w:color w:val="000000"/>
                <w:spacing w:val="-10"/>
                <w:szCs w:val="24"/>
              </w:rPr>
            </w:pPr>
          </w:p>
        </w:tc>
        <w:tc>
          <w:tcPr>
            <w:tcW w:w="507" w:type="dxa"/>
            <w:vMerge w:val="continue"/>
            <w:tcMar>
              <w:left w:w="28" w:type="dxa"/>
              <w:right w:w="28" w:type="dxa"/>
            </w:tcMar>
            <w:vAlign w:val="center"/>
          </w:tcPr>
          <w:p w14:paraId="1519B2A3">
            <w:pPr>
              <w:adjustRightInd w:val="0"/>
              <w:spacing w:line="0" w:lineRule="atLeast"/>
              <w:jc w:val="center"/>
              <w:rPr>
                <w:rFonts w:hint="eastAsia" w:hAnsi="宋体" w:cs="宋体"/>
                <w:color w:val="000000"/>
                <w:spacing w:val="-10"/>
                <w:sz w:val="21"/>
                <w:szCs w:val="21"/>
              </w:rPr>
            </w:pPr>
          </w:p>
        </w:tc>
        <w:tc>
          <w:tcPr>
            <w:tcW w:w="916" w:type="dxa"/>
            <w:tcMar>
              <w:left w:w="28" w:type="dxa"/>
              <w:right w:w="28" w:type="dxa"/>
            </w:tcMar>
            <w:vAlign w:val="center"/>
          </w:tcPr>
          <w:p w14:paraId="606E258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环境风险</w:t>
            </w:r>
          </w:p>
        </w:tc>
        <w:tc>
          <w:tcPr>
            <w:tcW w:w="7033" w:type="dxa"/>
            <w:tcMar>
              <w:left w:w="28" w:type="dxa"/>
              <w:right w:w="28" w:type="dxa"/>
            </w:tcMar>
            <w:vAlign w:val="center"/>
          </w:tcPr>
          <w:p w14:paraId="4D92A504">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管道上方设置标识，定期对管道壁厚进行超声波检查</w:t>
            </w:r>
          </w:p>
        </w:tc>
      </w:tr>
    </w:tbl>
    <w:p w14:paraId="6F2A9366">
      <w:pPr>
        <w:spacing w:before="240" w:line="470" w:lineRule="exact"/>
        <w:outlineLvl w:val="2"/>
        <w:rPr>
          <w:rFonts w:hAnsi="宋体" w:cs="宋体"/>
          <w:color w:val="000000"/>
          <w:szCs w:val="24"/>
        </w:rPr>
      </w:pPr>
      <w:r>
        <w:rPr>
          <w:rFonts w:hint="eastAsia" w:hAnsi="宋体" w:cs="宋体"/>
          <w:color w:val="000000"/>
          <w:szCs w:val="24"/>
        </w:rPr>
        <w:t>3.3.</w:t>
      </w:r>
      <w:r>
        <w:rPr>
          <w:rFonts w:hAnsi="宋体" w:cs="宋体"/>
          <w:color w:val="000000"/>
          <w:szCs w:val="24"/>
        </w:rPr>
        <w:t xml:space="preserve">2 </w:t>
      </w:r>
      <w:r>
        <w:rPr>
          <w:rFonts w:hint="eastAsia" w:hAnsi="宋体" w:cs="宋体"/>
          <w:color w:val="000000"/>
          <w:szCs w:val="24"/>
        </w:rPr>
        <w:t>油气资源概况</w:t>
      </w:r>
    </w:p>
    <w:p w14:paraId="2FC53A91">
      <w:pPr>
        <w:pStyle w:val="94"/>
        <w:kinsoku/>
        <w:wordWrap/>
        <w:overflowPunct/>
        <w:topLinePunct/>
        <w:autoSpaceDN/>
        <w:snapToGrid/>
        <w:spacing w:after="0" w:line="240" w:lineRule="auto"/>
        <w:jc w:val="both"/>
        <w:outlineLvl w:val="3"/>
        <w:rPr>
          <w:rFonts w:hAnsi="宋体" w:cs="宋体"/>
          <w:color w:val="000000"/>
          <w:szCs w:val="24"/>
        </w:rPr>
      </w:pPr>
      <w:r>
        <w:rPr>
          <w:rFonts w:hint="eastAsia" w:hAnsi="宋体" w:cs="宋体"/>
          <w:bCs/>
          <w:color w:val="000000"/>
          <w:szCs w:val="24"/>
        </w:rPr>
        <w:t>3.3.</w:t>
      </w:r>
      <w:r>
        <w:rPr>
          <w:rFonts w:hAnsi="宋体" w:cs="宋体"/>
          <w:bCs/>
          <w:color w:val="000000"/>
          <w:szCs w:val="24"/>
        </w:rPr>
        <w:t>2.</w:t>
      </w:r>
      <w:r>
        <w:rPr>
          <w:rFonts w:hint="eastAsia" w:hAnsi="宋体" w:cs="宋体"/>
          <w:bCs/>
          <w:color w:val="000000"/>
          <w:szCs w:val="24"/>
        </w:rPr>
        <w:t>1</w:t>
      </w:r>
      <w:r>
        <w:rPr>
          <w:rFonts w:hint="eastAsia" w:hAnsi="宋体" w:cs="宋体"/>
          <w:color w:val="000000"/>
          <w:szCs w:val="24"/>
        </w:rPr>
        <w:t>地层特征</w:t>
      </w:r>
    </w:p>
    <w:p w14:paraId="5865154A">
      <w:pPr>
        <w:ind w:firstLine="526" w:firstLineChars="200"/>
        <w:rPr>
          <w:rFonts w:hAnsi="宋体"/>
          <w:color w:val="000000"/>
          <w:szCs w:val="24"/>
        </w:rPr>
      </w:pPr>
      <w:r>
        <w:rPr>
          <w:rFonts w:hint="eastAsia" w:hAnsi="宋体"/>
          <w:color w:val="000000"/>
          <w:szCs w:val="24"/>
        </w:rPr>
        <w:t>塔中Ⅰ号气田Ⅲ区</w:t>
      </w:r>
      <w:r>
        <w:rPr>
          <w:rFonts w:hAnsi="宋体"/>
          <w:color w:val="000000"/>
          <w:szCs w:val="24"/>
        </w:rPr>
        <w:t>各井钻遇地层基本一致</w:t>
      </w:r>
      <w:r>
        <w:rPr>
          <w:rFonts w:hint="eastAsia" w:hAnsi="宋体"/>
          <w:color w:val="000000"/>
          <w:szCs w:val="24"/>
        </w:rPr>
        <w:t>，</w:t>
      </w:r>
      <w:r>
        <w:rPr>
          <w:rFonts w:hAnsi="宋体"/>
          <w:color w:val="000000"/>
          <w:szCs w:val="24"/>
        </w:rPr>
        <w:t>自上而下依次为</w:t>
      </w:r>
      <w:r>
        <w:rPr>
          <w:rFonts w:hint="eastAsia" w:hAnsi="宋体"/>
          <w:color w:val="000000"/>
          <w:szCs w:val="24"/>
        </w:rPr>
        <w:t>：</w:t>
      </w:r>
      <w:r>
        <w:rPr>
          <w:rFonts w:hAnsi="宋体"/>
          <w:color w:val="000000"/>
          <w:szCs w:val="24"/>
        </w:rPr>
        <w:t>新生界第三系</w:t>
      </w:r>
      <w:r>
        <w:rPr>
          <w:rFonts w:hint="eastAsia" w:hAnsi="宋体"/>
          <w:color w:val="000000"/>
          <w:szCs w:val="24"/>
        </w:rPr>
        <w:t>，</w:t>
      </w:r>
      <w:r>
        <w:rPr>
          <w:rFonts w:hAnsi="宋体"/>
          <w:color w:val="000000"/>
          <w:szCs w:val="24"/>
        </w:rPr>
        <w:t>中生界白垩系、三叠系</w:t>
      </w:r>
      <w:r>
        <w:rPr>
          <w:rFonts w:hint="eastAsia" w:hAnsi="宋体"/>
          <w:color w:val="000000"/>
          <w:szCs w:val="24"/>
        </w:rPr>
        <w:t>，</w:t>
      </w:r>
      <w:r>
        <w:rPr>
          <w:rFonts w:hAnsi="宋体"/>
          <w:color w:val="000000"/>
          <w:szCs w:val="24"/>
        </w:rPr>
        <w:t>古生界二叠系、石炭系、泥盆系、志留系和奥陶系</w:t>
      </w:r>
      <w:r>
        <w:rPr>
          <w:rFonts w:hint="eastAsia" w:hAnsi="宋体"/>
          <w:color w:val="000000"/>
          <w:szCs w:val="24"/>
        </w:rPr>
        <w:t>，</w:t>
      </w:r>
      <w:r>
        <w:rPr>
          <w:rFonts w:hAnsi="宋体"/>
          <w:color w:val="000000"/>
          <w:szCs w:val="24"/>
        </w:rPr>
        <w:t>缺失中生界侏罗系。目的层</w:t>
      </w:r>
      <w:r>
        <w:rPr>
          <w:rFonts w:hint="eastAsia" w:hAnsi="宋体"/>
          <w:color w:val="000000"/>
          <w:szCs w:val="24"/>
        </w:rPr>
        <w:t>为</w:t>
      </w:r>
      <w:r>
        <w:rPr>
          <w:rFonts w:hAnsi="宋体"/>
          <w:color w:val="000000"/>
          <w:szCs w:val="24"/>
        </w:rPr>
        <w:t>上奥陶统良里塔格组与中奥陶统</w:t>
      </w:r>
      <w:r>
        <w:rPr>
          <w:rFonts w:hint="eastAsia" w:hAnsi="宋体"/>
          <w:color w:val="000000"/>
          <w:szCs w:val="24"/>
        </w:rPr>
        <w:t>一间房组，</w:t>
      </w:r>
      <w:r>
        <w:rPr>
          <w:rFonts w:hAnsi="宋体"/>
          <w:color w:val="000000"/>
          <w:szCs w:val="24"/>
        </w:rPr>
        <w:t>缺失上奥陶统吐木休克组</w:t>
      </w:r>
      <w:r>
        <w:rPr>
          <w:rFonts w:hint="eastAsia" w:hAnsi="宋体"/>
          <w:color w:val="000000"/>
          <w:szCs w:val="24"/>
        </w:rPr>
        <w:t>，</w:t>
      </w:r>
      <w:r>
        <w:rPr>
          <w:rFonts w:hAnsi="宋体"/>
          <w:color w:val="000000"/>
          <w:szCs w:val="24"/>
        </w:rPr>
        <w:t>良里塔格组</w:t>
      </w:r>
      <w:r>
        <w:rPr>
          <w:rFonts w:hint="eastAsia" w:hAnsi="宋体"/>
          <w:color w:val="000000"/>
          <w:szCs w:val="24"/>
        </w:rPr>
        <w:t>和一间房组</w:t>
      </w:r>
      <w:r>
        <w:rPr>
          <w:rFonts w:hAnsi="宋体"/>
          <w:color w:val="000000"/>
          <w:szCs w:val="24"/>
        </w:rPr>
        <w:t>是</w:t>
      </w:r>
      <w:r>
        <w:rPr>
          <w:rFonts w:hint="eastAsia" w:hAnsi="宋体"/>
          <w:color w:val="000000"/>
          <w:szCs w:val="24"/>
        </w:rPr>
        <w:t>塔中Ⅰ号气田Ⅲ区</w:t>
      </w:r>
      <w:r>
        <w:rPr>
          <w:rFonts w:hAnsi="宋体"/>
          <w:color w:val="000000"/>
          <w:szCs w:val="24"/>
        </w:rPr>
        <w:t>油气藏的主要含油层系。</w:t>
      </w:r>
    </w:p>
    <w:p w14:paraId="33BCD736">
      <w:pPr>
        <w:pStyle w:val="193"/>
        <w:snapToGrid/>
        <w:spacing w:line="500" w:lineRule="exact"/>
        <w:ind w:firstLine="527"/>
        <w:rPr>
          <w:rFonts w:hAnsi="宋体" w:cs="宋体"/>
          <w:bCs/>
          <w:color w:val="000000"/>
          <w:szCs w:val="24"/>
        </w:rPr>
      </w:pPr>
      <w:r>
        <w:rPr>
          <w:rFonts w:hAnsi="宋体"/>
          <w:color w:val="000000"/>
          <w:szCs w:val="24"/>
        </w:rPr>
        <w:t>根据钻井地层划分对比</w:t>
      </w:r>
      <w:r>
        <w:rPr>
          <w:rFonts w:hint="eastAsia" w:hAnsi="宋体"/>
          <w:color w:val="000000"/>
          <w:szCs w:val="24"/>
        </w:rPr>
        <w:t>，塔中Ⅰ号气田Ⅲ区</w:t>
      </w:r>
      <w:r>
        <w:rPr>
          <w:rFonts w:hAnsi="宋体"/>
          <w:color w:val="000000"/>
          <w:szCs w:val="24"/>
        </w:rPr>
        <w:t>奥陶系地层自上而下依次划分为上奥陶统桑塔木组</w:t>
      </w:r>
      <w:r>
        <w:rPr>
          <w:rFonts w:hint="eastAsia" w:hAnsi="宋体"/>
          <w:color w:val="000000"/>
          <w:szCs w:val="24"/>
        </w:rPr>
        <w:t>（</w:t>
      </w:r>
      <w:r>
        <w:rPr>
          <w:rFonts w:hAnsi="宋体"/>
          <w:color w:val="000000"/>
          <w:szCs w:val="24"/>
        </w:rPr>
        <w:t>O</w:t>
      </w:r>
      <w:r>
        <w:rPr>
          <w:rFonts w:hAnsi="宋体"/>
          <w:color w:val="000000"/>
          <w:szCs w:val="24"/>
          <w:vertAlign w:val="subscript"/>
        </w:rPr>
        <w:t>3</w:t>
      </w:r>
      <w:r>
        <w:rPr>
          <w:rFonts w:hAnsi="宋体"/>
          <w:color w:val="000000"/>
          <w:szCs w:val="24"/>
        </w:rPr>
        <w:t>s</w:t>
      </w:r>
      <w:r>
        <w:rPr>
          <w:rFonts w:hint="eastAsia" w:hAnsi="宋体"/>
          <w:color w:val="000000"/>
          <w:szCs w:val="24"/>
        </w:rPr>
        <w:t>）</w:t>
      </w:r>
      <w:r>
        <w:rPr>
          <w:rFonts w:hAnsi="宋体"/>
          <w:color w:val="000000"/>
          <w:szCs w:val="24"/>
        </w:rPr>
        <w:t>、良里塔格组</w:t>
      </w:r>
      <w:r>
        <w:rPr>
          <w:rFonts w:hint="eastAsia" w:hAnsi="宋体"/>
          <w:color w:val="000000"/>
          <w:szCs w:val="24"/>
        </w:rPr>
        <w:t>（</w:t>
      </w:r>
      <w:r>
        <w:rPr>
          <w:rFonts w:hAnsi="宋体"/>
          <w:color w:val="000000"/>
          <w:szCs w:val="24"/>
        </w:rPr>
        <w:t>O</w:t>
      </w:r>
      <w:r>
        <w:rPr>
          <w:rFonts w:hAnsi="宋体"/>
          <w:color w:val="000000"/>
          <w:szCs w:val="24"/>
          <w:vertAlign w:val="subscript"/>
        </w:rPr>
        <w:t>3</w:t>
      </w:r>
      <w:r>
        <w:rPr>
          <w:rFonts w:hAnsi="宋体"/>
          <w:color w:val="000000"/>
          <w:szCs w:val="24"/>
        </w:rPr>
        <w:t>l</w:t>
      </w:r>
      <w:r>
        <w:rPr>
          <w:rFonts w:hint="eastAsia" w:hAnsi="宋体"/>
          <w:color w:val="000000"/>
          <w:szCs w:val="24"/>
        </w:rPr>
        <w:t>）</w:t>
      </w:r>
      <w:r>
        <w:rPr>
          <w:rFonts w:hAnsi="宋体"/>
          <w:color w:val="000000"/>
          <w:szCs w:val="24"/>
        </w:rPr>
        <w:t>、中</w:t>
      </w:r>
      <w:r>
        <w:rPr>
          <w:rFonts w:hint="eastAsia" w:hAnsi="宋体"/>
          <w:color w:val="000000"/>
          <w:szCs w:val="24"/>
        </w:rPr>
        <w:t>奥陶</w:t>
      </w:r>
      <w:r>
        <w:rPr>
          <w:rFonts w:hAnsi="宋体"/>
          <w:color w:val="000000"/>
          <w:szCs w:val="24"/>
        </w:rPr>
        <w:t>统一间房组</w:t>
      </w:r>
      <w:r>
        <w:rPr>
          <w:rFonts w:hint="eastAsia" w:hAnsi="宋体"/>
          <w:color w:val="000000"/>
          <w:szCs w:val="24"/>
        </w:rPr>
        <w:t>（</w:t>
      </w:r>
      <w:r>
        <w:rPr>
          <w:rFonts w:hAnsi="宋体"/>
          <w:color w:val="000000"/>
          <w:szCs w:val="24"/>
        </w:rPr>
        <w:t>O</w:t>
      </w:r>
      <w:r>
        <w:rPr>
          <w:rFonts w:hAnsi="宋体"/>
          <w:color w:val="000000"/>
          <w:szCs w:val="24"/>
          <w:vertAlign w:val="subscript"/>
        </w:rPr>
        <w:t>2</w:t>
      </w:r>
      <w:r>
        <w:rPr>
          <w:rFonts w:hAnsi="宋体"/>
          <w:color w:val="000000"/>
          <w:szCs w:val="24"/>
        </w:rPr>
        <w:t>y</w:t>
      </w:r>
      <w:r>
        <w:rPr>
          <w:rFonts w:hint="eastAsia" w:hAnsi="宋体"/>
          <w:color w:val="000000"/>
          <w:szCs w:val="24"/>
        </w:rPr>
        <w:t>）</w:t>
      </w:r>
      <w:r>
        <w:rPr>
          <w:rFonts w:hAnsi="宋体"/>
          <w:color w:val="000000"/>
          <w:szCs w:val="24"/>
        </w:rPr>
        <w:t>及下</w:t>
      </w:r>
      <w:r>
        <w:rPr>
          <w:rFonts w:hint="eastAsia" w:hAnsi="宋体"/>
          <w:color w:val="000000"/>
          <w:szCs w:val="24"/>
        </w:rPr>
        <w:t>奥陶</w:t>
      </w:r>
      <w:r>
        <w:rPr>
          <w:rFonts w:hAnsi="宋体"/>
          <w:color w:val="000000"/>
          <w:szCs w:val="24"/>
        </w:rPr>
        <w:t>统鹰山组</w:t>
      </w:r>
      <w:r>
        <w:rPr>
          <w:rFonts w:hint="eastAsia" w:hAnsi="宋体"/>
          <w:color w:val="000000"/>
          <w:szCs w:val="24"/>
        </w:rPr>
        <w:t>（</w:t>
      </w:r>
      <w:r>
        <w:rPr>
          <w:rFonts w:hAnsi="宋体"/>
          <w:color w:val="000000"/>
          <w:szCs w:val="24"/>
        </w:rPr>
        <w:t>O</w:t>
      </w:r>
      <w:r>
        <w:rPr>
          <w:rFonts w:hAnsi="宋体"/>
          <w:color w:val="000000"/>
          <w:szCs w:val="24"/>
          <w:vertAlign w:val="subscript"/>
        </w:rPr>
        <w:t>1-2</w:t>
      </w:r>
      <w:r>
        <w:rPr>
          <w:rFonts w:hAnsi="宋体"/>
          <w:color w:val="000000"/>
          <w:szCs w:val="24"/>
        </w:rPr>
        <w:t>y</w:t>
      </w:r>
      <w:r>
        <w:rPr>
          <w:rFonts w:hint="eastAsia" w:hAnsi="宋体"/>
          <w:color w:val="000000"/>
          <w:szCs w:val="24"/>
        </w:rPr>
        <w:t>），</w:t>
      </w:r>
      <w:r>
        <w:rPr>
          <w:rFonts w:hAnsi="宋体"/>
          <w:color w:val="000000"/>
          <w:szCs w:val="24"/>
        </w:rPr>
        <w:t>缺失中统吐木休克组</w:t>
      </w:r>
      <w:r>
        <w:rPr>
          <w:rFonts w:hint="eastAsia" w:hAnsi="宋体"/>
          <w:color w:val="000000"/>
          <w:szCs w:val="24"/>
        </w:rPr>
        <w:t>（</w:t>
      </w:r>
      <w:r>
        <w:rPr>
          <w:rFonts w:hAnsi="宋体"/>
          <w:color w:val="000000"/>
          <w:szCs w:val="24"/>
        </w:rPr>
        <w:t>O</w:t>
      </w:r>
      <w:r>
        <w:rPr>
          <w:rFonts w:hAnsi="宋体"/>
          <w:color w:val="000000"/>
          <w:szCs w:val="24"/>
          <w:vertAlign w:val="subscript"/>
        </w:rPr>
        <w:t>3</w:t>
      </w:r>
      <w:r>
        <w:rPr>
          <w:rFonts w:hAnsi="宋体"/>
          <w:color w:val="000000"/>
          <w:szCs w:val="24"/>
        </w:rPr>
        <w:t>t</w:t>
      </w:r>
      <w:r>
        <w:rPr>
          <w:rFonts w:hint="eastAsia" w:hAnsi="宋体"/>
          <w:color w:val="000000"/>
          <w:szCs w:val="24"/>
        </w:rPr>
        <w:t>）</w:t>
      </w:r>
      <w:r>
        <w:rPr>
          <w:rFonts w:hAnsi="宋体"/>
          <w:color w:val="000000"/>
          <w:szCs w:val="24"/>
        </w:rPr>
        <w:t>。上奥陶统良里塔格组按岩性、电性、地震及层序地层等特征自上而下可划分为良一</w:t>
      </w:r>
      <w:r>
        <w:rPr>
          <w:rFonts w:hint="eastAsia" w:hAnsi="宋体"/>
          <w:color w:val="000000"/>
          <w:szCs w:val="24"/>
        </w:rPr>
        <w:t>－</w:t>
      </w:r>
      <w:r>
        <w:rPr>
          <w:rFonts w:hAnsi="宋体"/>
          <w:color w:val="000000"/>
          <w:szCs w:val="24"/>
        </w:rPr>
        <w:t>良三段三个岩性段</w:t>
      </w:r>
      <w:r>
        <w:rPr>
          <w:rFonts w:hint="eastAsia" w:hAnsi="宋体"/>
          <w:color w:val="000000"/>
          <w:szCs w:val="24"/>
        </w:rPr>
        <w:t>，</w:t>
      </w:r>
      <w:r>
        <w:rPr>
          <w:rFonts w:hAnsi="宋体"/>
          <w:color w:val="000000"/>
          <w:szCs w:val="24"/>
        </w:rPr>
        <w:t>中下奥陶统一间房组和鹰山组未细分。</w:t>
      </w:r>
      <w:r>
        <w:rPr>
          <w:rFonts w:hint="eastAsia" w:hAnsi="宋体"/>
          <w:color w:val="000000"/>
          <w:szCs w:val="24"/>
        </w:rPr>
        <w:t>塔中Ⅰ号气田Ⅲ区</w:t>
      </w:r>
      <w:r>
        <w:rPr>
          <w:rFonts w:hAnsi="宋体"/>
          <w:color w:val="000000"/>
          <w:szCs w:val="24"/>
        </w:rPr>
        <w:t>上奥陶统良里塔格组由于地层超覆而未沉积良四段及良五段地层</w:t>
      </w:r>
      <w:r>
        <w:rPr>
          <w:rFonts w:hint="eastAsia" w:hAnsi="宋体" w:cs="宋体"/>
          <w:color w:val="000000"/>
          <w:szCs w:val="24"/>
        </w:rPr>
        <w:t>。</w:t>
      </w:r>
    </w:p>
    <w:p w14:paraId="6293CA69">
      <w:pPr>
        <w:pStyle w:val="94"/>
        <w:kinsoku/>
        <w:wordWrap/>
        <w:overflowPunct/>
        <w:topLinePunct/>
        <w:autoSpaceDN/>
        <w:snapToGrid/>
        <w:spacing w:after="0" w:line="500" w:lineRule="exact"/>
        <w:jc w:val="both"/>
        <w:outlineLvl w:val="3"/>
        <w:rPr>
          <w:rFonts w:hAnsi="宋体" w:cs="宋体"/>
          <w:color w:val="000000"/>
          <w:szCs w:val="24"/>
        </w:rPr>
      </w:pPr>
      <w:bookmarkStart w:id="112" w:name="_Toc45191718"/>
      <w:r>
        <w:rPr>
          <w:rFonts w:hint="eastAsia" w:hAnsi="宋体" w:cs="宋体"/>
          <w:bCs/>
          <w:color w:val="000000"/>
          <w:szCs w:val="24"/>
        </w:rPr>
        <w:t>3.3.2.</w:t>
      </w:r>
      <w:bookmarkEnd w:id="112"/>
      <w:r>
        <w:rPr>
          <w:rFonts w:hint="eastAsia" w:hAnsi="宋体" w:cs="宋体"/>
          <w:bCs/>
          <w:color w:val="000000"/>
          <w:szCs w:val="24"/>
        </w:rPr>
        <w:t>2</w:t>
      </w:r>
      <w:r>
        <w:rPr>
          <w:rFonts w:hint="eastAsia" w:hAnsi="宋体" w:cs="宋体"/>
          <w:color w:val="000000"/>
          <w:szCs w:val="24"/>
        </w:rPr>
        <w:t>构造、断裂特征</w:t>
      </w:r>
    </w:p>
    <w:p w14:paraId="2FBFE4C2">
      <w:pPr>
        <w:pStyle w:val="94"/>
        <w:kinsoku/>
        <w:wordWrap/>
        <w:overflowPunct/>
        <w:topLinePunct/>
        <w:autoSpaceDN/>
        <w:snapToGrid/>
        <w:spacing w:after="0" w:line="500" w:lineRule="exact"/>
        <w:ind w:firstLine="526" w:firstLineChars="200"/>
        <w:jc w:val="both"/>
        <w:rPr>
          <w:rFonts w:hint="eastAsia" w:hAnsi="宋体" w:cs="宋体"/>
          <w:color w:val="000000"/>
          <w:szCs w:val="24"/>
        </w:rPr>
      </w:pPr>
      <w:r>
        <w:rPr>
          <w:rFonts w:hint="eastAsia" w:hAnsi="宋体" w:cs="宋体"/>
          <w:color w:val="000000"/>
          <w:szCs w:val="24"/>
        </w:rPr>
        <w:t>塔中Ⅰ号气田Ⅲ区处于北部坳陷阿满过渡带边缘，塔中I号断裂以北为塔中下斜坡，以南为塔中北斜坡，整体为一相对平缓的平台，平台向北倾斜，平台中部发育近东西向垒带，东部紧邻Ⅱ区发育地堑。</w:t>
      </w:r>
    </w:p>
    <w:p w14:paraId="6AD4CC71">
      <w:pPr>
        <w:pStyle w:val="193"/>
        <w:snapToGrid/>
        <w:spacing w:line="500" w:lineRule="exact"/>
        <w:ind w:firstLine="527"/>
        <w:rPr>
          <w:rFonts w:hint="eastAsia" w:hAnsi="宋体" w:cs="宋体"/>
          <w:color w:val="000000"/>
          <w:kern w:val="0"/>
          <w:szCs w:val="24"/>
        </w:rPr>
      </w:pPr>
      <w:r>
        <w:rPr>
          <w:rFonts w:hint="eastAsia" w:hAnsi="宋体" w:cs="宋体"/>
          <w:color w:val="000000"/>
          <w:szCs w:val="24"/>
        </w:rPr>
        <w:t>塔中Ⅰ号气田Ⅲ区一间房组主要发育塔中I号逆冲断裂、主干走滑断裂、加里东二幕走滑断裂和垒带逆断层四类断裂。发育一组逆断层、八条主干走滑断裂、二组垒带逆断层以及多组北西向加里东二幕断裂；主干走滑断裂切断塔中I号逆冲断裂、垒带逆断层。</w:t>
      </w:r>
    </w:p>
    <w:p w14:paraId="66E6D8A4">
      <w:pPr>
        <w:pStyle w:val="94"/>
        <w:kinsoku/>
        <w:wordWrap/>
        <w:overflowPunct/>
        <w:topLinePunct/>
        <w:autoSpaceDN/>
        <w:snapToGrid/>
        <w:spacing w:after="0" w:line="500" w:lineRule="exact"/>
        <w:jc w:val="both"/>
        <w:outlineLvl w:val="3"/>
        <w:rPr>
          <w:rFonts w:hint="eastAsia" w:hAnsi="宋体" w:cs="宋体"/>
          <w:color w:val="000000"/>
          <w:szCs w:val="24"/>
        </w:rPr>
      </w:pPr>
      <w:r>
        <w:rPr>
          <w:rFonts w:hint="eastAsia" w:hAnsi="宋体" w:cs="宋体"/>
          <w:bCs/>
          <w:color w:val="000000"/>
          <w:szCs w:val="24"/>
        </w:rPr>
        <w:t>3.3.</w:t>
      </w:r>
      <w:r>
        <w:rPr>
          <w:rFonts w:hAnsi="宋体" w:cs="宋体"/>
          <w:bCs/>
          <w:color w:val="000000"/>
          <w:szCs w:val="24"/>
        </w:rPr>
        <w:t>2.</w:t>
      </w:r>
      <w:r>
        <w:rPr>
          <w:rFonts w:hint="eastAsia" w:hAnsi="宋体" w:cs="宋体"/>
          <w:bCs/>
          <w:color w:val="000000"/>
          <w:szCs w:val="24"/>
        </w:rPr>
        <w:t>3</w:t>
      </w:r>
      <w:r>
        <w:rPr>
          <w:rFonts w:hAnsi="宋体" w:cs="宋体"/>
          <w:bCs/>
          <w:color w:val="000000"/>
          <w:szCs w:val="24"/>
        </w:rPr>
        <w:t xml:space="preserve"> </w:t>
      </w:r>
      <w:r>
        <w:rPr>
          <w:rFonts w:hint="eastAsia" w:hAnsi="宋体" w:cs="宋体"/>
          <w:color w:val="000000"/>
          <w:szCs w:val="24"/>
        </w:rPr>
        <w:t>储层特征</w:t>
      </w:r>
    </w:p>
    <w:p w14:paraId="1A9B4AFC">
      <w:pPr>
        <w:spacing w:line="500" w:lineRule="exact"/>
        <w:ind w:firstLine="546"/>
        <w:rPr>
          <w:rFonts w:hint="eastAsia" w:hAnsi="宋体" w:cs="宋体"/>
          <w:color w:val="000000"/>
          <w:szCs w:val="24"/>
        </w:rPr>
      </w:pPr>
      <w:r>
        <w:rPr>
          <w:rFonts w:hint="eastAsia" w:hAnsi="宋体" w:cs="宋体"/>
          <w:color w:val="000000"/>
          <w:szCs w:val="24"/>
        </w:rPr>
        <w:t>塔中Ⅰ号气田Ⅲ区一间房组岩性以亮晶砂屑灰岩为主，其次为泥晶砂屑灰岩；良里塔格组岩性以泥晶灰岩、隐藻泥晶灰岩为主，其次为砂屑灰岩。</w:t>
      </w:r>
    </w:p>
    <w:p w14:paraId="40FE504D">
      <w:pPr>
        <w:spacing w:line="500" w:lineRule="exact"/>
        <w:ind w:firstLine="546"/>
        <w:rPr>
          <w:rFonts w:hint="eastAsia" w:hAnsi="宋体" w:cs="宋体"/>
          <w:color w:val="000000"/>
          <w:szCs w:val="24"/>
        </w:rPr>
      </w:pPr>
      <w:r>
        <w:rPr>
          <w:rFonts w:hint="eastAsia" w:hAnsi="宋体" w:cs="宋体"/>
          <w:color w:val="000000"/>
          <w:szCs w:val="24"/>
        </w:rPr>
        <w:t>塔中Ⅰ号气田Ⅲ区紧邻塔中Ⅰ号断裂形成了条带状的台地边缘沉积，良里塔格组时期为塔中I号台缘带较陡，发育加积型镶边台地，一间房组时期为开阔台地发育大面积的台内滩。良里塔格组台缘砂屑滩生屑滩相互叠置发育，台内良三段南部古地貌高部位发育台内滩，低部位以滩间海为主；一间房组台缘发育以生屑滩、砂屑滩沉积为主，台内开阔台地发育大面积台内滩。</w:t>
      </w:r>
    </w:p>
    <w:p w14:paraId="0AB45181">
      <w:pPr>
        <w:autoSpaceDE w:val="0"/>
        <w:adjustRightInd w:val="0"/>
        <w:spacing w:line="500" w:lineRule="exact"/>
        <w:ind w:firstLine="526" w:firstLineChars="200"/>
        <w:textAlignment w:val="baseline"/>
        <w:rPr>
          <w:rFonts w:hint="eastAsia" w:hAnsi="宋体" w:cs="宋体"/>
          <w:color w:val="000000"/>
          <w:szCs w:val="24"/>
        </w:rPr>
      </w:pPr>
      <w:r>
        <w:rPr>
          <w:rFonts w:hint="eastAsia" w:hAnsi="宋体" w:cs="宋体"/>
          <w:color w:val="000000"/>
          <w:szCs w:val="24"/>
        </w:rPr>
        <w:t>塔中Ⅰ号气田Ⅲ区</w:t>
      </w:r>
      <w:r>
        <w:rPr>
          <w:rFonts w:hint="eastAsia" w:hAnsi="宋体" w:cs="宋体"/>
          <w:color w:val="000000"/>
          <w:kern w:val="0"/>
          <w:szCs w:val="24"/>
        </w:rPr>
        <w:t>储层储集空间主要有洞穴、裂缝、孔洞三种类型。根据各种储层空间类型的相互关系及发育程度，储层类型主要有洞穴型、裂缝-孔洞型、孔洞型及裂缝型四种。</w:t>
      </w:r>
      <w:r>
        <w:rPr>
          <w:rFonts w:hint="eastAsia" w:hAnsi="宋体" w:cs="宋体"/>
          <w:color w:val="000000"/>
          <w:szCs w:val="24"/>
        </w:rPr>
        <w:t>综合钻、录、测井，酸压，试井、试采多种资料分析</w:t>
      </w:r>
      <w:r>
        <w:rPr>
          <w:rFonts w:hint="eastAsia" w:hAnsi="宋体" w:cs="宋体"/>
          <w:color w:val="000000"/>
          <w:kern w:val="0"/>
          <w:szCs w:val="24"/>
        </w:rPr>
        <w:t>，</w:t>
      </w:r>
      <w:r>
        <w:rPr>
          <w:rFonts w:hint="eastAsia" w:hAnsi="宋体" w:cs="宋体"/>
          <w:color w:val="000000"/>
          <w:szCs w:val="24"/>
        </w:rPr>
        <w:t>认为塔中Ⅰ号气田Ⅲ区目前完钻井主要钻遇的是串珠状反射特征，储层类型以洞穴型和裂缝孔洞型储层为主。</w:t>
      </w:r>
    </w:p>
    <w:p w14:paraId="2CB2B66F">
      <w:pPr>
        <w:adjustRightInd w:val="0"/>
        <w:spacing w:line="500" w:lineRule="exact"/>
        <w:outlineLvl w:val="3"/>
        <w:rPr>
          <w:rFonts w:hint="eastAsia" w:hAnsi="宋体" w:cs="宋体"/>
          <w:color w:val="000000"/>
          <w:szCs w:val="24"/>
        </w:rPr>
      </w:pPr>
      <w:r>
        <w:rPr>
          <w:rFonts w:hint="eastAsia" w:hAnsi="宋体" w:cs="宋体"/>
          <w:color w:val="000000"/>
          <w:szCs w:val="24"/>
        </w:rPr>
        <w:t>3.3.2.4 油气物性</w:t>
      </w:r>
    </w:p>
    <w:p w14:paraId="468901E0">
      <w:pPr>
        <w:pStyle w:val="94"/>
        <w:kinsoku/>
        <w:wordWrap/>
        <w:overflowPunct/>
        <w:topLinePunct/>
        <w:autoSpaceDN/>
        <w:snapToGrid/>
        <w:spacing w:after="0" w:line="240" w:lineRule="auto"/>
        <w:ind w:firstLine="526" w:firstLineChars="200"/>
        <w:jc w:val="both"/>
        <w:rPr>
          <w:rFonts w:hint="eastAsia" w:hAnsi="宋体" w:cs="宋体"/>
          <w:color w:val="000000"/>
          <w:kern w:val="2"/>
          <w:szCs w:val="24"/>
        </w:rPr>
      </w:pPr>
      <w:r>
        <w:rPr>
          <w:rFonts w:hint="eastAsia" w:hAnsi="宋体" w:cs="宋体"/>
          <w:color w:val="000000"/>
          <w:kern w:val="2"/>
          <w:szCs w:val="24"/>
        </w:rPr>
        <w:t>①凝析油物性</w:t>
      </w:r>
    </w:p>
    <w:p w14:paraId="5D3ABAB2">
      <w:pPr>
        <w:pStyle w:val="94"/>
        <w:kinsoku/>
        <w:wordWrap/>
        <w:overflowPunct/>
        <w:topLinePunct/>
        <w:autoSpaceDN/>
        <w:snapToGrid/>
        <w:spacing w:after="0" w:line="240" w:lineRule="auto"/>
        <w:ind w:firstLine="526" w:firstLineChars="200"/>
        <w:jc w:val="both"/>
        <w:rPr>
          <w:rFonts w:hint="eastAsia" w:hAnsi="宋体" w:cs="宋体"/>
          <w:color w:val="000000"/>
          <w:kern w:val="2"/>
          <w:szCs w:val="24"/>
        </w:rPr>
      </w:pPr>
      <w:r>
        <w:rPr>
          <w:rFonts w:hint="eastAsia" w:hAnsi="宋体" w:cs="宋体"/>
          <w:color w:val="000000"/>
          <w:kern w:val="2"/>
          <w:szCs w:val="24"/>
        </w:rPr>
        <w:t>地面凝析油密度0.7236～0.7575g/cm</w:t>
      </w:r>
      <w:r>
        <w:rPr>
          <w:rFonts w:hint="eastAsia" w:hAnsi="宋体" w:cs="宋体"/>
          <w:color w:val="000000"/>
          <w:kern w:val="2"/>
          <w:szCs w:val="24"/>
          <w:vertAlign w:val="superscript"/>
        </w:rPr>
        <w:t>3</w:t>
      </w:r>
      <w:r>
        <w:rPr>
          <w:rFonts w:hint="eastAsia" w:hAnsi="宋体" w:cs="宋体"/>
          <w:color w:val="000000"/>
          <w:kern w:val="2"/>
          <w:szCs w:val="24"/>
        </w:rPr>
        <w:t>,粘度(50℃)0.3444～0.5655mPa.s,含蜡量0.2%～4.1%,胶质+沥青含量1.93%～8.63%，含硫为0.103%～0.512%，凝固点为＜-30℃，具有低粘度、低凝固点、低含硫、低胶质+沥青含量、低蜡量特征。</w:t>
      </w:r>
    </w:p>
    <w:p w14:paraId="0CAB24E5">
      <w:pPr>
        <w:pStyle w:val="94"/>
        <w:kinsoku/>
        <w:wordWrap/>
        <w:overflowPunct/>
        <w:topLinePunct/>
        <w:autoSpaceDN/>
        <w:snapToGrid/>
        <w:spacing w:before="120" w:after="0" w:line="240" w:lineRule="auto"/>
        <w:ind w:firstLine="526" w:firstLineChars="200"/>
        <w:jc w:val="both"/>
        <w:rPr>
          <w:rFonts w:hint="eastAsia" w:hAnsi="宋体" w:cs="宋体"/>
          <w:color w:val="000000"/>
          <w:szCs w:val="24"/>
        </w:rPr>
      </w:pPr>
      <w:r>
        <w:rPr>
          <w:rFonts w:hint="eastAsia" w:hAnsi="宋体" w:cs="宋体"/>
          <w:color w:val="000000"/>
          <w:szCs w:val="24"/>
        </w:rPr>
        <w:t>②天然气性质</w:t>
      </w:r>
    </w:p>
    <w:p w14:paraId="43B909C1">
      <w:pPr>
        <w:pStyle w:val="94"/>
        <w:kinsoku/>
        <w:wordWrap/>
        <w:overflowPunct/>
        <w:topLinePunct/>
        <w:autoSpaceDN/>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天然气相对密度0.7007</w:t>
      </w:r>
      <w:r>
        <w:rPr>
          <w:rFonts w:hint="eastAsia" w:hAnsi="宋体" w:cs="宋体"/>
          <w:color w:val="000000"/>
          <w:kern w:val="2"/>
          <w:szCs w:val="24"/>
        </w:rPr>
        <w:t>～</w:t>
      </w:r>
      <w:r>
        <w:rPr>
          <w:rFonts w:hint="eastAsia" w:hAnsi="宋体" w:cs="宋体"/>
          <w:color w:val="000000"/>
          <w:szCs w:val="24"/>
        </w:rPr>
        <w:t>0.7483，C0</w:t>
      </w:r>
      <w:r>
        <w:rPr>
          <w:rFonts w:hint="eastAsia" w:hAnsi="宋体" w:cs="宋体"/>
          <w:color w:val="000000"/>
          <w:szCs w:val="24"/>
          <w:vertAlign w:val="subscript"/>
        </w:rPr>
        <w:t>2</w:t>
      </w:r>
      <w:r>
        <w:rPr>
          <w:rFonts w:hint="eastAsia" w:hAnsi="宋体" w:cs="宋体"/>
          <w:color w:val="000000"/>
          <w:szCs w:val="24"/>
        </w:rPr>
        <w:t>摩尔组分为0.318</w:t>
      </w:r>
      <w:r>
        <w:rPr>
          <w:rFonts w:hint="eastAsia" w:hAnsi="宋体" w:cs="宋体"/>
          <w:color w:val="000000"/>
          <w:kern w:val="2"/>
          <w:szCs w:val="24"/>
        </w:rPr>
        <w:t>%～</w:t>
      </w:r>
      <w:r>
        <w:rPr>
          <w:rFonts w:hint="eastAsia" w:hAnsi="宋体" w:cs="宋体"/>
          <w:color w:val="000000"/>
          <w:szCs w:val="24"/>
        </w:rPr>
        <w:t>1.778%，N</w:t>
      </w:r>
      <w:r>
        <w:rPr>
          <w:rFonts w:hint="eastAsia" w:hAnsi="宋体" w:cs="宋体"/>
          <w:color w:val="000000"/>
          <w:szCs w:val="24"/>
          <w:vertAlign w:val="subscript"/>
        </w:rPr>
        <w:t>2</w:t>
      </w:r>
      <w:r>
        <w:rPr>
          <w:rFonts w:hint="eastAsia" w:hAnsi="宋体" w:cs="宋体"/>
          <w:color w:val="000000"/>
          <w:szCs w:val="24"/>
        </w:rPr>
        <w:t>摩尔组分为10.66</w:t>
      </w:r>
      <w:r>
        <w:rPr>
          <w:rFonts w:hint="eastAsia" w:hAnsi="宋体" w:cs="宋体"/>
          <w:color w:val="000000"/>
          <w:kern w:val="2"/>
          <w:szCs w:val="24"/>
        </w:rPr>
        <w:t>%～</w:t>
      </w:r>
      <w:r>
        <w:rPr>
          <w:rFonts w:hint="eastAsia" w:hAnsi="宋体" w:cs="宋体"/>
          <w:color w:val="000000"/>
          <w:szCs w:val="24"/>
        </w:rPr>
        <w:t>19.25%。CH</w:t>
      </w:r>
      <w:r>
        <w:rPr>
          <w:rFonts w:hint="eastAsia" w:hAnsi="宋体" w:cs="宋体"/>
          <w:color w:val="000000"/>
          <w:szCs w:val="24"/>
          <w:vertAlign w:val="subscript"/>
        </w:rPr>
        <w:t>4</w:t>
      </w:r>
      <w:r>
        <w:rPr>
          <w:rFonts w:hint="eastAsia" w:hAnsi="宋体" w:cs="宋体"/>
          <w:color w:val="000000"/>
          <w:szCs w:val="24"/>
        </w:rPr>
        <w:t>摩尔组分为68.24</w:t>
      </w:r>
      <w:r>
        <w:rPr>
          <w:rFonts w:hint="eastAsia" w:hAnsi="宋体" w:cs="宋体"/>
          <w:color w:val="000000"/>
          <w:kern w:val="2"/>
          <w:szCs w:val="24"/>
        </w:rPr>
        <w:t>%～</w:t>
      </w:r>
      <w:r>
        <w:rPr>
          <w:rFonts w:hint="eastAsia" w:hAnsi="宋体" w:cs="宋体"/>
          <w:color w:val="000000"/>
          <w:szCs w:val="24"/>
        </w:rPr>
        <w:t>75.68%，C</w:t>
      </w:r>
      <w:r>
        <w:rPr>
          <w:rFonts w:hint="eastAsia" w:hAnsi="宋体" w:cs="宋体"/>
          <w:color w:val="000000"/>
          <w:szCs w:val="24"/>
          <w:vertAlign w:val="subscript"/>
        </w:rPr>
        <w:t>2</w:t>
      </w:r>
      <w:r>
        <w:rPr>
          <w:rFonts w:hint="eastAsia" w:hAnsi="宋体" w:cs="宋体"/>
          <w:color w:val="000000"/>
          <w:szCs w:val="24"/>
        </w:rPr>
        <w:t>H</w:t>
      </w:r>
      <w:r>
        <w:rPr>
          <w:rFonts w:hint="eastAsia" w:hAnsi="宋体" w:cs="宋体"/>
          <w:color w:val="000000"/>
          <w:szCs w:val="24"/>
          <w:vertAlign w:val="subscript"/>
        </w:rPr>
        <w:t>6</w:t>
      </w:r>
      <w:r>
        <w:rPr>
          <w:rFonts w:hint="eastAsia" w:hAnsi="宋体" w:cs="宋体"/>
          <w:color w:val="000000"/>
          <w:szCs w:val="24"/>
        </w:rPr>
        <w:t>摩尔组分为4.468</w:t>
      </w:r>
      <w:r>
        <w:rPr>
          <w:rFonts w:hint="eastAsia" w:hAnsi="宋体" w:cs="宋体"/>
          <w:color w:val="000000"/>
          <w:kern w:val="2"/>
          <w:szCs w:val="24"/>
        </w:rPr>
        <w:t>%～</w:t>
      </w:r>
      <w:r>
        <w:rPr>
          <w:rFonts w:hint="eastAsia" w:hAnsi="宋体" w:cs="宋体"/>
          <w:color w:val="000000"/>
          <w:szCs w:val="24"/>
        </w:rPr>
        <w:t>7.483%，H</w:t>
      </w:r>
      <w:r>
        <w:rPr>
          <w:rFonts w:hint="eastAsia" w:hAnsi="宋体" w:cs="宋体"/>
          <w:color w:val="000000"/>
          <w:szCs w:val="24"/>
          <w:vertAlign w:val="subscript"/>
        </w:rPr>
        <w:t>2</w:t>
      </w:r>
      <w:r>
        <w:rPr>
          <w:rFonts w:hint="eastAsia" w:hAnsi="宋体" w:cs="宋体"/>
          <w:color w:val="000000"/>
          <w:szCs w:val="24"/>
        </w:rPr>
        <w:t>S摩尔组分为0.1178%</w:t>
      </w:r>
      <w:r>
        <w:rPr>
          <w:rFonts w:hint="eastAsia" w:hAnsi="宋体" w:cs="宋体"/>
          <w:color w:val="000000"/>
          <w:kern w:val="2"/>
          <w:szCs w:val="24"/>
        </w:rPr>
        <w:t>～</w:t>
      </w:r>
      <w:r>
        <w:rPr>
          <w:rFonts w:hint="eastAsia" w:hAnsi="宋体" w:cs="宋体"/>
          <w:color w:val="000000"/>
          <w:szCs w:val="24"/>
        </w:rPr>
        <w:t>0.73%。</w:t>
      </w:r>
    </w:p>
    <w:p w14:paraId="1A42FC81">
      <w:pPr>
        <w:pStyle w:val="94"/>
        <w:kinsoku/>
        <w:wordWrap/>
        <w:overflowPunct/>
        <w:topLinePunct/>
        <w:autoSpaceDN/>
        <w:snapToGrid/>
        <w:spacing w:before="120" w:after="0" w:line="240" w:lineRule="auto"/>
        <w:ind w:firstLine="526" w:firstLineChars="200"/>
        <w:jc w:val="both"/>
        <w:rPr>
          <w:rFonts w:hint="eastAsia" w:hAnsi="宋体" w:cs="宋体"/>
          <w:color w:val="000000"/>
          <w:szCs w:val="24"/>
        </w:rPr>
      </w:pPr>
      <w:r>
        <w:rPr>
          <w:rFonts w:hint="eastAsia" w:hAnsi="宋体" w:cs="宋体"/>
          <w:color w:val="000000"/>
          <w:szCs w:val="24"/>
        </w:rPr>
        <w:t>③地层水特性</w:t>
      </w:r>
    </w:p>
    <w:p w14:paraId="1717CBBB">
      <w:pPr>
        <w:autoSpaceDE w:val="0"/>
        <w:adjustRightInd w:val="0"/>
        <w:ind w:firstLine="526" w:firstLineChars="200"/>
        <w:textAlignment w:val="baseline"/>
        <w:rPr>
          <w:rFonts w:hint="eastAsia" w:hAnsi="宋体" w:cs="宋体"/>
          <w:color w:val="000000"/>
          <w:szCs w:val="24"/>
        </w:rPr>
      </w:pPr>
      <w:r>
        <w:rPr>
          <w:rFonts w:hint="eastAsia" w:hAnsi="宋体" w:cs="宋体"/>
          <w:color w:val="000000"/>
          <w:szCs w:val="24"/>
        </w:rPr>
        <w:t>地层水密度为1.059～1.098g/cm</w:t>
      </w:r>
      <w:r>
        <w:rPr>
          <w:rFonts w:hint="eastAsia" w:hAnsi="宋体" w:cs="宋体"/>
          <w:color w:val="000000"/>
          <w:szCs w:val="24"/>
          <w:vertAlign w:val="superscript"/>
        </w:rPr>
        <w:t>3</w:t>
      </w:r>
      <w:r>
        <w:rPr>
          <w:rFonts w:hint="eastAsia" w:hAnsi="宋体" w:cs="宋体"/>
          <w:color w:val="000000"/>
          <w:szCs w:val="24"/>
        </w:rPr>
        <w:t>，总矿化度为13.35～14.22×10</w:t>
      </w:r>
      <w:r>
        <w:rPr>
          <w:rFonts w:hint="eastAsia" w:hAnsi="宋体" w:cs="宋体"/>
          <w:color w:val="000000"/>
          <w:szCs w:val="24"/>
          <w:vertAlign w:val="superscript"/>
        </w:rPr>
        <w:t>4</w:t>
      </w:r>
      <w:r>
        <w:rPr>
          <w:rFonts w:hint="eastAsia" w:hAnsi="宋体" w:cs="宋体"/>
          <w:color w:val="000000"/>
          <w:szCs w:val="24"/>
        </w:rPr>
        <w:t>mg/L，pH值6.91～7.03，为弱酸性，地层水为氯化钙水型</w:t>
      </w:r>
      <w:r>
        <w:rPr>
          <w:rFonts w:hint="eastAsia" w:hAnsi="宋体" w:cs="宋体"/>
          <w:bCs/>
          <w:color w:val="000000"/>
          <w:szCs w:val="24"/>
        </w:rPr>
        <w:t>。</w:t>
      </w:r>
    </w:p>
    <w:p w14:paraId="4DCF7CAC">
      <w:pPr>
        <w:autoSpaceDE w:val="0"/>
        <w:adjustRightInd w:val="0"/>
        <w:spacing w:before="120" w:line="480" w:lineRule="exact"/>
        <w:textAlignment w:val="baseline"/>
        <w:outlineLvl w:val="2"/>
        <w:rPr>
          <w:rFonts w:hint="eastAsia" w:hAnsi="宋体" w:cs="宋体"/>
          <w:color w:val="000000"/>
          <w:szCs w:val="24"/>
        </w:rPr>
      </w:pPr>
      <w:r>
        <w:rPr>
          <w:rFonts w:hint="eastAsia" w:hAnsi="宋体" w:cs="宋体"/>
          <w:color w:val="000000"/>
          <w:szCs w:val="24"/>
        </w:rPr>
        <w:t>3.3.4 主要技术经济指标</w:t>
      </w:r>
    </w:p>
    <w:p w14:paraId="46AE5CD2">
      <w:pPr>
        <w:spacing w:line="480" w:lineRule="exact"/>
        <w:ind w:firstLine="526" w:firstLineChars="200"/>
        <w:rPr>
          <w:rFonts w:hint="eastAsia" w:hAnsi="宋体" w:cs="宋体"/>
          <w:color w:val="000000"/>
          <w:szCs w:val="24"/>
        </w:rPr>
      </w:pPr>
      <w:r>
        <w:rPr>
          <w:rFonts w:hint="eastAsia" w:hAnsi="宋体" w:cs="宋体"/>
          <w:color w:val="000000"/>
          <w:szCs w:val="24"/>
        </w:rPr>
        <w:t>拟建工程主要技术经济指标见表3.3-2。</w:t>
      </w:r>
    </w:p>
    <w:p w14:paraId="71FDE21B">
      <w:pPr>
        <w:adjustRightInd w:val="0"/>
        <w:spacing w:line="480" w:lineRule="exact"/>
        <w:ind w:firstLine="526" w:firstLineChars="200"/>
        <w:rPr>
          <w:rFonts w:hint="eastAsia" w:ascii="黑体" w:hAnsi="黑体" w:eastAsia="黑体" w:cs="黑体"/>
          <w:color w:val="000000"/>
          <w:szCs w:val="24"/>
        </w:rPr>
      </w:pPr>
      <w:r>
        <w:rPr>
          <w:rFonts w:hint="eastAsia" w:ascii="黑体" w:hAnsi="黑体" w:eastAsia="黑体" w:cs="宋体"/>
          <w:color w:val="000000"/>
          <w:szCs w:val="24"/>
        </w:rPr>
        <w:t xml:space="preserve">表3.3-2    </w:t>
      </w:r>
      <w:r>
        <w:rPr>
          <w:rFonts w:hint="eastAsia" w:ascii="黑体" w:hAnsi="黑体" w:eastAsia="黑体" w:cs="黑体"/>
          <w:color w:val="000000"/>
          <w:szCs w:val="24"/>
        </w:rPr>
        <w:t xml:space="preserve">   拟建工程主要技术经济指标一览表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46"/>
        <w:gridCol w:w="1093"/>
        <w:gridCol w:w="3472"/>
        <w:gridCol w:w="1880"/>
        <w:gridCol w:w="1724"/>
      </w:tblGrid>
      <w:tr w14:paraId="7BE5EE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2D4B6E4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2531" w:type="pct"/>
            <w:gridSpan w:val="2"/>
            <w:vAlign w:val="center"/>
          </w:tcPr>
          <w:p w14:paraId="78C0491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1042" w:type="pct"/>
            <w:vAlign w:val="center"/>
          </w:tcPr>
          <w:p w14:paraId="6B46D33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956" w:type="pct"/>
            <w:vAlign w:val="center"/>
          </w:tcPr>
          <w:p w14:paraId="00537F7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数量</w:t>
            </w:r>
          </w:p>
        </w:tc>
      </w:tr>
      <w:tr w14:paraId="2FD7B2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7FF23415">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1</w:t>
            </w:r>
          </w:p>
        </w:tc>
        <w:tc>
          <w:tcPr>
            <w:tcW w:w="606" w:type="pct"/>
            <w:vMerge w:val="restart"/>
            <w:vAlign w:val="center"/>
          </w:tcPr>
          <w:p w14:paraId="350D755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开发指标</w:t>
            </w:r>
          </w:p>
        </w:tc>
        <w:tc>
          <w:tcPr>
            <w:tcW w:w="1925" w:type="pct"/>
            <w:vAlign w:val="center"/>
          </w:tcPr>
          <w:p w14:paraId="73D00357">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ZG11-H1井至ZG8-9井集输管线</w:t>
            </w:r>
          </w:p>
        </w:tc>
        <w:tc>
          <w:tcPr>
            <w:tcW w:w="1042" w:type="pct"/>
            <w:vAlign w:val="center"/>
          </w:tcPr>
          <w:p w14:paraId="3DF8E97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km</w:t>
            </w:r>
          </w:p>
        </w:tc>
        <w:tc>
          <w:tcPr>
            <w:tcW w:w="956" w:type="pct"/>
            <w:vAlign w:val="center"/>
          </w:tcPr>
          <w:p w14:paraId="7E92BE5E">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2.5</w:t>
            </w:r>
          </w:p>
        </w:tc>
      </w:tr>
      <w:tr w14:paraId="4DDEB3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1A12211A">
            <w:pPr>
              <w:widowControl/>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606" w:type="pct"/>
            <w:vMerge w:val="continue"/>
            <w:vAlign w:val="center"/>
          </w:tcPr>
          <w:p w14:paraId="570C310D">
            <w:pPr>
              <w:adjustRightInd w:val="0"/>
              <w:spacing w:line="0" w:lineRule="atLeast"/>
              <w:jc w:val="center"/>
              <w:rPr>
                <w:rFonts w:hint="eastAsia" w:hAnsi="宋体" w:cs="宋体"/>
                <w:color w:val="000000"/>
                <w:spacing w:val="-10"/>
                <w:sz w:val="21"/>
                <w:szCs w:val="21"/>
              </w:rPr>
            </w:pPr>
          </w:p>
        </w:tc>
        <w:tc>
          <w:tcPr>
            <w:tcW w:w="1925" w:type="pct"/>
            <w:vAlign w:val="center"/>
          </w:tcPr>
          <w:p w14:paraId="5657F56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ZG431-H3至DN150外输管线碰头点后1km管线</w:t>
            </w:r>
          </w:p>
        </w:tc>
        <w:tc>
          <w:tcPr>
            <w:tcW w:w="1042" w:type="pct"/>
            <w:vAlign w:val="center"/>
          </w:tcPr>
          <w:p w14:paraId="02E2E5C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km</w:t>
            </w:r>
          </w:p>
        </w:tc>
        <w:tc>
          <w:tcPr>
            <w:tcW w:w="956" w:type="pct"/>
            <w:vAlign w:val="center"/>
          </w:tcPr>
          <w:p w14:paraId="5FD4DDEA">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1.0</w:t>
            </w:r>
          </w:p>
        </w:tc>
      </w:tr>
      <w:tr w14:paraId="7AFF37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5129BE71">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3</w:t>
            </w:r>
          </w:p>
        </w:tc>
        <w:tc>
          <w:tcPr>
            <w:tcW w:w="606" w:type="pct"/>
            <w:vMerge w:val="continue"/>
            <w:vAlign w:val="center"/>
          </w:tcPr>
          <w:p w14:paraId="0FB407C2">
            <w:pPr>
              <w:adjustRightInd w:val="0"/>
              <w:spacing w:line="0" w:lineRule="atLeast"/>
              <w:jc w:val="center"/>
              <w:rPr>
                <w:rFonts w:hint="eastAsia" w:hAnsi="宋体" w:cs="宋体"/>
                <w:color w:val="000000"/>
                <w:spacing w:val="-10"/>
                <w:sz w:val="21"/>
                <w:szCs w:val="21"/>
              </w:rPr>
            </w:pPr>
          </w:p>
        </w:tc>
        <w:tc>
          <w:tcPr>
            <w:tcW w:w="1925" w:type="pct"/>
            <w:vAlign w:val="center"/>
          </w:tcPr>
          <w:p w14:paraId="6B169CCF">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内穿插修复管线</w:t>
            </w:r>
          </w:p>
        </w:tc>
        <w:tc>
          <w:tcPr>
            <w:tcW w:w="1042" w:type="pct"/>
            <w:vAlign w:val="center"/>
          </w:tcPr>
          <w:p w14:paraId="18F1EA5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km</w:t>
            </w:r>
          </w:p>
        </w:tc>
        <w:tc>
          <w:tcPr>
            <w:tcW w:w="956" w:type="pct"/>
            <w:vAlign w:val="center"/>
          </w:tcPr>
          <w:p w14:paraId="7E723C12">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10.35</w:t>
            </w:r>
          </w:p>
        </w:tc>
      </w:tr>
      <w:tr w14:paraId="793315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1B256626">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4</w:t>
            </w:r>
          </w:p>
        </w:tc>
        <w:tc>
          <w:tcPr>
            <w:tcW w:w="606" w:type="pct"/>
            <w:vMerge w:val="restart"/>
            <w:vAlign w:val="center"/>
          </w:tcPr>
          <w:p w14:paraId="20580E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综合指标</w:t>
            </w:r>
          </w:p>
        </w:tc>
        <w:tc>
          <w:tcPr>
            <w:tcW w:w="1925" w:type="pct"/>
            <w:vAlign w:val="center"/>
          </w:tcPr>
          <w:p w14:paraId="080D9DE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总投资</w:t>
            </w:r>
          </w:p>
        </w:tc>
        <w:tc>
          <w:tcPr>
            <w:tcW w:w="1042" w:type="pct"/>
            <w:vAlign w:val="center"/>
          </w:tcPr>
          <w:p w14:paraId="21DD30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万元</w:t>
            </w:r>
          </w:p>
        </w:tc>
        <w:tc>
          <w:tcPr>
            <w:tcW w:w="956" w:type="pct"/>
            <w:vAlign w:val="center"/>
          </w:tcPr>
          <w:p w14:paraId="36F84E7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354.88</w:t>
            </w:r>
          </w:p>
        </w:tc>
      </w:tr>
      <w:tr w14:paraId="4F929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783C3609">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5</w:t>
            </w:r>
          </w:p>
        </w:tc>
        <w:tc>
          <w:tcPr>
            <w:tcW w:w="606" w:type="pct"/>
            <w:vMerge w:val="continue"/>
            <w:vAlign w:val="center"/>
          </w:tcPr>
          <w:p w14:paraId="05A2BCE3">
            <w:pPr>
              <w:adjustRightInd w:val="0"/>
              <w:spacing w:line="0" w:lineRule="atLeast"/>
              <w:jc w:val="center"/>
              <w:rPr>
                <w:rFonts w:hint="eastAsia" w:hAnsi="宋体" w:cs="宋体"/>
                <w:color w:val="000000"/>
                <w:spacing w:val="-10"/>
                <w:sz w:val="21"/>
                <w:szCs w:val="21"/>
              </w:rPr>
            </w:pPr>
          </w:p>
        </w:tc>
        <w:tc>
          <w:tcPr>
            <w:tcW w:w="1925" w:type="pct"/>
            <w:vAlign w:val="center"/>
          </w:tcPr>
          <w:p w14:paraId="06CD425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环保投资</w:t>
            </w:r>
          </w:p>
        </w:tc>
        <w:tc>
          <w:tcPr>
            <w:tcW w:w="1042" w:type="pct"/>
            <w:vAlign w:val="center"/>
          </w:tcPr>
          <w:p w14:paraId="209CD4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万元</w:t>
            </w:r>
          </w:p>
        </w:tc>
        <w:tc>
          <w:tcPr>
            <w:tcW w:w="956" w:type="pct"/>
            <w:vAlign w:val="center"/>
          </w:tcPr>
          <w:p w14:paraId="2E71FBCE">
            <w:pPr>
              <w:spacing w:line="0" w:lineRule="atLeast"/>
              <w:jc w:val="center"/>
              <w:rPr>
                <w:rFonts w:hAnsi="宋体" w:cs="宋体"/>
                <w:color w:val="000000"/>
                <w:spacing w:val="-10"/>
                <w:sz w:val="21"/>
                <w:szCs w:val="21"/>
              </w:rPr>
            </w:pPr>
            <w:r>
              <w:rPr>
                <w:rFonts w:hint="eastAsia" w:hAnsi="宋体" w:cs="宋体"/>
                <w:color w:val="000000"/>
                <w:spacing w:val="-10"/>
                <w:sz w:val="21"/>
                <w:szCs w:val="21"/>
              </w:rPr>
              <w:t>50</w:t>
            </w:r>
          </w:p>
        </w:tc>
      </w:tr>
      <w:tr w14:paraId="6E8E27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4DCD93D1">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6</w:t>
            </w:r>
          </w:p>
        </w:tc>
        <w:tc>
          <w:tcPr>
            <w:tcW w:w="606" w:type="pct"/>
            <w:vMerge w:val="restart"/>
            <w:vAlign w:val="center"/>
          </w:tcPr>
          <w:p w14:paraId="6EAC99C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综合指标</w:t>
            </w:r>
          </w:p>
        </w:tc>
        <w:tc>
          <w:tcPr>
            <w:tcW w:w="1925" w:type="pct"/>
            <w:vAlign w:val="center"/>
          </w:tcPr>
          <w:p w14:paraId="2672A87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永久占地面积</w:t>
            </w:r>
          </w:p>
        </w:tc>
        <w:tc>
          <w:tcPr>
            <w:tcW w:w="1042" w:type="pct"/>
            <w:vAlign w:val="center"/>
          </w:tcPr>
          <w:p w14:paraId="022B391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hm</w:t>
            </w:r>
            <w:r>
              <w:rPr>
                <w:rFonts w:hint="eastAsia" w:hAnsi="宋体" w:cs="宋体"/>
                <w:color w:val="000000"/>
                <w:spacing w:val="-10"/>
                <w:sz w:val="21"/>
                <w:szCs w:val="21"/>
                <w:vertAlign w:val="superscript"/>
              </w:rPr>
              <w:t>2</w:t>
            </w:r>
          </w:p>
        </w:tc>
        <w:tc>
          <w:tcPr>
            <w:tcW w:w="956" w:type="pct"/>
            <w:vAlign w:val="center"/>
          </w:tcPr>
          <w:p w14:paraId="2556BE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r>
      <w:tr w14:paraId="6D39A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4B7D3041">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7</w:t>
            </w:r>
          </w:p>
        </w:tc>
        <w:tc>
          <w:tcPr>
            <w:tcW w:w="606" w:type="pct"/>
            <w:vMerge w:val="continue"/>
            <w:vAlign w:val="center"/>
          </w:tcPr>
          <w:p w14:paraId="7D1CD9CF">
            <w:pPr>
              <w:adjustRightInd w:val="0"/>
              <w:spacing w:line="0" w:lineRule="atLeast"/>
              <w:jc w:val="center"/>
              <w:rPr>
                <w:rFonts w:hint="eastAsia" w:hAnsi="宋体" w:cs="宋体"/>
                <w:color w:val="000000"/>
                <w:spacing w:val="-10"/>
                <w:sz w:val="21"/>
                <w:szCs w:val="21"/>
              </w:rPr>
            </w:pPr>
          </w:p>
        </w:tc>
        <w:tc>
          <w:tcPr>
            <w:tcW w:w="1925" w:type="pct"/>
            <w:vAlign w:val="center"/>
          </w:tcPr>
          <w:p w14:paraId="2A79A0C6">
            <w:pPr>
              <w:spacing w:line="0" w:lineRule="atLeast"/>
              <w:jc w:val="center"/>
              <w:rPr>
                <w:rFonts w:hAnsi="宋体" w:cs="宋体"/>
                <w:color w:val="000000"/>
                <w:spacing w:val="-10"/>
                <w:sz w:val="21"/>
                <w:szCs w:val="21"/>
              </w:rPr>
            </w:pPr>
            <w:r>
              <w:rPr>
                <w:rFonts w:hint="eastAsia" w:hAnsi="宋体" w:cs="宋体"/>
                <w:color w:val="000000"/>
                <w:spacing w:val="-10"/>
                <w:sz w:val="21"/>
                <w:szCs w:val="21"/>
              </w:rPr>
              <w:t>临时占地面积</w:t>
            </w:r>
          </w:p>
        </w:tc>
        <w:tc>
          <w:tcPr>
            <w:tcW w:w="1042" w:type="pct"/>
            <w:vAlign w:val="center"/>
          </w:tcPr>
          <w:p w14:paraId="6F5E600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hm</w:t>
            </w:r>
            <w:r>
              <w:rPr>
                <w:rFonts w:hint="eastAsia" w:hAnsi="宋体" w:cs="宋体"/>
                <w:color w:val="000000"/>
                <w:spacing w:val="-10"/>
                <w:sz w:val="21"/>
                <w:szCs w:val="21"/>
                <w:vertAlign w:val="superscript"/>
              </w:rPr>
              <w:t>2</w:t>
            </w:r>
          </w:p>
        </w:tc>
        <w:tc>
          <w:tcPr>
            <w:tcW w:w="956" w:type="pct"/>
            <w:vAlign w:val="center"/>
          </w:tcPr>
          <w:p w14:paraId="2DEC7DF5">
            <w:pPr>
              <w:spacing w:line="0" w:lineRule="atLeast"/>
              <w:jc w:val="center"/>
              <w:rPr>
                <w:rFonts w:hAnsi="宋体" w:cs="宋体"/>
                <w:color w:val="000000"/>
                <w:spacing w:val="-10"/>
                <w:sz w:val="21"/>
                <w:szCs w:val="21"/>
              </w:rPr>
            </w:pPr>
            <w:r>
              <w:rPr>
                <w:rFonts w:hint="eastAsia" w:hAnsi="宋体" w:cs="宋体"/>
                <w:color w:val="000000"/>
                <w:spacing w:val="-10"/>
                <w:sz w:val="21"/>
                <w:szCs w:val="21"/>
              </w:rPr>
              <w:t>5.96</w:t>
            </w:r>
          </w:p>
        </w:tc>
      </w:tr>
      <w:tr w14:paraId="666EE8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4D7084AF">
            <w:pPr>
              <w:widowControl/>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8</w:t>
            </w:r>
          </w:p>
        </w:tc>
        <w:tc>
          <w:tcPr>
            <w:tcW w:w="606" w:type="pct"/>
            <w:vMerge w:val="continue"/>
            <w:vAlign w:val="center"/>
          </w:tcPr>
          <w:p w14:paraId="7EE2EA02">
            <w:pPr>
              <w:adjustRightInd w:val="0"/>
              <w:spacing w:line="0" w:lineRule="atLeast"/>
              <w:jc w:val="center"/>
              <w:rPr>
                <w:rFonts w:hint="eastAsia" w:hAnsi="宋体" w:cs="宋体"/>
                <w:color w:val="000000"/>
                <w:spacing w:val="-10"/>
                <w:sz w:val="21"/>
                <w:szCs w:val="21"/>
              </w:rPr>
            </w:pPr>
          </w:p>
        </w:tc>
        <w:tc>
          <w:tcPr>
            <w:tcW w:w="1925" w:type="pct"/>
            <w:vAlign w:val="center"/>
          </w:tcPr>
          <w:p w14:paraId="1944D836">
            <w:pPr>
              <w:spacing w:line="0" w:lineRule="atLeast"/>
              <w:jc w:val="center"/>
              <w:rPr>
                <w:rFonts w:hAnsi="宋体" w:cs="宋体"/>
                <w:color w:val="000000"/>
                <w:spacing w:val="-10"/>
                <w:sz w:val="21"/>
                <w:szCs w:val="21"/>
              </w:rPr>
            </w:pPr>
            <w:r>
              <w:rPr>
                <w:rFonts w:hint="eastAsia" w:hAnsi="宋体" w:cs="宋体"/>
                <w:color w:val="000000"/>
                <w:spacing w:val="-10"/>
                <w:sz w:val="21"/>
                <w:szCs w:val="21"/>
              </w:rPr>
              <w:t>劳动定员</w:t>
            </w:r>
          </w:p>
        </w:tc>
        <w:tc>
          <w:tcPr>
            <w:tcW w:w="1042" w:type="pct"/>
            <w:vAlign w:val="center"/>
          </w:tcPr>
          <w:p w14:paraId="269912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人</w:t>
            </w:r>
          </w:p>
        </w:tc>
        <w:tc>
          <w:tcPr>
            <w:tcW w:w="956" w:type="pct"/>
            <w:vAlign w:val="center"/>
          </w:tcPr>
          <w:p w14:paraId="2DD1C10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0（无人值守）</w:t>
            </w:r>
          </w:p>
        </w:tc>
      </w:tr>
      <w:tr w14:paraId="639835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69" w:type="pct"/>
            <w:vAlign w:val="center"/>
          </w:tcPr>
          <w:p w14:paraId="529D761F">
            <w:pPr>
              <w:widowControl/>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9</w:t>
            </w:r>
          </w:p>
        </w:tc>
        <w:tc>
          <w:tcPr>
            <w:tcW w:w="606" w:type="pct"/>
            <w:vMerge w:val="continue"/>
            <w:vAlign w:val="center"/>
          </w:tcPr>
          <w:p w14:paraId="6D20E1FF">
            <w:pPr>
              <w:adjustRightInd w:val="0"/>
              <w:spacing w:line="0" w:lineRule="atLeast"/>
              <w:jc w:val="center"/>
              <w:rPr>
                <w:rFonts w:hint="eastAsia" w:hAnsi="宋体" w:cs="宋体"/>
                <w:color w:val="000000"/>
                <w:spacing w:val="-10"/>
                <w:sz w:val="21"/>
                <w:szCs w:val="21"/>
              </w:rPr>
            </w:pPr>
          </w:p>
        </w:tc>
        <w:tc>
          <w:tcPr>
            <w:tcW w:w="1925" w:type="pct"/>
            <w:vAlign w:val="center"/>
          </w:tcPr>
          <w:p w14:paraId="2896D4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工作制度</w:t>
            </w:r>
          </w:p>
        </w:tc>
        <w:tc>
          <w:tcPr>
            <w:tcW w:w="1042" w:type="pct"/>
            <w:vAlign w:val="center"/>
          </w:tcPr>
          <w:p w14:paraId="4CB25FF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w:t>
            </w:r>
          </w:p>
        </w:tc>
        <w:tc>
          <w:tcPr>
            <w:tcW w:w="956" w:type="pct"/>
            <w:vAlign w:val="center"/>
          </w:tcPr>
          <w:p w14:paraId="5379B07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8760</w:t>
            </w:r>
          </w:p>
        </w:tc>
      </w:tr>
    </w:tbl>
    <w:p w14:paraId="15182F24">
      <w:pPr>
        <w:spacing w:before="240" w:line="480" w:lineRule="exact"/>
        <w:outlineLvl w:val="2"/>
        <w:rPr>
          <w:rFonts w:hint="eastAsia" w:hAnsi="宋体" w:cs="宋体"/>
          <w:color w:val="000000"/>
          <w:szCs w:val="24"/>
        </w:rPr>
      </w:pPr>
      <w:r>
        <w:rPr>
          <w:rFonts w:hint="eastAsia" w:hAnsi="宋体" w:cs="宋体"/>
          <w:color w:val="000000"/>
          <w:szCs w:val="24"/>
        </w:rPr>
        <w:t>3.3.5</w:t>
      </w:r>
      <w:r>
        <w:rPr>
          <w:rFonts w:hint="eastAsia" w:hAnsi="宋体" w:cs="宋体"/>
          <w:color w:val="000000"/>
          <w:szCs w:val="24"/>
          <w:lang w:val="zh-CN"/>
        </w:rPr>
        <w:t xml:space="preserve"> </w:t>
      </w:r>
      <w:r>
        <w:rPr>
          <w:rFonts w:hint="eastAsia" w:hAnsi="宋体" w:cs="宋体"/>
          <w:color w:val="000000"/>
          <w:szCs w:val="24"/>
        </w:rPr>
        <w:t>工程组成</w:t>
      </w:r>
    </w:p>
    <w:p w14:paraId="15615D89">
      <w:pPr>
        <w:spacing w:line="252" w:lineRule="auto"/>
        <w:outlineLvl w:val="3"/>
        <w:rPr>
          <w:rFonts w:hAnsi="宋体" w:cs="宋体"/>
          <w:color w:val="000000"/>
          <w:szCs w:val="24"/>
        </w:rPr>
      </w:pPr>
      <w:r>
        <w:rPr>
          <w:rFonts w:hint="eastAsia" w:hAnsi="宋体" w:cs="宋体"/>
          <w:color w:val="000000"/>
          <w:szCs w:val="24"/>
        </w:rPr>
        <w:t>3.3.5.1 油气集输工程</w:t>
      </w:r>
    </w:p>
    <w:p w14:paraId="0F0566A2">
      <w:pPr>
        <w:pStyle w:val="18"/>
        <w:adjustRightInd w:val="0"/>
        <w:spacing w:line="240" w:lineRule="auto"/>
        <w:ind w:firstLine="526" w:firstLineChars="200"/>
        <w:rPr>
          <w:rFonts w:hAnsi="宋体" w:cs="宋体"/>
          <w:color w:val="000000"/>
          <w:spacing w:val="5"/>
          <w:szCs w:val="24"/>
        </w:rPr>
      </w:pPr>
      <w:r>
        <w:rPr>
          <w:rFonts w:hint="eastAsia" w:hAnsi="宋体" w:cs="宋体"/>
          <w:color w:val="000000"/>
          <w:spacing w:val="5"/>
          <w:szCs w:val="24"/>
        </w:rPr>
        <w:t>拟建工程新建ZG11-H1井至ZG8-9井集输管线2.5km，涉及二号集气站和塔三联合站站内管线改造；更换ZG431-H3至DN150集输管线碰头点后1km管线；采用内穿插HBPE(高阻隔聚烯烃管)对ZG431-H4至5#集DN150外输管线进行修复。管线部署见表3.3-3。</w:t>
      </w:r>
    </w:p>
    <w:p w14:paraId="52F6BC03">
      <w:pPr>
        <w:pStyle w:val="18"/>
        <w:adjustRightInd w:val="0"/>
        <w:spacing w:line="240" w:lineRule="auto"/>
        <w:ind w:firstLine="526" w:firstLineChars="200"/>
        <w:rPr>
          <w:rFonts w:hint="eastAsia" w:ascii="黑体" w:hAnsi="黑体" w:eastAsia="黑体" w:cs="宋体"/>
          <w:color w:val="000000"/>
          <w:spacing w:val="5"/>
          <w:kern w:val="2"/>
          <w:szCs w:val="24"/>
          <w:lang w:val="zh-CN"/>
        </w:rPr>
      </w:pPr>
      <w:r>
        <w:rPr>
          <w:rFonts w:hint="eastAsia" w:ascii="黑体" w:hAnsi="黑体" w:eastAsia="黑体" w:cs="宋体"/>
          <w:color w:val="000000"/>
          <w:spacing w:val="5"/>
          <w:szCs w:val="24"/>
        </w:rPr>
        <w:t xml:space="preserve">表3.3-3             </w:t>
      </w:r>
      <w:r>
        <w:rPr>
          <w:rFonts w:hint="eastAsia" w:ascii="黑体" w:hAnsi="黑体" w:eastAsia="黑体" w:cs="宋体"/>
          <w:color w:val="000000"/>
          <w:spacing w:val="5"/>
          <w:kern w:val="2"/>
          <w:szCs w:val="24"/>
          <w:lang w:val="zh-CN"/>
        </w:rPr>
        <w:t xml:space="preserve">  </w:t>
      </w:r>
      <w:r>
        <w:rPr>
          <w:rFonts w:hint="eastAsia" w:ascii="黑体" w:hAnsi="黑体" w:eastAsia="黑体" w:cs="黑体"/>
          <w:color w:val="000000"/>
          <w:spacing w:val="5"/>
          <w:szCs w:val="24"/>
        </w:rPr>
        <w:t>管线部署一览表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60"/>
        <w:gridCol w:w="421"/>
        <w:gridCol w:w="1130"/>
        <w:gridCol w:w="1186"/>
        <w:gridCol w:w="1166"/>
        <w:gridCol w:w="667"/>
        <w:gridCol w:w="984"/>
        <w:gridCol w:w="1251"/>
        <w:gridCol w:w="647"/>
        <w:gridCol w:w="1298"/>
      </w:tblGrid>
      <w:tr w14:paraId="7D233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4" w:type="pct"/>
            <w:shd w:val="clear" w:color="000000" w:fill="auto"/>
            <w:vAlign w:val="center"/>
          </w:tcPr>
          <w:p w14:paraId="6A4302C5">
            <w:pPr>
              <w:snapToGrid w:val="0"/>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234" w:type="pct"/>
            <w:shd w:val="clear" w:color="000000" w:fill="auto"/>
            <w:vAlign w:val="center"/>
          </w:tcPr>
          <w:p w14:paraId="720C89C3">
            <w:pPr>
              <w:snapToGrid w:val="0"/>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627" w:type="pct"/>
            <w:shd w:val="clear" w:color="000000" w:fill="auto"/>
            <w:vAlign w:val="center"/>
          </w:tcPr>
          <w:p w14:paraId="79DE7FD3">
            <w:pPr>
              <w:snapToGrid w:val="0"/>
              <w:jc w:val="center"/>
              <w:rPr>
                <w:rFonts w:hint="eastAsia" w:hAnsi="宋体" w:cs="宋体"/>
                <w:color w:val="000000"/>
                <w:spacing w:val="-10"/>
                <w:sz w:val="21"/>
                <w:szCs w:val="21"/>
              </w:rPr>
            </w:pPr>
            <w:r>
              <w:rPr>
                <w:rFonts w:hint="eastAsia" w:hAnsi="宋体" w:cs="宋体"/>
                <w:color w:val="000000"/>
                <w:spacing w:val="-10"/>
                <w:sz w:val="21"/>
                <w:szCs w:val="21"/>
              </w:rPr>
              <w:t>管道名称</w:t>
            </w:r>
          </w:p>
        </w:tc>
        <w:tc>
          <w:tcPr>
            <w:tcW w:w="658" w:type="pct"/>
            <w:shd w:val="clear" w:color="000000" w:fill="auto"/>
            <w:vAlign w:val="center"/>
          </w:tcPr>
          <w:p w14:paraId="02AAE9A4">
            <w:pPr>
              <w:snapToGrid w:val="0"/>
              <w:jc w:val="center"/>
              <w:rPr>
                <w:rFonts w:hint="eastAsia" w:hAnsi="宋体" w:cs="宋体"/>
                <w:color w:val="000000"/>
                <w:spacing w:val="-10"/>
                <w:sz w:val="21"/>
                <w:szCs w:val="21"/>
              </w:rPr>
            </w:pPr>
            <w:r>
              <w:rPr>
                <w:rFonts w:hint="eastAsia" w:hAnsi="宋体" w:cs="宋体"/>
                <w:color w:val="000000"/>
                <w:spacing w:val="-10"/>
                <w:sz w:val="21"/>
                <w:szCs w:val="21"/>
              </w:rPr>
              <w:t>起点</w:t>
            </w:r>
          </w:p>
        </w:tc>
        <w:tc>
          <w:tcPr>
            <w:tcW w:w="647" w:type="pct"/>
            <w:shd w:val="clear" w:color="000000" w:fill="auto"/>
            <w:vAlign w:val="center"/>
          </w:tcPr>
          <w:p w14:paraId="6E218C1A">
            <w:pPr>
              <w:snapToGrid w:val="0"/>
              <w:jc w:val="center"/>
              <w:rPr>
                <w:rFonts w:hint="eastAsia" w:hAnsi="宋体" w:cs="宋体"/>
                <w:color w:val="000000"/>
                <w:spacing w:val="-10"/>
                <w:sz w:val="21"/>
                <w:szCs w:val="21"/>
              </w:rPr>
            </w:pPr>
            <w:r>
              <w:rPr>
                <w:rFonts w:hint="eastAsia" w:hAnsi="宋体" w:cs="宋体"/>
                <w:color w:val="000000"/>
                <w:spacing w:val="-10"/>
                <w:sz w:val="21"/>
                <w:szCs w:val="21"/>
              </w:rPr>
              <w:t>终点</w:t>
            </w:r>
          </w:p>
        </w:tc>
        <w:tc>
          <w:tcPr>
            <w:tcW w:w="370" w:type="pct"/>
            <w:shd w:val="clear" w:color="000000" w:fill="auto"/>
            <w:vAlign w:val="center"/>
          </w:tcPr>
          <w:p w14:paraId="06691563">
            <w:pPr>
              <w:snapToGrid w:val="0"/>
              <w:jc w:val="center"/>
              <w:rPr>
                <w:rFonts w:hint="eastAsia" w:hAnsi="宋体" w:cs="宋体"/>
                <w:color w:val="000000"/>
                <w:spacing w:val="-10"/>
                <w:sz w:val="21"/>
                <w:szCs w:val="21"/>
              </w:rPr>
            </w:pPr>
            <w:r>
              <w:rPr>
                <w:rFonts w:hint="eastAsia" w:hAnsi="宋体" w:cs="宋体"/>
                <w:color w:val="000000"/>
                <w:spacing w:val="-10"/>
                <w:sz w:val="21"/>
                <w:szCs w:val="21"/>
              </w:rPr>
              <w:t>长度（km）</w:t>
            </w:r>
          </w:p>
        </w:tc>
        <w:tc>
          <w:tcPr>
            <w:tcW w:w="546" w:type="pct"/>
            <w:shd w:val="clear" w:color="000000" w:fill="auto"/>
            <w:vAlign w:val="center"/>
          </w:tcPr>
          <w:p w14:paraId="78E21A5E">
            <w:pPr>
              <w:snapToGrid w:val="0"/>
              <w:jc w:val="center"/>
              <w:rPr>
                <w:rFonts w:hint="eastAsia" w:hAnsi="宋体" w:cs="宋体"/>
                <w:color w:val="000000"/>
                <w:spacing w:val="-10"/>
                <w:sz w:val="21"/>
                <w:szCs w:val="21"/>
              </w:rPr>
            </w:pPr>
            <w:r>
              <w:rPr>
                <w:rFonts w:hint="eastAsia" w:hAnsi="宋体" w:cs="宋体"/>
                <w:color w:val="000000"/>
                <w:spacing w:val="-10"/>
                <w:sz w:val="21"/>
                <w:szCs w:val="21"/>
              </w:rPr>
              <w:t>敷设方式</w:t>
            </w:r>
          </w:p>
        </w:tc>
        <w:tc>
          <w:tcPr>
            <w:tcW w:w="694" w:type="pct"/>
            <w:shd w:val="clear" w:color="000000" w:fill="auto"/>
            <w:vAlign w:val="center"/>
          </w:tcPr>
          <w:p w14:paraId="0D8B5AFA">
            <w:pPr>
              <w:snapToGrid w:val="0"/>
              <w:jc w:val="center"/>
              <w:rPr>
                <w:rFonts w:hint="eastAsia" w:hAnsi="宋体" w:cs="宋体"/>
                <w:color w:val="000000"/>
                <w:spacing w:val="-10"/>
                <w:sz w:val="21"/>
                <w:szCs w:val="21"/>
              </w:rPr>
            </w:pPr>
            <w:r>
              <w:rPr>
                <w:rFonts w:hint="eastAsia" w:hAnsi="宋体" w:cs="宋体"/>
                <w:color w:val="000000"/>
                <w:spacing w:val="-10"/>
                <w:sz w:val="21"/>
                <w:szCs w:val="21"/>
              </w:rPr>
              <w:t>管径和材质</w:t>
            </w:r>
          </w:p>
        </w:tc>
        <w:tc>
          <w:tcPr>
            <w:tcW w:w="358" w:type="pct"/>
            <w:shd w:val="clear" w:color="000000" w:fill="auto"/>
            <w:vAlign w:val="center"/>
          </w:tcPr>
          <w:p w14:paraId="759D8A7A">
            <w:pPr>
              <w:snapToGrid w:val="0"/>
              <w:jc w:val="center"/>
              <w:rPr>
                <w:rFonts w:hAnsi="宋体" w:cs="宋体"/>
                <w:color w:val="000000"/>
                <w:spacing w:val="-10"/>
                <w:sz w:val="21"/>
                <w:szCs w:val="21"/>
              </w:rPr>
            </w:pPr>
            <w:r>
              <w:rPr>
                <w:rFonts w:hint="eastAsia" w:hAnsi="宋体" w:cs="宋体"/>
                <w:color w:val="000000"/>
                <w:spacing w:val="-10"/>
                <w:sz w:val="21"/>
                <w:szCs w:val="21"/>
              </w:rPr>
              <w:t>输送介质</w:t>
            </w:r>
          </w:p>
        </w:tc>
        <w:tc>
          <w:tcPr>
            <w:tcW w:w="720" w:type="pct"/>
            <w:shd w:val="clear" w:color="000000" w:fill="auto"/>
            <w:vAlign w:val="center"/>
          </w:tcPr>
          <w:p w14:paraId="2FB39270">
            <w:pPr>
              <w:snapToGrid w:val="0"/>
              <w:jc w:val="center"/>
              <w:rPr>
                <w:rFonts w:hint="eastAsia" w:hAnsi="宋体" w:cs="宋体"/>
                <w:color w:val="000000"/>
                <w:spacing w:val="-10"/>
                <w:sz w:val="21"/>
                <w:szCs w:val="21"/>
              </w:rPr>
            </w:pPr>
            <w:r>
              <w:rPr>
                <w:rFonts w:hint="eastAsia" w:hAnsi="宋体" w:cs="宋体"/>
                <w:color w:val="000000"/>
                <w:spacing w:val="-10"/>
                <w:sz w:val="21"/>
                <w:szCs w:val="21"/>
              </w:rPr>
              <w:t>所在地</w:t>
            </w:r>
          </w:p>
        </w:tc>
      </w:tr>
      <w:tr w14:paraId="04B99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4" w:type="pct"/>
            <w:shd w:val="clear" w:color="000000" w:fill="auto"/>
            <w:vAlign w:val="center"/>
          </w:tcPr>
          <w:p w14:paraId="7AAC10B3">
            <w:pPr>
              <w:snapToGrid w:val="0"/>
              <w:jc w:val="center"/>
              <w:rPr>
                <w:rFonts w:hint="eastAsia" w:hAnsi="宋体" w:cs="宋体"/>
                <w:color w:val="000000"/>
                <w:spacing w:val="-10"/>
                <w:sz w:val="21"/>
                <w:szCs w:val="21"/>
              </w:rPr>
            </w:pPr>
            <w:r>
              <w:rPr>
                <w:rFonts w:hint="eastAsia" w:hAnsi="宋体" w:cs="宋体"/>
                <w:color w:val="000000"/>
                <w:spacing w:val="-10"/>
                <w:kern w:val="0"/>
                <w:sz w:val="21"/>
                <w:szCs w:val="21"/>
                <w:lang w:bidi="ar"/>
              </w:rPr>
              <w:t>1</w:t>
            </w:r>
          </w:p>
        </w:tc>
        <w:tc>
          <w:tcPr>
            <w:tcW w:w="234" w:type="pct"/>
            <w:vMerge w:val="restart"/>
            <w:shd w:val="clear" w:color="000000" w:fill="auto"/>
            <w:vAlign w:val="center"/>
          </w:tcPr>
          <w:p w14:paraId="1A2CE990">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站外管线</w:t>
            </w:r>
          </w:p>
        </w:tc>
        <w:tc>
          <w:tcPr>
            <w:tcW w:w="627" w:type="pct"/>
            <w:shd w:val="clear" w:color="000000" w:fill="auto"/>
            <w:vAlign w:val="center"/>
          </w:tcPr>
          <w:p w14:paraId="4C9D47AA">
            <w:pPr>
              <w:snapToGrid w:val="0"/>
              <w:jc w:val="center"/>
              <w:textAlignment w:val="center"/>
              <w:rPr>
                <w:rFonts w:hint="eastAsia" w:hAnsi="宋体" w:cs="宋体"/>
                <w:color w:val="000000"/>
                <w:spacing w:val="-10"/>
                <w:sz w:val="21"/>
                <w:szCs w:val="21"/>
              </w:rPr>
            </w:pPr>
            <w:r>
              <w:rPr>
                <w:rFonts w:hint="eastAsia" w:hAnsi="宋体" w:cs="宋体"/>
                <w:color w:val="000000"/>
                <w:spacing w:val="-10"/>
                <w:sz w:val="21"/>
                <w:szCs w:val="21"/>
              </w:rPr>
              <w:t>ZG11-H1井至ZG8-9井集输管线（新建）</w:t>
            </w:r>
          </w:p>
        </w:tc>
        <w:tc>
          <w:tcPr>
            <w:tcW w:w="658" w:type="pct"/>
            <w:shd w:val="clear" w:color="000000" w:fill="auto"/>
            <w:vAlign w:val="center"/>
          </w:tcPr>
          <w:p w14:paraId="46CAC4D2">
            <w:pPr>
              <w:snapToGrid w:val="0"/>
              <w:jc w:val="center"/>
              <w:rPr>
                <w:rFonts w:hint="eastAsia" w:hAnsi="宋体" w:cs="宋体"/>
                <w:color w:val="000000"/>
                <w:spacing w:val="-10"/>
                <w:sz w:val="21"/>
                <w:szCs w:val="21"/>
              </w:rPr>
            </w:pPr>
            <w:r>
              <w:rPr>
                <w:rFonts w:hint="eastAsia" w:hAnsi="宋体" w:cs="宋体"/>
                <w:color w:val="000000"/>
                <w:spacing w:val="-10"/>
                <w:sz w:val="21"/>
                <w:szCs w:val="21"/>
              </w:rPr>
              <w:t>ZG11-H1井</w:t>
            </w:r>
          </w:p>
        </w:tc>
        <w:tc>
          <w:tcPr>
            <w:tcW w:w="647" w:type="pct"/>
            <w:shd w:val="clear" w:color="000000" w:fill="auto"/>
            <w:vAlign w:val="center"/>
          </w:tcPr>
          <w:p w14:paraId="41207542">
            <w:pPr>
              <w:snapToGrid w:val="0"/>
              <w:jc w:val="center"/>
              <w:textAlignment w:val="center"/>
              <w:rPr>
                <w:rFonts w:hint="eastAsia" w:hAnsi="宋体" w:cs="宋体"/>
                <w:snapToGrid w:val="0"/>
                <w:color w:val="000000"/>
                <w:spacing w:val="-10"/>
                <w:kern w:val="0"/>
                <w:sz w:val="21"/>
                <w:szCs w:val="21"/>
                <w:lang w:bidi="ar"/>
              </w:rPr>
            </w:pPr>
            <w:r>
              <w:rPr>
                <w:rFonts w:hint="eastAsia" w:hAnsi="宋体" w:cs="宋体"/>
                <w:snapToGrid w:val="0"/>
                <w:color w:val="000000"/>
                <w:spacing w:val="-10"/>
                <w:kern w:val="0"/>
                <w:sz w:val="21"/>
                <w:szCs w:val="21"/>
                <w:lang w:bidi="ar"/>
              </w:rPr>
              <w:t>ZG8-9井</w:t>
            </w:r>
          </w:p>
        </w:tc>
        <w:tc>
          <w:tcPr>
            <w:tcW w:w="370" w:type="pct"/>
            <w:shd w:val="clear" w:color="000000" w:fill="auto"/>
            <w:vAlign w:val="center"/>
          </w:tcPr>
          <w:p w14:paraId="7093F89C">
            <w:pPr>
              <w:snapToGrid w:val="0"/>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2.5</w:t>
            </w:r>
          </w:p>
        </w:tc>
        <w:tc>
          <w:tcPr>
            <w:tcW w:w="546" w:type="pct"/>
            <w:shd w:val="clear" w:color="000000" w:fill="auto"/>
            <w:vAlign w:val="center"/>
          </w:tcPr>
          <w:p w14:paraId="66673DD8">
            <w:pPr>
              <w:snapToGrid w:val="0"/>
              <w:jc w:val="center"/>
              <w:rPr>
                <w:rFonts w:hint="eastAsia" w:hAnsi="宋体" w:cs="宋体"/>
                <w:color w:val="000000"/>
                <w:spacing w:val="-10"/>
                <w:sz w:val="21"/>
                <w:szCs w:val="21"/>
              </w:rPr>
            </w:pPr>
            <w:r>
              <w:rPr>
                <w:rFonts w:hint="eastAsia" w:hAnsi="宋体" w:cs="宋体"/>
                <w:color w:val="000000"/>
                <w:spacing w:val="-10"/>
                <w:sz w:val="21"/>
                <w:szCs w:val="21"/>
              </w:rPr>
              <w:t>地上敷设</w:t>
            </w:r>
          </w:p>
        </w:tc>
        <w:tc>
          <w:tcPr>
            <w:tcW w:w="694" w:type="pct"/>
            <w:shd w:val="clear" w:color="000000" w:fill="auto"/>
            <w:vAlign w:val="center"/>
          </w:tcPr>
          <w:p w14:paraId="557D5A32">
            <w:pPr>
              <w:snapToGrid w:val="0"/>
              <w:jc w:val="center"/>
              <w:rPr>
                <w:rFonts w:hint="eastAsia" w:hAnsi="宋体" w:cs="宋体"/>
                <w:color w:val="000000"/>
                <w:spacing w:val="-10"/>
                <w:sz w:val="21"/>
                <w:szCs w:val="21"/>
              </w:rPr>
            </w:pPr>
            <w:r>
              <w:rPr>
                <w:rFonts w:hint="eastAsia" w:hAnsi="宋体" w:cs="宋体"/>
                <w:color w:val="000000"/>
                <w:spacing w:val="-10"/>
                <w:sz w:val="21"/>
                <w:szCs w:val="21"/>
              </w:rPr>
              <w:t>DN80 10MPa 修复油管</w:t>
            </w:r>
          </w:p>
        </w:tc>
        <w:tc>
          <w:tcPr>
            <w:tcW w:w="358" w:type="pct"/>
            <w:shd w:val="clear" w:color="000000" w:fill="auto"/>
            <w:vAlign w:val="center"/>
          </w:tcPr>
          <w:p w14:paraId="3826ED44">
            <w:pPr>
              <w:snapToGrid w:val="0"/>
              <w:jc w:val="center"/>
              <w:rPr>
                <w:rFonts w:hint="eastAsia" w:hAnsi="宋体" w:cs="宋体"/>
                <w:color w:val="000000"/>
                <w:spacing w:val="-10"/>
                <w:sz w:val="21"/>
                <w:szCs w:val="21"/>
              </w:rPr>
            </w:pPr>
            <w:r>
              <w:rPr>
                <w:rFonts w:hint="eastAsia" w:hAnsi="宋体" w:cs="宋体"/>
                <w:color w:val="000000"/>
                <w:spacing w:val="-10"/>
                <w:sz w:val="21"/>
                <w:szCs w:val="21"/>
              </w:rPr>
              <w:t>采出液</w:t>
            </w:r>
          </w:p>
        </w:tc>
        <w:tc>
          <w:tcPr>
            <w:tcW w:w="720" w:type="pct"/>
            <w:shd w:val="clear" w:color="000000" w:fill="auto"/>
            <w:vAlign w:val="center"/>
          </w:tcPr>
          <w:p w14:paraId="7F55940D">
            <w:pPr>
              <w:snapToGrid w:val="0"/>
              <w:jc w:val="center"/>
              <w:rPr>
                <w:rFonts w:hint="eastAsia" w:hAnsi="宋体" w:cs="宋体"/>
                <w:color w:val="000000"/>
                <w:spacing w:val="-10"/>
                <w:sz w:val="21"/>
                <w:szCs w:val="21"/>
              </w:rPr>
            </w:pPr>
            <w:r>
              <w:rPr>
                <w:rFonts w:hint="eastAsia" w:hAnsi="宋体" w:cs="宋体"/>
                <w:color w:val="000000"/>
                <w:spacing w:val="-10"/>
                <w:sz w:val="21"/>
                <w:szCs w:val="21"/>
              </w:rPr>
              <w:t>阿克苏地区沙雅县、和田地区民丰县</w:t>
            </w:r>
          </w:p>
        </w:tc>
      </w:tr>
      <w:tr w14:paraId="54044A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4" w:type="pct"/>
            <w:shd w:val="clear" w:color="000000" w:fill="auto"/>
            <w:vAlign w:val="center"/>
          </w:tcPr>
          <w:p w14:paraId="78E50A8F">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2</w:t>
            </w:r>
          </w:p>
        </w:tc>
        <w:tc>
          <w:tcPr>
            <w:tcW w:w="234" w:type="pct"/>
            <w:vMerge w:val="continue"/>
            <w:shd w:val="clear" w:color="000000" w:fill="auto"/>
            <w:vAlign w:val="center"/>
          </w:tcPr>
          <w:p w14:paraId="337FB8E5">
            <w:pPr>
              <w:snapToGrid w:val="0"/>
              <w:jc w:val="center"/>
              <w:rPr>
                <w:rFonts w:hint="eastAsia" w:hAnsi="宋体" w:cs="宋体"/>
                <w:color w:val="000000"/>
                <w:spacing w:val="-10"/>
                <w:kern w:val="0"/>
                <w:sz w:val="21"/>
                <w:szCs w:val="21"/>
                <w:lang w:bidi="ar"/>
              </w:rPr>
            </w:pPr>
          </w:p>
        </w:tc>
        <w:tc>
          <w:tcPr>
            <w:tcW w:w="627" w:type="pct"/>
            <w:shd w:val="clear" w:color="000000" w:fill="auto"/>
            <w:vAlign w:val="center"/>
          </w:tcPr>
          <w:p w14:paraId="45DAFC64">
            <w:pPr>
              <w:snapToGrid w:val="0"/>
              <w:jc w:val="center"/>
              <w:textAlignment w:val="center"/>
              <w:rPr>
                <w:rFonts w:hint="eastAsia" w:hAnsi="宋体" w:cs="宋体"/>
                <w:color w:val="000000"/>
                <w:spacing w:val="-10"/>
                <w:sz w:val="21"/>
                <w:szCs w:val="21"/>
              </w:rPr>
            </w:pPr>
            <w:r>
              <w:rPr>
                <w:rFonts w:hint="eastAsia" w:hAnsi="宋体" w:cs="宋体"/>
                <w:color w:val="000000"/>
                <w:spacing w:val="-10"/>
                <w:sz w:val="21"/>
                <w:szCs w:val="21"/>
              </w:rPr>
              <w:t>ZG431-H3至5#集DN150外输管线碰头点后1km管线（更换）</w:t>
            </w:r>
          </w:p>
        </w:tc>
        <w:tc>
          <w:tcPr>
            <w:tcW w:w="658" w:type="pct"/>
            <w:shd w:val="clear" w:color="000000" w:fill="auto"/>
            <w:vAlign w:val="center"/>
          </w:tcPr>
          <w:p w14:paraId="594B215E">
            <w:pPr>
              <w:snapToGrid w:val="0"/>
              <w:jc w:val="center"/>
              <w:rPr>
                <w:rFonts w:hint="eastAsia" w:hAnsi="宋体" w:cs="宋体"/>
                <w:color w:val="000000"/>
                <w:sz w:val="21"/>
                <w:szCs w:val="21"/>
              </w:rPr>
            </w:pPr>
            <w:r>
              <w:rPr>
                <w:rFonts w:hint="eastAsia" w:hAnsi="宋体" w:cs="宋体"/>
                <w:color w:val="000000"/>
                <w:spacing w:val="-10"/>
                <w:sz w:val="21"/>
                <w:szCs w:val="21"/>
              </w:rPr>
              <w:t>管道碰头点</w:t>
            </w:r>
          </w:p>
        </w:tc>
        <w:tc>
          <w:tcPr>
            <w:tcW w:w="647" w:type="pct"/>
            <w:shd w:val="clear" w:color="000000" w:fill="auto"/>
            <w:vAlign w:val="center"/>
          </w:tcPr>
          <w:p w14:paraId="41F663DA">
            <w:pPr>
              <w:snapToGrid w:val="0"/>
              <w:jc w:val="center"/>
              <w:textAlignment w:val="center"/>
              <w:rPr>
                <w:rFonts w:hint="eastAsia" w:hAnsi="宋体" w:cs="宋体"/>
                <w:snapToGrid w:val="0"/>
                <w:color w:val="000000"/>
                <w:spacing w:val="-10"/>
                <w:kern w:val="0"/>
                <w:sz w:val="21"/>
                <w:szCs w:val="21"/>
                <w:lang w:bidi="ar"/>
              </w:rPr>
            </w:pPr>
            <w:r>
              <w:rPr>
                <w:rFonts w:hint="eastAsia" w:hAnsi="宋体" w:cs="宋体"/>
                <w:color w:val="000000"/>
                <w:spacing w:val="-10"/>
                <w:sz w:val="21"/>
                <w:szCs w:val="21"/>
              </w:rPr>
              <w:t>碰头点后1km处</w:t>
            </w:r>
          </w:p>
        </w:tc>
        <w:tc>
          <w:tcPr>
            <w:tcW w:w="370" w:type="pct"/>
            <w:shd w:val="clear" w:color="000000" w:fill="auto"/>
            <w:vAlign w:val="center"/>
          </w:tcPr>
          <w:p w14:paraId="5B977ACD">
            <w:pPr>
              <w:snapToGrid w:val="0"/>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1.0</w:t>
            </w:r>
          </w:p>
        </w:tc>
        <w:tc>
          <w:tcPr>
            <w:tcW w:w="546" w:type="pct"/>
            <w:shd w:val="clear" w:color="000000" w:fill="auto"/>
            <w:vAlign w:val="center"/>
          </w:tcPr>
          <w:p w14:paraId="24BE524F">
            <w:pPr>
              <w:snapToGrid w:val="0"/>
              <w:jc w:val="center"/>
              <w:rPr>
                <w:rFonts w:hint="eastAsia" w:hAnsi="宋体" w:cs="宋体"/>
                <w:color w:val="000000"/>
                <w:spacing w:val="-10"/>
                <w:sz w:val="21"/>
                <w:szCs w:val="21"/>
              </w:rPr>
            </w:pPr>
            <w:r>
              <w:rPr>
                <w:rFonts w:hint="eastAsia" w:hAnsi="宋体" w:cs="宋体"/>
                <w:color w:val="000000"/>
                <w:spacing w:val="-10"/>
                <w:sz w:val="21"/>
                <w:szCs w:val="21"/>
              </w:rPr>
              <w:t>埋地敷设</w:t>
            </w:r>
          </w:p>
        </w:tc>
        <w:tc>
          <w:tcPr>
            <w:tcW w:w="694" w:type="pct"/>
            <w:shd w:val="clear" w:color="000000" w:fill="auto"/>
            <w:vAlign w:val="center"/>
          </w:tcPr>
          <w:p w14:paraId="0F73450A">
            <w:pPr>
              <w:snapToGrid w:val="0"/>
              <w:jc w:val="center"/>
              <w:rPr>
                <w:rFonts w:hint="eastAsia" w:hAnsi="宋体" w:cs="宋体"/>
                <w:color w:val="000000"/>
                <w:spacing w:val="-10"/>
                <w:sz w:val="21"/>
                <w:szCs w:val="21"/>
              </w:rPr>
            </w:pPr>
            <w:r>
              <w:rPr>
                <w:rFonts w:hint="eastAsia" w:hAnsi="宋体" w:cs="宋体"/>
                <w:color w:val="000000"/>
                <w:spacing w:val="-10"/>
                <w:sz w:val="21"/>
                <w:szCs w:val="21"/>
              </w:rPr>
              <w:t>DN150 10MPa 柔性复合管</w:t>
            </w:r>
          </w:p>
        </w:tc>
        <w:tc>
          <w:tcPr>
            <w:tcW w:w="358" w:type="pct"/>
            <w:shd w:val="clear" w:color="000000" w:fill="auto"/>
            <w:vAlign w:val="center"/>
          </w:tcPr>
          <w:p w14:paraId="443B7F6E">
            <w:pPr>
              <w:snapToGrid w:val="0"/>
              <w:jc w:val="center"/>
              <w:rPr>
                <w:rFonts w:hAnsi="宋体" w:cs="宋体"/>
                <w:color w:val="000000"/>
                <w:spacing w:val="-10"/>
                <w:sz w:val="21"/>
                <w:szCs w:val="21"/>
              </w:rPr>
            </w:pPr>
            <w:r>
              <w:rPr>
                <w:rFonts w:hint="eastAsia" w:hAnsi="宋体" w:cs="宋体"/>
                <w:color w:val="000000"/>
                <w:spacing w:val="-10"/>
                <w:sz w:val="21"/>
                <w:szCs w:val="21"/>
              </w:rPr>
              <w:t>采出液</w:t>
            </w:r>
          </w:p>
        </w:tc>
        <w:tc>
          <w:tcPr>
            <w:tcW w:w="720" w:type="pct"/>
            <w:shd w:val="clear" w:color="000000" w:fill="auto"/>
            <w:vAlign w:val="center"/>
          </w:tcPr>
          <w:p w14:paraId="3A387D20">
            <w:pPr>
              <w:snapToGrid w:val="0"/>
              <w:jc w:val="center"/>
              <w:rPr>
                <w:rFonts w:hint="eastAsia" w:hAnsi="宋体" w:cs="宋体"/>
                <w:color w:val="000000"/>
                <w:spacing w:val="-10"/>
                <w:sz w:val="21"/>
                <w:szCs w:val="21"/>
              </w:rPr>
            </w:pPr>
            <w:r>
              <w:rPr>
                <w:rFonts w:hint="eastAsia" w:hAnsi="宋体" w:cs="宋体"/>
                <w:color w:val="000000"/>
                <w:spacing w:val="-10"/>
                <w:sz w:val="21"/>
                <w:szCs w:val="21"/>
              </w:rPr>
              <w:t>和田地区民丰县</w:t>
            </w:r>
          </w:p>
        </w:tc>
      </w:tr>
      <w:tr w14:paraId="1A55B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40" w:hRule="atLeast"/>
          <w:jc w:val="center"/>
        </w:trPr>
        <w:tc>
          <w:tcPr>
            <w:tcW w:w="144" w:type="pct"/>
            <w:shd w:val="clear" w:color="000000" w:fill="auto"/>
            <w:vAlign w:val="center"/>
          </w:tcPr>
          <w:p w14:paraId="7F33D8FE">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3</w:t>
            </w:r>
          </w:p>
        </w:tc>
        <w:tc>
          <w:tcPr>
            <w:tcW w:w="234" w:type="pct"/>
            <w:vMerge w:val="continue"/>
            <w:shd w:val="clear" w:color="000000" w:fill="auto"/>
            <w:vAlign w:val="center"/>
          </w:tcPr>
          <w:p w14:paraId="61C86F58">
            <w:pPr>
              <w:snapToGrid w:val="0"/>
              <w:jc w:val="center"/>
              <w:rPr>
                <w:rFonts w:hint="eastAsia" w:hAnsi="宋体" w:cs="宋体"/>
                <w:color w:val="000000"/>
                <w:spacing w:val="-10"/>
                <w:kern w:val="0"/>
                <w:sz w:val="21"/>
                <w:szCs w:val="21"/>
                <w:lang w:bidi="ar"/>
              </w:rPr>
            </w:pPr>
          </w:p>
        </w:tc>
        <w:tc>
          <w:tcPr>
            <w:tcW w:w="627" w:type="pct"/>
            <w:shd w:val="clear" w:color="000000" w:fill="auto"/>
            <w:vAlign w:val="center"/>
          </w:tcPr>
          <w:p w14:paraId="3117EF43">
            <w:pPr>
              <w:snapToGrid w:val="0"/>
              <w:jc w:val="center"/>
              <w:textAlignment w:val="center"/>
              <w:rPr>
                <w:rFonts w:hint="eastAsia" w:hAnsi="宋体" w:cs="宋体"/>
                <w:color w:val="000000"/>
                <w:spacing w:val="-10"/>
                <w:sz w:val="21"/>
                <w:szCs w:val="21"/>
              </w:rPr>
            </w:pPr>
            <w:r>
              <w:rPr>
                <w:rFonts w:hint="eastAsia" w:hAnsi="宋体" w:cs="宋体"/>
                <w:color w:val="000000"/>
                <w:spacing w:val="9"/>
                <w:sz w:val="21"/>
                <w:szCs w:val="21"/>
              </w:rPr>
              <w:t>ZG431-H4至5#集DN150外输管线（内穿插修复）</w:t>
            </w:r>
          </w:p>
        </w:tc>
        <w:tc>
          <w:tcPr>
            <w:tcW w:w="658" w:type="pct"/>
            <w:shd w:val="clear" w:color="000000" w:fill="auto"/>
            <w:vAlign w:val="center"/>
          </w:tcPr>
          <w:p w14:paraId="764C32A7">
            <w:pPr>
              <w:snapToGrid w:val="0"/>
              <w:jc w:val="center"/>
              <w:rPr>
                <w:rFonts w:hint="eastAsia" w:hAnsi="宋体" w:cs="宋体"/>
                <w:color w:val="000000"/>
                <w:sz w:val="21"/>
                <w:szCs w:val="21"/>
              </w:rPr>
            </w:pPr>
            <w:r>
              <w:rPr>
                <w:rFonts w:hint="eastAsia" w:hAnsi="宋体" w:cs="宋体"/>
                <w:color w:val="000000"/>
                <w:sz w:val="21"/>
                <w:szCs w:val="21"/>
              </w:rPr>
              <w:t>ZG431-H4井</w:t>
            </w:r>
          </w:p>
        </w:tc>
        <w:tc>
          <w:tcPr>
            <w:tcW w:w="647" w:type="pct"/>
            <w:shd w:val="clear" w:color="000000" w:fill="auto"/>
            <w:vAlign w:val="center"/>
          </w:tcPr>
          <w:p w14:paraId="6FBF3DD0">
            <w:pPr>
              <w:snapToGrid w:val="0"/>
              <w:jc w:val="center"/>
              <w:textAlignment w:val="center"/>
              <w:rPr>
                <w:rFonts w:hint="eastAsia" w:hAnsi="宋体" w:cs="宋体"/>
                <w:snapToGrid w:val="0"/>
                <w:color w:val="000000"/>
                <w:spacing w:val="-10"/>
                <w:kern w:val="0"/>
                <w:sz w:val="21"/>
                <w:szCs w:val="21"/>
                <w:lang w:bidi="ar"/>
              </w:rPr>
            </w:pPr>
            <w:r>
              <w:rPr>
                <w:rFonts w:hint="eastAsia" w:hAnsi="宋体" w:cs="宋体"/>
                <w:color w:val="000000"/>
                <w:spacing w:val="9"/>
                <w:sz w:val="21"/>
                <w:szCs w:val="21"/>
              </w:rPr>
              <w:t>5#集</w:t>
            </w:r>
          </w:p>
        </w:tc>
        <w:tc>
          <w:tcPr>
            <w:tcW w:w="370" w:type="pct"/>
            <w:shd w:val="clear" w:color="000000" w:fill="auto"/>
            <w:vAlign w:val="center"/>
          </w:tcPr>
          <w:p w14:paraId="201E2638">
            <w:pPr>
              <w:snapToGrid w:val="0"/>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10.35</w:t>
            </w:r>
          </w:p>
        </w:tc>
        <w:tc>
          <w:tcPr>
            <w:tcW w:w="546" w:type="pct"/>
            <w:shd w:val="clear" w:color="auto" w:fill="auto"/>
            <w:vAlign w:val="center"/>
          </w:tcPr>
          <w:p w14:paraId="6CB0EEE8">
            <w:pPr>
              <w:snapToGrid w:val="0"/>
              <w:jc w:val="center"/>
              <w:rPr>
                <w:rFonts w:hint="eastAsia" w:hAnsi="宋体" w:cs="宋体"/>
                <w:color w:val="000000"/>
                <w:spacing w:val="-10"/>
                <w:sz w:val="21"/>
                <w:szCs w:val="21"/>
              </w:rPr>
            </w:pPr>
            <w:r>
              <w:rPr>
                <w:rFonts w:hint="eastAsia" w:hAnsi="宋体" w:cs="宋体"/>
                <w:color w:val="000000"/>
                <w:spacing w:val="-10"/>
                <w:sz w:val="21"/>
                <w:szCs w:val="21"/>
              </w:rPr>
              <w:t>内穿插修复</w:t>
            </w:r>
          </w:p>
        </w:tc>
        <w:tc>
          <w:tcPr>
            <w:tcW w:w="694" w:type="pct"/>
            <w:shd w:val="clear" w:color="000000" w:fill="auto"/>
            <w:vAlign w:val="center"/>
          </w:tcPr>
          <w:p w14:paraId="40BC34AF">
            <w:pPr>
              <w:snapToGrid w:val="0"/>
              <w:jc w:val="center"/>
              <w:rPr>
                <w:rFonts w:hint="eastAsia" w:hAnsi="宋体" w:cs="宋体"/>
                <w:color w:val="000000"/>
                <w:spacing w:val="-10"/>
                <w:sz w:val="21"/>
                <w:szCs w:val="21"/>
              </w:rPr>
            </w:pPr>
            <w:r>
              <w:rPr>
                <w:rFonts w:hint="eastAsia" w:hAnsi="宋体" w:cs="宋体"/>
                <w:color w:val="000000"/>
                <w:spacing w:val="-10"/>
                <w:sz w:val="21"/>
                <w:szCs w:val="21"/>
              </w:rPr>
              <w:t>DN150 10MPa L245NS+HBPE内衬管</w:t>
            </w:r>
          </w:p>
        </w:tc>
        <w:tc>
          <w:tcPr>
            <w:tcW w:w="358" w:type="pct"/>
            <w:shd w:val="clear" w:color="000000" w:fill="auto"/>
            <w:vAlign w:val="center"/>
          </w:tcPr>
          <w:p w14:paraId="36F41D41">
            <w:pPr>
              <w:snapToGrid w:val="0"/>
              <w:jc w:val="center"/>
              <w:rPr>
                <w:rFonts w:hAnsi="宋体" w:cs="宋体"/>
                <w:color w:val="000000"/>
                <w:spacing w:val="-10"/>
                <w:sz w:val="21"/>
                <w:szCs w:val="21"/>
              </w:rPr>
            </w:pPr>
            <w:r>
              <w:rPr>
                <w:rFonts w:hint="eastAsia" w:hAnsi="宋体" w:cs="宋体"/>
                <w:color w:val="000000"/>
                <w:spacing w:val="-10"/>
                <w:sz w:val="21"/>
                <w:szCs w:val="21"/>
              </w:rPr>
              <w:t>采出液</w:t>
            </w:r>
          </w:p>
        </w:tc>
        <w:tc>
          <w:tcPr>
            <w:tcW w:w="720" w:type="pct"/>
            <w:shd w:val="clear" w:color="000000" w:fill="auto"/>
            <w:vAlign w:val="center"/>
          </w:tcPr>
          <w:p w14:paraId="0FE4EB5A">
            <w:pPr>
              <w:snapToGrid w:val="0"/>
              <w:jc w:val="center"/>
              <w:rPr>
                <w:rFonts w:hint="eastAsia" w:hAnsi="宋体" w:cs="宋体"/>
                <w:color w:val="000000"/>
                <w:spacing w:val="-10"/>
                <w:sz w:val="21"/>
                <w:szCs w:val="21"/>
              </w:rPr>
            </w:pPr>
            <w:r>
              <w:rPr>
                <w:rFonts w:hint="eastAsia" w:hAnsi="宋体" w:cs="宋体"/>
                <w:color w:val="000000"/>
                <w:spacing w:val="-10"/>
                <w:sz w:val="21"/>
                <w:szCs w:val="21"/>
              </w:rPr>
              <w:t>和田地区民丰县</w:t>
            </w:r>
          </w:p>
        </w:tc>
      </w:tr>
      <w:tr w14:paraId="4F9EA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62" w:hRule="atLeast"/>
          <w:jc w:val="center"/>
        </w:trPr>
        <w:tc>
          <w:tcPr>
            <w:tcW w:w="144" w:type="pct"/>
            <w:shd w:val="clear" w:color="000000" w:fill="auto"/>
            <w:vAlign w:val="center"/>
          </w:tcPr>
          <w:p w14:paraId="00D52405">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4</w:t>
            </w:r>
          </w:p>
        </w:tc>
        <w:tc>
          <w:tcPr>
            <w:tcW w:w="234" w:type="pct"/>
            <w:vMerge w:val="restart"/>
            <w:shd w:val="clear" w:color="000000" w:fill="auto"/>
            <w:vAlign w:val="center"/>
          </w:tcPr>
          <w:p w14:paraId="531C6982">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站内管线</w:t>
            </w:r>
          </w:p>
        </w:tc>
        <w:tc>
          <w:tcPr>
            <w:tcW w:w="627" w:type="pct"/>
            <w:shd w:val="clear" w:color="000000" w:fill="auto"/>
            <w:vAlign w:val="center"/>
          </w:tcPr>
          <w:p w14:paraId="5D7DB9EF">
            <w:pPr>
              <w:snapToGrid w:val="0"/>
              <w:jc w:val="center"/>
              <w:textAlignment w:val="center"/>
              <w:rPr>
                <w:rFonts w:hint="eastAsia" w:hAnsi="宋体" w:cs="宋体"/>
                <w:color w:val="000000"/>
                <w:spacing w:val="9"/>
                <w:sz w:val="21"/>
                <w:szCs w:val="21"/>
              </w:rPr>
            </w:pPr>
            <w:r>
              <w:rPr>
                <w:rFonts w:hint="eastAsia" w:hAnsi="宋体" w:cs="宋体"/>
                <w:color w:val="000000"/>
                <w:spacing w:val="9"/>
                <w:sz w:val="21"/>
                <w:szCs w:val="21"/>
              </w:rPr>
              <w:t>塔三联合站</w:t>
            </w:r>
          </w:p>
        </w:tc>
        <w:tc>
          <w:tcPr>
            <w:tcW w:w="3274" w:type="pct"/>
            <w:gridSpan w:val="6"/>
            <w:shd w:val="clear" w:color="000000" w:fill="auto"/>
            <w:vAlign w:val="center"/>
          </w:tcPr>
          <w:p w14:paraId="1B8CFD98">
            <w:pPr>
              <w:snapToGrid w:val="0"/>
              <w:rPr>
                <w:rFonts w:hint="eastAsia" w:hAnsi="宋体" w:cs="宋体"/>
                <w:color w:val="000000"/>
                <w:spacing w:val="-10"/>
                <w:sz w:val="21"/>
                <w:szCs w:val="21"/>
              </w:rPr>
            </w:pPr>
            <w:r>
              <w:rPr>
                <w:rFonts w:hint="eastAsia" w:hAnsi="宋体" w:cs="宋体"/>
                <w:color w:val="000000"/>
                <w:spacing w:val="-10"/>
                <w:sz w:val="21"/>
                <w:szCs w:val="21"/>
              </w:rPr>
              <w:t>在ZG8-9井已建进站管线温度变送器处增加三通，拆除已建温度变送器，改为贴片式温度变送器，三通引出增加阀门(DN80PN100L245NS)，管线架空敷设至中压生产分离器出口液相去凝析油处理装置管线(DN150 PN100 L245NS)，从管廊上T接</w:t>
            </w:r>
          </w:p>
        </w:tc>
        <w:tc>
          <w:tcPr>
            <w:tcW w:w="720" w:type="pct"/>
            <w:shd w:val="clear" w:color="000000" w:fill="auto"/>
            <w:vAlign w:val="center"/>
          </w:tcPr>
          <w:p w14:paraId="0522FEAA">
            <w:pPr>
              <w:snapToGrid w:val="0"/>
              <w:jc w:val="center"/>
              <w:rPr>
                <w:rFonts w:hint="eastAsia" w:hAnsi="宋体" w:cs="宋体"/>
                <w:color w:val="000000"/>
                <w:spacing w:val="-10"/>
                <w:sz w:val="21"/>
                <w:szCs w:val="21"/>
              </w:rPr>
            </w:pPr>
            <w:r>
              <w:rPr>
                <w:rFonts w:hint="eastAsia" w:hAnsi="宋体" w:cs="宋体"/>
                <w:color w:val="000000"/>
                <w:spacing w:val="-10"/>
                <w:sz w:val="21"/>
                <w:szCs w:val="21"/>
              </w:rPr>
              <w:t>和田地区民丰县</w:t>
            </w:r>
          </w:p>
        </w:tc>
      </w:tr>
      <w:tr w14:paraId="02DD44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07" w:hRule="atLeast"/>
          <w:jc w:val="center"/>
        </w:trPr>
        <w:tc>
          <w:tcPr>
            <w:tcW w:w="144" w:type="pct"/>
            <w:shd w:val="clear" w:color="000000" w:fill="auto"/>
            <w:vAlign w:val="center"/>
          </w:tcPr>
          <w:p w14:paraId="52B1E732">
            <w:pPr>
              <w:snapToGrid w:val="0"/>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5</w:t>
            </w:r>
          </w:p>
        </w:tc>
        <w:tc>
          <w:tcPr>
            <w:tcW w:w="234" w:type="pct"/>
            <w:vMerge w:val="continue"/>
            <w:shd w:val="clear" w:color="000000" w:fill="auto"/>
            <w:vAlign w:val="center"/>
          </w:tcPr>
          <w:p w14:paraId="07292468">
            <w:pPr>
              <w:snapToGrid w:val="0"/>
              <w:jc w:val="center"/>
              <w:rPr>
                <w:rFonts w:hint="eastAsia" w:hAnsi="宋体" w:cs="宋体"/>
                <w:color w:val="000000"/>
                <w:spacing w:val="-10"/>
                <w:kern w:val="0"/>
                <w:sz w:val="21"/>
                <w:szCs w:val="21"/>
                <w:highlight w:val="yellow"/>
                <w:lang w:bidi="ar"/>
              </w:rPr>
            </w:pPr>
          </w:p>
        </w:tc>
        <w:tc>
          <w:tcPr>
            <w:tcW w:w="627" w:type="pct"/>
            <w:shd w:val="clear" w:color="000000" w:fill="auto"/>
            <w:vAlign w:val="center"/>
          </w:tcPr>
          <w:p w14:paraId="68F66C6C">
            <w:pPr>
              <w:snapToGrid w:val="0"/>
              <w:jc w:val="center"/>
              <w:textAlignment w:val="center"/>
              <w:rPr>
                <w:rFonts w:hint="eastAsia" w:hAnsi="宋体" w:cs="宋体"/>
                <w:color w:val="000000"/>
                <w:spacing w:val="9"/>
                <w:sz w:val="21"/>
                <w:szCs w:val="21"/>
                <w:highlight w:val="yellow"/>
              </w:rPr>
            </w:pPr>
            <w:r>
              <w:rPr>
                <w:rFonts w:hint="eastAsia" w:hAnsi="宋体" w:cs="宋体"/>
                <w:color w:val="000000"/>
                <w:spacing w:val="9"/>
                <w:sz w:val="21"/>
                <w:szCs w:val="21"/>
              </w:rPr>
              <w:t>2号集</w:t>
            </w:r>
          </w:p>
        </w:tc>
        <w:tc>
          <w:tcPr>
            <w:tcW w:w="3274" w:type="pct"/>
            <w:gridSpan w:val="6"/>
            <w:shd w:val="clear" w:color="000000" w:fill="auto"/>
            <w:vAlign w:val="center"/>
          </w:tcPr>
          <w:p w14:paraId="2331EDF9">
            <w:pPr>
              <w:snapToGrid w:val="0"/>
              <w:rPr>
                <w:rFonts w:hint="eastAsia" w:hAnsi="宋体" w:cs="宋体"/>
                <w:color w:val="000000"/>
                <w:spacing w:val="-10"/>
                <w:sz w:val="21"/>
                <w:szCs w:val="21"/>
              </w:rPr>
            </w:pPr>
            <w:r>
              <w:rPr>
                <w:rFonts w:hint="eastAsia" w:hAnsi="宋体" w:cs="宋体"/>
                <w:color w:val="000000"/>
                <w:spacing w:val="-10"/>
                <w:sz w:val="21"/>
                <w:szCs w:val="21"/>
              </w:rPr>
              <w:t>回收站来液管线(DN150L245NS)，进站前增加截断阀门(DN150PN63)，阀门前增加三通引出至ZG11-H1井进站管线阀前；二号回收站注水干线(DN80PN100L245NS)至ZG21-H2井注水引出管线断开，断开后ZG21-H2井集输管线引至ZG11-H1近集输管线</w:t>
            </w:r>
          </w:p>
        </w:tc>
        <w:tc>
          <w:tcPr>
            <w:tcW w:w="720" w:type="pct"/>
            <w:shd w:val="clear" w:color="000000" w:fill="auto"/>
            <w:vAlign w:val="center"/>
          </w:tcPr>
          <w:p w14:paraId="3A6D1B23">
            <w:pPr>
              <w:snapToGrid w:val="0"/>
              <w:jc w:val="center"/>
              <w:rPr>
                <w:rFonts w:hint="eastAsia" w:hAnsi="宋体" w:cs="宋体"/>
                <w:color w:val="000000"/>
                <w:spacing w:val="-10"/>
                <w:sz w:val="21"/>
                <w:szCs w:val="21"/>
              </w:rPr>
            </w:pPr>
            <w:r>
              <w:rPr>
                <w:rFonts w:hint="eastAsia" w:hAnsi="宋体" w:cs="宋体"/>
                <w:color w:val="000000"/>
                <w:spacing w:val="-10"/>
                <w:sz w:val="21"/>
                <w:szCs w:val="21"/>
              </w:rPr>
              <w:t>阿克苏地区沙雅县</w:t>
            </w:r>
          </w:p>
        </w:tc>
      </w:tr>
    </w:tbl>
    <w:p w14:paraId="0CC1B467">
      <w:pPr>
        <w:spacing w:before="240"/>
        <w:outlineLvl w:val="3"/>
        <w:rPr>
          <w:rFonts w:hint="eastAsia" w:hAnsi="宋体" w:cs="宋体"/>
          <w:color w:val="000000"/>
        </w:rPr>
      </w:pPr>
      <w:r>
        <w:rPr>
          <w:rFonts w:hint="eastAsia" w:hAnsi="宋体" w:cs="宋体"/>
          <w:color w:val="000000"/>
        </w:rPr>
        <w:t>3.3.5.2 退役工程</w:t>
      </w:r>
    </w:p>
    <w:p w14:paraId="5829F292">
      <w:pPr>
        <w:pStyle w:val="18"/>
        <w:adjustRightInd w:val="0"/>
        <w:spacing w:line="480" w:lineRule="exact"/>
        <w:ind w:firstLine="554" w:firstLineChars="200"/>
        <w:rPr>
          <w:rFonts w:hint="eastAsia" w:hAnsi="宋体"/>
          <w:color w:val="000000"/>
          <w:spacing w:val="5"/>
          <w:kern w:val="2"/>
          <w:szCs w:val="24"/>
        </w:rPr>
      </w:pPr>
      <w:r>
        <w:rPr>
          <w:rFonts w:hint="eastAsia" w:hAnsi="宋体" w:cs="宋体"/>
          <w:color w:val="000000"/>
          <w:szCs w:val="24"/>
        </w:rPr>
        <w:t>随着油田开采的不断进行，管线由于腐蚀老化等原因不能承担油田输送任务而停用。退役期集输管线维持现状，避免因开挖管线对区域生态环境造成二次破坏。管线内物质应清空干净，并按要求进行清洗，确保管线内无残留油气，管线两端使用盲板封堵。管线清洗产生的清洗废水依托塔三联合站水处理装置处置</w:t>
      </w:r>
      <w:r>
        <w:rPr>
          <w:rFonts w:hint="eastAsia" w:hAnsi="宋体"/>
          <w:color w:val="000000"/>
          <w:spacing w:val="5"/>
          <w:kern w:val="2"/>
          <w:szCs w:val="24"/>
        </w:rPr>
        <w:t>。</w:t>
      </w:r>
    </w:p>
    <w:p w14:paraId="357EB6EB">
      <w:pPr>
        <w:spacing w:line="460" w:lineRule="exact"/>
        <w:outlineLvl w:val="3"/>
        <w:rPr>
          <w:rFonts w:hint="eastAsia" w:hAnsi="宋体" w:cs="宋体"/>
          <w:color w:val="000000"/>
          <w:szCs w:val="24"/>
        </w:rPr>
      </w:pPr>
      <w:r>
        <w:rPr>
          <w:rFonts w:hint="eastAsia" w:hAnsi="宋体" w:cs="宋体"/>
          <w:color w:val="000000"/>
          <w:szCs w:val="24"/>
        </w:rPr>
        <w:t>3.3.5.3 公辅工程</w:t>
      </w:r>
    </w:p>
    <w:p w14:paraId="0269DEC4">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（1）供电工程</w:t>
      </w:r>
    </w:p>
    <w:p w14:paraId="3B936FDC">
      <w:pPr>
        <w:pStyle w:val="45"/>
        <w:widowControl w:val="0"/>
        <w:spacing w:beforeAutospacing="0" w:afterAutospacing="0" w:line="460" w:lineRule="exact"/>
        <w:ind w:firstLine="526" w:firstLineChars="200"/>
        <w:jc w:val="both"/>
        <w:rPr>
          <w:rFonts w:hint="eastAsia"/>
          <w:color w:val="000000"/>
          <w:spacing w:val="5"/>
        </w:rPr>
      </w:pPr>
      <w:r>
        <w:rPr>
          <w:rFonts w:hint="eastAsia"/>
          <w:color w:val="000000"/>
          <w:spacing w:val="5"/>
        </w:rPr>
        <w:t>拟建工程利旧区域现有供电设施。</w:t>
      </w:r>
    </w:p>
    <w:p w14:paraId="5A00664B">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（2）给排水</w:t>
      </w:r>
    </w:p>
    <w:p w14:paraId="3179E54D">
      <w:pPr>
        <w:adjustRightInd w:val="0"/>
        <w:spacing w:line="460" w:lineRule="exact"/>
        <w:ind w:firstLine="526" w:firstLineChars="200"/>
        <w:rPr>
          <w:rFonts w:hint="eastAsia"/>
          <w:color w:val="000000"/>
          <w:szCs w:val="24"/>
        </w:rPr>
      </w:pPr>
      <w:r>
        <w:rPr>
          <w:rFonts w:hint="eastAsia"/>
          <w:color w:val="000000"/>
          <w:szCs w:val="24"/>
        </w:rPr>
        <w:t>①给水</w:t>
      </w:r>
    </w:p>
    <w:p w14:paraId="5213882E">
      <w:pPr>
        <w:adjustRightInd w:val="0"/>
        <w:spacing w:line="460" w:lineRule="exact"/>
        <w:ind w:firstLine="526" w:firstLineChars="200"/>
        <w:rPr>
          <w:rFonts w:hint="eastAsia"/>
          <w:color w:val="000000"/>
          <w:szCs w:val="24"/>
        </w:rPr>
      </w:pPr>
      <w:r>
        <w:rPr>
          <w:rFonts w:hint="eastAsia" w:hAnsi="宋体" w:cs="宋体"/>
          <w:color w:val="000000"/>
        </w:rPr>
        <w:t>施工期不设置施工营地，</w:t>
      </w:r>
      <w:r>
        <w:rPr>
          <w:rFonts w:hint="eastAsia"/>
          <w:color w:val="000000"/>
        </w:rPr>
        <w:t>施工期工程用水主要为管道试压用水，管道试压用水由罐车拉运至施工现场，用水量共计约20m</w:t>
      </w:r>
      <w:r>
        <w:rPr>
          <w:rFonts w:hint="eastAsia"/>
          <w:color w:val="000000"/>
          <w:vertAlign w:val="superscript"/>
        </w:rPr>
        <w:t>3</w:t>
      </w:r>
      <w:r>
        <w:rPr>
          <w:rFonts w:hint="eastAsia"/>
          <w:color w:val="000000"/>
        </w:rPr>
        <w:t>，主要用于管道试压</w:t>
      </w:r>
      <w:r>
        <w:rPr>
          <w:rFonts w:hint="eastAsia"/>
          <w:color w:val="000000"/>
          <w:szCs w:val="24"/>
        </w:rPr>
        <w:t>。</w:t>
      </w:r>
    </w:p>
    <w:p w14:paraId="78DF0659">
      <w:pPr>
        <w:spacing w:line="460" w:lineRule="exact"/>
        <w:ind w:firstLine="526" w:firstLineChars="200"/>
        <w:rPr>
          <w:rFonts w:hint="eastAsia" w:hAnsi="宋体" w:cs="宋体"/>
          <w:color w:val="000000"/>
          <w:szCs w:val="24"/>
        </w:rPr>
      </w:pPr>
      <w:r>
        <w:rPr>
          <w:rFonts w:hint="eastAsia" w:hAnsi="宋体" w:cs="宋体"/>
          <w:color w:val="000000"/>
          <w:szCs w:val="24"/>
        </w:rPr>
        <w:t>运营期无生产及生活给水；</w:t>
      </w:r>
    </w:p>
    <w:p w14:paraId="0FBFA9E2">
      <w:pPr>
        <w:spacing w:line="460" w:lineRule="exact"/>
        <w:ind w:firstLine="526" w:firstLineChars="200"/>
        <w:rPr>
          <w:rFonts w:hint="eastAsia" w:hAnsi="宋体" w:cs="宋体"/>
          <w:color w:val="000000"/>
          <w:szCs w:val="24"/>
        </w:rPr>
      </w:pPr>
      <w:r>
        <w:rPr>
          <w:rFonts w:hint="eastAsia" w:hAnsi="宋体" w:cs="宋体"/>
          <w:color w:val="000000"/>
          <w:szCs w:val="24"/>
        </w:rPr>
        <w:t>退役期管道清洗用水由罐车拉运至现场</w:t>
      </w:r>
      <w:r>
        <w:rPr>
          <w:rFonts w:hint="eastAsia"/>
          <w:color w:val="000000"/>
        </w:rPr>
        <w:t>，用水量约为20m</w:t>
      </w:r>
      <w:r>
        <w:rPr>
          <w:rFonts w:hint="eastAsia"/>
          <w:color w:val="000000"/>
          <w:vertAlign w:val="superscript"/>
        </w:rPr>
        <w:t>3</w:t>
      </w:r>
      <w:r>
        <w:rPr>
          <w:rFonts w:hint="eastAsia" w:hAnsi="宋体" w:cs="宋体"/>
          <w:color w:val="000000"/>
          <w:szCs w:val="24"/>
        </w:rPr>
        <w:t>。</w:t>
      </w:r>
    </w:p>
    <w:p w14:paraId="6DD86FC4">
      <w:pPr>
        <w:spacing w:line="460" w:lineRule="exact"/>
        <w:ind w:firstLine="526" w:firstLineChars="200"/>
        <w:rPr>
          <w:rFonts w:hint="eastAsia" w:hAnsi="宋体" w:cs="宋体"/>
          <w:color w:val="000000"/>
          <w:szCs w:val="24"/>
        </w:rPr>
      </w:pPr>
      <w:r>
        <w:rPr>
          <w:rFonts w:hint="eastAsia" w:hAnsi="宋体" w:cs="宋体"/>
          <w:color w:val="000000"/>
          <w:szCs w:val="24"/>
        </w:rPr>
        <w:t>②排水</w:t>
      </w:r>
    </w:p>
    <w:p w14:paraId="40A8CA0B">
      <w:pPr>
        <w:spacing w:line="460" w:lineRule="exact"/>
        <w:ind w:firstLine="526" w:firstLineChars="200"/>
        <w:rPr>
          <w:rFonts w:hint="eastAsia" w:hAnsi="宋体" w:cs="宋体"/>
          <w:color w:val="000000"/>
          <w:szCs w:val="24"/>
        </w:rPr>
      </w:pPr>
      <w:r>
        <w:rPr>
          <w:rFonts w:hint="eastAsia"/>
          <w:color w:val="000000"/>
        </w:rPr>
        <w:t>施工期管线试压废水泼洒抑尘，生活污水依托</w:t>
      </w:r>
      <w:r>
        <w:rPr>
          <w:rFonts w:hint="eastAsia" w:hAnsi="宋体" w:cs="宋体"/>
          <w:color w:val="000000"/>
        </w:rPr>
        <w:t>塔三联合站公寓生活污水处理装置处理</w:t>
      </w:r>
      <w:r>
        <w:rPr>
          <w:rFonts w:hint="eastAsia"/>
          <w:color w:val="000000"/>
          <w:szCs w:val="24"/>
        </w:rPr>
        <w:t>。</w:t>
      </w:r>
    </w:p>
    <w:p w14:paraId="0FAE1D4A">
      <w:pPr>
        <w:adjustRightInd w:val="0"/>
        <w:spacing w:line="460" w:lineRule="exact"/>
        <w:ind w:firstLine="526" w:firstLineChars="200"/>
        <w:rPr>
          <w:rFonts w:hint="eastAsia" w:hAnsi="宋体" w:cs="宋体"/>
          <w:color w:val="000000"/>
        </w:rPr>
      </w:pPr>
      <w:r>
        <w:rPr>
          <w:rFonts w:hint="eastAsia" w:hAnsi="宋体" w:cs="宋体"/>
          <w:color w:val="000000"/>
        </w:rPr>
        <w:t>运营期</w:t>
      </w:r>
      <w:r>
        <w:rPr>
          <w:rFonts w:hint="eastAsia" w:hAnsi="宋体" w:cs="宋体"/>
          <w:color w:val="000000"/>
          <w:lang w:val="en-US" w:eastAsia="zh-CN"/>
        </w:rPr>
        <w:t>间</w:t>
      </w:r>
      <w:r>
        <w:rPr>
          <w:rFonts w:hint="eastAsia" w:hAnsi="宋体" w:cs="宋体"/>
          <w:color w:val="000000"/>
        </w:rPr>
        <w:t>无废水产生。</w:t>
      </w:r>
    </w:p>
    <w:p w14:paraId="7BE5356F">
      <w:pPr>
        <w:adjustRightInd w:val="0"/>
        <w:spacing w:line="460" w:lineRule="exact"/>
        <w:ind w:firstLine="526" w:firstLineChars="200"/>
        <w:rPr>
          <w:rFonts w:hint="eastAsia" w:hAnsi="宋体" w:cs="宋体"/>
          <w:color w:val="000000"/>
          <w:szCs w:val="24"/>
        </w:rPr>
      </w:pPr>
      <w:r>
        <w:rPr>
          <w:rFonts w:hint="eastAsia" w:hAnsi="宋体" w:cs="宋体"/>
          <w:color w:val="000000"/>
        </w:rPr>
        <w:t>退役期管线清洗废水经清洗管道输送至塔三联合站水处理单元处理</w:t>
      </w:r>
      <w:r>
        <w:rPr>
          <w:rFonts w:hint="eastAsia" w:hAnsi="宋体" w:cs="宋体"/>
          <w:color w:val="000000"/>
          <w:szCs w:val="24"/>
        </w:rPr>
        <w:t>。</w:t>
      </w:r>
    </w:p>
    <w:p w14:paraId="4CEFBF2A">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（3）防腐工程</w:t>
      </w:r>
    </w:p>
    <w:p w14:paraId="027F5ABA">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ZG11-H1井至ZG8-9井集输管线采用修复油管，不做外防腐；ZG431-H3至DN150外输管线碰头点后1km管线均采用3PE防腐；ZG431-H4至5#集DN150外输管线防腐结构为无溶剂环氧涂料，无气喷涂4道，涂层总干膜厚度不小于400μm。</w:t>
      </w:r>
    </w:p>
    <w:p w14:paraId="6215B2DA">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（4）道路工程</w:t>
      </w:r>
    </w:p>
    <w:p w14:paraId="4F9C3E0A">
      <w:pPr>
        <w:adjustRightInd w:val="0"/>
        <w:spacing w:line="460" w:lineRule="exact"/>
        <w:ind w:firstLine="526" w:firstLineChars="200"/>
        <w:rPr>
          <w:rFonts w:hint="eastAsia"/>
          <w:color w:val="000000"/>
          <w:szCs w:val="24"/>
        </w:rPr>
      </w:pPr>
      <w:r>
        <w:rPr>
          <w:rFonts w:hint="eastAsia"/>
          <w:color w:val="000000"/>
          <w:szCs w:val="24"/>
        </w:rPr>
        <w:t>拟建工程不新增施工便道，全部依托区域现有道路。</w:t>
      </w:r>
    </w:p>
    <w:p w14:paraId="7CB0DD06">
      <w:pPr>
        <w:pStyle w:val="18"/>
        <w:adjustRightInd w:val="0"/>
        <w:spacing w:line="460" w:lineRule="exact"/>
        <w:ind w:firstLine="0"/>
        <w:outlineLvl w:val="3"/>
        <w:rPr>
          <w:rFonts w:hint="eastAsia" w:hAnsi="宋体" w:cs="宋体"/>
          <w:color w:val="000000"/>
          <w:spacing w:val="5"/>
          <w:szCs w:val="24"/>
        </w:rPr>
      </w:pPr>
      <w:r>
        <w:rPr>
          <w:rFonts w:hint="eastAsia" w:hAnsi="宋体" w:cs="宋体"/>
          <w:color w:val="000000"/>
          <w:spacing w:val="5"/>
          <w:szCs w:val="24"/>
        </w:rPr>
        <w:t>3.3.5.4 环保工程</w:t>
      </w:r>
    </w:p>
    <w:p w14:paraId="5F5EAC7E">
      <w:pPr>
        <w:adjustRightInd w:val="0"/>
        <w:spacing w:line="460" w:lineRule="exact"/>
        <w:ind w:firstLine="526" w:firstLineChars="200"/>
        <w:rPr>
          <w:rFonts w:hint="eastAsia" w:cs="宋体"/>
          <w:color w:val="000000"/>
          <w:spacing w:val="4"/>
          <w:kern w:val="21"/>
          <w:szCs w:val="24"/>
        </w:rPr>
      </w:pPr>
      <w:r>
        <w:rPr>
          <w:rFonts w:hint="eastAsia" w:hAnsi="宋体"/>
          <w:color w:val="000000"/>
        </w:rPr>
        <w:t>塔中Ⅰ号气田现有环保设施比较齐全，施工期产生的施工废料、清管废渣和废防渗膜等处置均依托区域现有联合站配套设施和第三方有危废资质的单位处理，运营期无废气、废水、噪声、固体废物等产生。</w:t>
      </w:r>
    </w:p>
    <w:p w14:paraId="7867CFD1">
      <w:pPr>
        <w:spacing w:line="460" w:lineRule="exact"/>
        <w:outlineLvl w:val="1"/>
        <w:rPr>
          <w:rFonts w:ascii="黑体" w:hAnsi="黑体" w:eastAsia="黑体" w:cs="黑体"/>
          <w:color w:val="000000"/>
          <w:sz w:val="28"/>
          <w:szCs w:val="28"/>
          <w:lang w:bidi="ar"/>
        </w:rPr>
      </w:pPr>
      <w:bookmarkStart w:id="113" w:name="_Toc198040176"/>
      <w:bookmarkStart w:id="114" w:name="_Toc208474671"/>
      <w:bookmarkStart w:id="115" w:name="_Toc230178787"/>
      <w:bookmarkStart w:id="116" w:name="_Toc198040320"/>
      <w:r>
        <w:rPr>
          <w:rFonts w:hint="eastAsia" w:ascii="黑体" w:hAnsi="黑体" w:eastAsia="黑体" w:cs="黑体"/>
          <w:color w:val="000000"/>
          <w:sz w:val="28"/>
          <w:szCs w:val="28"/>
          <w:lang w:bidi="ar"/>
        </w:rPr>
        <w:t>3.4 工程分析</w:t>
      </w:r>
      <w:bookmarkEnd w:id="113"/>
      <w:bookmarkEnd w:id="114"/>
      <w:bookmarkEnd w:id="115"/>
      <w:bookmarkEnd w:id="116"/>
    </w:p>
    <w:p w14:paraId="6FBBFB82">
      <w:pPr>
        <w:adjustRightInd w:val="0"/>
        <w:spacing w:line="460" w:lineRule="exact"/>
        <w:outlineLvl w:val="2"/>
        <w:rPr>
          <w:rFonts w:hAnsi="宋体" w:cs="宋体"/>
          <w:color w:val="000000"/>
          <w:szCs w:val="24"/>
        </w:rPr>
      </w:pPr>
      <w:r>
        <w:rPr>
          <w:rFonts w:hint="eastAsia" w:hAnsi="宋体" w:cs="宋体"/>
          <w:color w:val="000000"/>
          <w:szCs w:val="24"/>
        </w:rPr>
        <w:t>3.4.1 工艺流程及产排污节点</w:t>
      </w:r>
    </w:p>
    <w:p w14:paraId="6B1C1C37">
      <w:pPr>
        <w:adjustRightInd w:val="0"/>
        <w:spacing w:line="460" w:lineRule="exact"/>
        <w:outlineLvl w:val="3"/>
        <w:rPr>
          <w:rFonts w:hAnsi="宋体" w:cs="宋体"/>
          <w:color w:val="000000"/>
          <w:szCs w:val="24"/>
        </w:rPr>
      </w:pPr>
      <w:r>
        <w:rPr>
          <w:rFonts w:hint="eastAsia" w:hAnsi="宋体" w:cs="宋体"/>
          <w:color w:val="000000"/>
          <w:szCs w:val="24"/>
        </w:rPr>
        <w:t>3.4.1.1 施工期</w:t>
      </w:r>
    </w:p>
    <w:p w14:paraId="5CF71975">
      <w:pPr>
        <w:pStyle w:val="45"/>
        <w:widowControl w:val="0"/>
        <w:spacing w:beforeAutospacing="0" w:afterAutospacing="0" w:line="460" w:lineRule="exact"/>
        <w:ind w:firstLine="506" w:firstLineChars="200"/>
        <w:jc w:val="both"/>
        <w:rPr>
          <w:color w:val="000000"/>
          <w:szCs w:val="25"/>
        </w:rPr>
      </w:pPr>
      <w:r>
        <w:rPr>
          <w:rFonts w:hint="eastAsia"/>
          <w:color w:val="000000"/>
          <w:szCs w:val="25"/>
        </w:rPr>
        <w:t>（1）ZG11-H1井至ZG8-9井集输管线施工</w:t>
      </w:r>
    </w:p>
    <w:p w14:paraId="7DFACC05">
      <w:pPr>
        <w:pStyle w:val="45"/>
        <w:widowControl w:val="0"/>
        <w:spacing w:beforeAutospacing="0" w:afterAutospacing="0" w:line="460" w:lineRule="exact"/>
        <w:ind w:firstLine="506" w:firstLineChars="200"/>
        <w:jc w:val="both"/>
        <w:rPr>
          <w:rFonts w:hint="eastAsia"/>
          <w:color w:val="000000"/>
          <w:szCs w:val="25"/>
        </w:rPr>
      </w:pPr>
      <w:r>
        <w:rPr>
          <w:rFonts w:hint="eastAsia"/>
          <w:color w:val="000000"/>
          <w:szCs w:val="25"/>
        </w:rPr>
        <w:t>拟建工程新建ZG11-H1井至ZG8-9井集输管线1条，管线沿现有道路敷设，采用地上敷设方式。施工作业带可充分依托现有道路，施工设备及施工机械沿路布设。管线主要施工内容包括施工准备、管道连接与试压、连头、收尾工序等。施工方案见图3.4-1。</w:t>
      </w:r>
    </w:p>
    <w:p w14:paraId="011C77F3">
      <w:pPr>
        <w:pStyle w:val="45"/>
        <w:widowControl w:val="0"/>
        <w:adjustRightInd w:val="0"/>
        <w:spacing w:beforeAutospacing="0" w:afterAutospacing="0" w:line="460" w:lineRule="exact"/>
        <w:ind w:firstLine="526" w:firstLineChars="200"/>
        <w:rPr>
          <w:rFonts w:hint="eastAsia"/>
          <w:color w:val="000000"/>
          <w:szCs w:val="25"/>
        </w:rPr>
      </w:pPr>
      <w:r>
        <w:rPr>
          <w:color w:val="000000"/>
          <w:sz w:val="25"/>
        </w:rPr>
        <w:pict>
          <v:group id="组合 214" o:spid="_x0000_s1038" o:spt="203" style="position:absolute;left:0pt;margin-left:86.7pt;margin-top:10.05pt;height:82.85pt;width:233.3pt;z-index:251675648;mso-width-relative:page;mso-height-relative:page;" coordorigin="3491,1775125" coordsize="4666,1657">
            <o:lock v:ext="edit" aspectratio="f"/>
            <v:rect id="矩形 12" o:spid="_x0000_s1039" o:spt="1" style="position:absolute;left:3491;top:1775126;height:340;width:1247;" filled="f" stroked="t" coordsize="21600,21600">
              <v:path/>
              <v:fill on="f" focussize="0,0"/>
              <v:stroke/>
              <v:imagedata o:title=""/>
              <o:lock v:ext="edit" aspectratio="f"/>
              <v:textbox inset="0mm,0mm,0mm,0mm">
                <w:txbxContent>
                  <w:p w14:paraId="4DF6AD70">
                    <w:pPr>
                      <w:adjustRightInd w:val="0"/>
                      <w:snapToGrid w:val="0"/>
                      <w:jc w:val="center"/>
                      <w:rPr>
                        <w:szCs w:val="18"/>
                      </w:rPr>
                    </w:pPr>
                    <w:r>
                      <w:rPr>
                        <w:rFonts w:hint="eastAsia"/>
                        <w:szCs w:val="18"/>
                      </w:rPr>
                      <w:t>施工准备</w:t>
                    </w:r>
                  </w:p>
                </w:txbxContent>
              </v:textbox>
            </v:rect>
            <v:line id="直接连接符 41" o:spid="_x0000_s1040" o:spt="20" style="position:absolute;left:4735;top:1775288;flip:x;height:0;width:1417;" stroked="t" coordsize="21600,21600">
              <v:path arrowok="t"/>
              <v:fill focussize="0,0"/>
              <v:stroke startarrow="classic" startarrowwidth="narrow" startarrowlength="short"/>
              <v:imagedata o:title=""/>
              <o:lock v:ext="edit" aspectratio="f"/>
            </v:line>
            <v:line id="直接连接符 13" o:spid="_x0000_s1041" o:spt="20" style="position:absolute;left:7078;top:1775468;height:326;width:0;" stroked="t" coordsize="21600,21600">
              <v:path arrowok="t"/>
              <v:fill focussize="0,0"/>
              <v:stroke endarrow="classic" endarrowwidth="narrow" endarrowlength="short"/>
              <v:imagedata o:title=""/>
              <o:lock v:ext="edit" aspectratio="f"/>
            </v:line>
            <v:line id="直接连接符 18" o:spid="_x0000_s1042" o:spt="20" style="position:absolute;left:7078;top:1776134;height:340;width:0;" stroked="t" coordsize="21600,21600">
              <v:path arrowok="t"/>
              <v:fill focussize="0,0"/>
              <v:stroke endarrow="classic" endarrowwidth="narrow" endarrowlength="short"/>
              <v:imagedata o:title=""/>
              <o:lock v:ext="edit" aspectratio="f"/>
            </v:line>
            <v:rect id="矩形 20" o:spid="_x0000_s1043" o:spt="1" style="position:absolute;left:6214;top:1775125;height:340;width:1871;" filled="f" stroked="t" coordsize="21600,21600">
              <v:path/>
              <v:fill on="f" focussize="0,0"/>
              <v:stroke/>
              <v:imagedata o:title=""/>
              <o:lock v:ext="edit" aspectratio="f"/>
              <v:textbox inset="0mm,0mm,0mm,0mm">
                <w:txbxContent>
                  <w:p w14:paraId="56681C01">
                    <w:pPr>
                      <w:adjustRightInd w:val="0"/>
                      <w:snapToGrid w:val="0"/>
                      <w:jc w:val="center"/>
                      <w:rPr>
                        <w:szCs w:val="21"/>
                      </w:rPr>
                    </w:pPr>
                    <w:r>
                      <w:rPr>
                        <w:szCs w:val="21"/>
                      </w:rPr>
                      <w:t>管道连接与试压</w:t>
                    </w:r>
                  </w:p>
                </w:txbxContent>
              </v:textbox>
            </v:rect>
            <v:rect id="矩形 40" o:spid="_x0000_s1044" o:spt="1" style="position:absolute;left:6173;top:1775794;height:340;width:1984;" filled="f" stroked="t" coordsize="21600,21600">
              <v:path/>
              <v:fill on="f" focussize="0,0"/>
              <v:stroke/>
              <v:imagedata o:title=""/>
              <o:lock v:ext="edit" aspectratio="f"/>
              <v:textbox inset="1.42pt,0.85pt,1.42pt,0.85pt">
                <w:txbxContent>
                  <w:p w14:paraId="451CF05F">
                    <w:pPr>
                      <w:adjustRightInd w:val="0"/>
                      <w:snapToGrid w:val="0"/>
                      <w:jc w:val="center"/>
                      <w:rPr>
                        <w:szCs w:val="21"/>
                      </w:rPr>
                    </w:pPr>
                    <w:r>
                      <w:rPr>
                        <w:rFonts w:hint="eastAsia"/>
                        <w:szCs w:val="21"/>
                      </w:rPr>
                      <w:t>连头</w:t>
                    </w:r>
                  </w:p>
                </w:txbxContent>
              </v:textbox>
            </v:rect>
            <v:rect id="矩形 44" o:spid="_x0000_s1045" o:spt="1" style="position:absolute;left:6428;top:1776442;height:340;width:1247;" filled="f" stroked="t" coordsize="21600,21600">
              <v:path/>
              <v:fill on="f" focussize="0,0"/>
              <v:stroke/>
              <v:imagedata o:title=""/>
              <o:lock v:ext="edit" aspectratio="f"/>
              <v:textbox inset="0mm,0mm,0mm,0mm">
                <w:txbxContent>
                  <w:p w14:paraId="577DC6D3">
                    <w:pPr>
                      <w:adjustRightInd w:val="0"/>
                      <w:snapToGrid w:val="0"/>
                      <w:jc w:val="center"/>
                      <w:rPr>
                        <w:szCs w:val="18"/>
                      </w:rPr>
                    </w:pPr>
                    <w:r>
                      <w:rPr>
                        <w:rFonts w:hint="eastAsia"/>
                        <w:szCs w:val="18"/>
                      </w:rPr>
                      <w:t>收尾工作</w:t>
                    </w:r>
                  </w:p>
                </w:txbxContent>
              </v:textbox>
            </v:rect>
          </v:group>
        </w:pict>
      </w:r>
    </w:p>
    <w:p w14:paraId="1EEE4625">
      <w:pPr>
        <w:pStyle w:val="45"/>
        <w:widowControl w:val="0"/>
        <w:adjustRightInd w:val="0"/>
        <w:spacing w:beforeAutospacing="0" w:afterAutospacing="0" w:line="460" w:lineRule="exact"/>
        <w:ind w:firstLine="506" w:firstLineChars="200"/>
        <w:rPr>
          <w:rFonts w:hint="eastAsia"/>
          <w:color w:val="000000"/>
          <w:szCs w:val="25"/>
        </w:rPr>
      </w:pPr>
    </w:p>
    <w:p w14:paraId="393011A0">
      <w:pPr>
        <w:pStyle w:val="45"/>
        <w:widowControl w:val="0"/>
        <w:adjustRightInd w:val="0"/>
        <w:spacing w:beforeAutospacing="0" w:afterAutospacing="0" w:line="460" w:lineRule="exact"/>
        <w:ind w:firstLine="506" w:firstLineChars="200"/>
        <w:rPr>
          <w:rFonts w:hint="eastAsia"/>
          <w:color w:val="000000"/>
          <w:szCs w:val="25"/>
        </w:rPr>
      </w:pPr>
    </w:p>
    <w:p w14:paraId="7C5F63C0">
      <w:pPr>
        <w:pStyle w:val="45"/>
        <w:widowControl w:val="0"/>
        <w:adjustRightInd w:val="0"/>
        <w:spacing w:beforeAutospacing="0" w:afterAutospacing="0" w:line="460" w:lineRule="exact"/>
        <w:ind w:firstLine="526" w:firstLineChars="200"/>
        <w:rPr>
          <w:color w:val="000000"/>
          <w:sz w:val="25"/>
        </w:rPr>
      </w:pPr>
    </w:p>
    <w:p w14:paraId="63068BB2">
      <w:pPr>
        <w:pStyle w:val="94"/>
        <w:kinsoku/>
        <w:wordWrap/>
        <w:overflowPunct/>
        <w:snapToGrid/>
        <w:spacing w:after="0" w:line="460" w:lineRule="exact"/>
        <w:rPr>
          <w:rFonts w:hint="eastAsia" w:hAnsi="宋体" w:cs="宋体"/>
          <w:color w:val="000000"/>
          <w:sz w:val="25"/>
          <w:szCs w:val="25"/>
        </w:rPr>
      </w:pPr>
      <w:r>
        <w:rPr>
          <w:rFonts w:hint="eastAsia" w:hAnsi="宋体" w:cs="宋体"/>
          <w:color w:val="000000"/>
          <w:szCs w:val="24"/>
        </w:rPr>
        <w:t xml:space="preserve">图3.3-1 </w:t>
      </w:r>
      <w:r>
        <w:rPr>
          <w:rFonts w:hint="eastAsia" w:hAnsi="宋体" w:cs="宋体"/>
          <w:color w:val="000000"/>
          <w:kern w:val="2"/>
          <w:szCs w:val="24"/>
          <w:lang w:val="zh-CN"/>
        </w:rPr>
        <w:t xml:space="preserve">  </w:t>
      </w:r>
      <w:r>
        <w:rPr>
          <w:rFonts w:hint="eastAsia" w:ascii="黑体" w:hAnsi="黑体" w:eastAsia="黑体" w:cs="黑体"/>
          <w:color w:val="000000"/>
          <w:kern w:val="2"/>
          <w:szCs w:val="24"/>
          <w:lang w:val="zh-CN"/>
        </w:rPr>
        <w:t>施工</w:t>
      </w:r>
      <w:r>
        <w:rPr>
          <w:rFonts w:hint="eastAsia" w:ascii="黑体" w:hAnsi="黑体" w:eastAsia="黑体" w:cs="黑体"/>
          <w:color w:val="000000"/>
          <w:kern w:val="2"/>
          <w:szCs w:val="24"/>
        </w:rPr>
        <w:t>方案工艺</w:t>
      </w:r>
      <w:r>
        <w:rPr>
          <w:rFonts w:hint="eastAsia" w:ascii="黑体" w:hAnsi="黑体" w:eastAsia="黑体" w:cs="黑体"/>
          <w:color w:val="000000"/>
          <w:kern w:val="2"/>
          <w:szCs w:val="24"/>
          <w:lang w:val="zh-CN"/>
        </w:rPr>
        <w:t>流程图</w:t>
      </w:r>
    </w:p>
    <w:p w14:paraId="4B902C06">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①施工准备</w:t>
      </w:r>
    </w:p>
    <w:p w14:paraId="772FD535">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施工期间依托现有道路进行作业，在合适地点设置车辆临时停放场地。</w:t>
      </w:r>
    </w:p>
    <w:p w14:paraId="672A41E4">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②管道连接与试压</w:t>
      </w:r>
    </w:p>
    <w:p w14:paraId="33BC1D42">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color w:val="000000"/>
          <w:szCs w:val="24"/>
        </w:rPr>
        <w:t>项目管道采用焊接方式，连接完成后</w:t>
      </w:r>
      <w:r>
        <w:rPr>
          <w:rFonts w:hint="eastAsia" w:hAnsi="宋体" w:cs="宋体"/>
          <w:color w:val="000000"/>
          <w:szCs w:val="24"/>
        </w:rPr>
        <w:t>进行吹扫，吹扫介质采用压缩氮气，吹扫完成后进行注水试压。管线试压介质采用中性洁净水，管道试压分段进行，集输管线试压水由管内排出后进入下一段管线循环使用，试压完成后用于洒水抑尘。</w:t>
      </w:r>
    </w:p>
    <w:p w14:paraId="639D46C8">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③连头</w:t>
      </w:r>
    </w:p>
    <w:p w14:paraId="213C51B9">
      <w:pPr>
        <w:pStyle w:val="94"/>
        <w:kinsoku/>
        <w:wordWrap/>
        <w:overflowPunct/>
        <w:snapToGrid/>
        <w:spacing w:after="0" w:line="460" w:lineRule="exact"/>
        <w:ind w:firstLine="526" w:firstLineChars="200"/>
        <w:jc w:val="both"/>
        <w:rPr>
          <w:rFonts w:hint="eastAsia" w:hAnsi="宋体" w:cs="宋体"/>
          <w:color w:val="000000"/>
          <w:sz w:val="25"/>
          <w:szCs w:val="25"/>
        </w:rPr>
      </w:pPr>
      <w:r>
        <w:rPr>
          <w:rFonts w:hint="eastAsia" w:hAnsi="宋体" w:cs="宋体"/>
          <w:color w:val="000000"/>
          <w:szCs w:val="24"/>
        </w:rPr>
        <w:t>管线施工完成后将管线与场内阀组连接。</w:t>
      </w:r>
    </w:p>
    <w:p w14:paraId="06074ADE">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④收尾工作</w:t>
      </w:r>
    </w:p>
    <w:p w14:paraId="51623524">
      <w:pPr>
        <w:pStyle w:val="94"/>
        <w:kinsoku/>
        <w:wordWrap/>
        <w:overflowPunct/>
        <w:snapToGrid/>
        <w:spacing w:after="0" w:line="460" w:lineRule="exact"/>
        <w:ind w:firstLine="526" w:firstLineChars="200"/>
        <w:jc w:val="both"/>
        <w:rPr>
          <w:rFonts w:hint="eastAsia" w:hAnsi="宋体" w:cs="宋体"/>
          <w:color w:val="000000"/>
          <w:sz w:val="25"/>
          <w:szCs w:val="25"/>
        </w:rPr>
      </w:pPr>
      <w:r>
        <w:rPr>
          <w:rFonts w:hint="eastAsia" w:hAnsi="宋体" w:cs="宋体"/>
          <w:color w:val="000000"/>
          <w:szCs w:val="24"/>
        </w:rPr>
        <w:t>全面收集遗留在施工现场的焊条头、废弃管材管件等施工废料，按照要求分类运输至指定垃圾处理场地，避免污染土壤与周边环境。</w:t>
      </w:r>
    </w:p>
    <w:p w14:paraId="1A8AB838">
      <w:pPr>
        <w:pStyle w:val="45"/>
        <w:widowControl w:val="0"/>
        <w:spacing w:beforeAutospacing="0" w:afterAutospacing="0" w:line="460" w:lineRule="exact"/>
        <w:ind w:firstLine="506" w:firstLineChars="200"/>
        <w:jc w:val="both"/>
        <w:rPr>
          <w:color w:val="000000"/>
        </w:rPr>
      </w:pPr>
      <w:r>
        <w:rPr>
          <w:rFonts w:hint="eastAsia"/>
          <w:color w:val="000000"/>
        </w:rPr>
        <w:t>（2）ZG431-H3至5#集DN150外输管线碰头点后1km管线施工</w:t>
      </w:r>
    </w:p>
    <w:p w14:paraId="56AD5D2F">
      <w:pPr>
        <w:pStyle w:val="94"/>
        <w:kinsoku/>
        <w:wordWrap/>
        <w:overflowPunct/>
        <w:snapToGrid/>
        <w:spacing w:after="0" w:line="460" w:lineRule="exact"/>
        <w:ind w:firstLine="526" w:firstLineChars="200"/>
        <w:jc w:val="both"/>
        <w:rPr>
          <w:rFonts w:hint="eastAsia" w:hAnsi="宋体" w:cs="宋体"/>
          <w:color w:val="000000"/>
          <w:szCs w:val="24"/>
        </w:rPr>
      </w:pPr>
      <w:r>
        <w:rPr>
          <w:rFonts w:hint="eastAsia" w:hAnsi="宋体" w:cs="宋体"/>
          <w:color w:val="000000"/>
          <w:szCs w:val="24"/>
        </w:rPr>
        <w:t>拟建工程更换ZG431-H3至DN150外输管道碰头点后1km管线，管线采用埋地敷设方式，与原管道不同沟并行敷设。管线敷设主要施工内容包括施工准备、管沟开挖及下管、管道连接与试压、连头、收尾工序等。拟建工程</w:t>
      </w:r>
      <w:r>
        <w:rPr>
          <w:rFonts w:hint="eastAsia" w:hAnsi="宋体" w:cs="宋体"/>
          <w:bCs/>
          <w:color w:val="000000"/>
          <w:szCs w:val="24"/>
        </w:rPr>
        <w:t>实施后，现有埋地管线停用，管内物质按要求进行吹扫干净，确保管线内无残留油气后，管线两端使用盲板封堵。</w:t>
      </w:r>
    </w:p>
    <w:p w14:paraId="6911B761">
      <w:pPr>
        <w:pStyle w:val="45"/>
        <w:widowControl w:val="0"/>
        <w:adjustRightInd w:val="0"/>
        <w:spacing w:beforeAutospacing="0" w:afterAutospacing="0" w:line="460" w:lineRule="exact"/>
        <w:ind w:firstLine="526" w:firstLineChars="200"/>
        <w:rPr>
          <w:rFonts w:hint="eastAsia"/>
          <w:color w:val="000000"/>
        </w:rPr>
      </w:pPr>
      <w:r>
        <w:rPr>
          <w:color w:val="000000"/>
          <w:sz w:val="25"/>
        </w:rPr>
        <w:pict>
          <v:group id="组合 222" o:spid="_x0000_s1046" o:spt="203" style="position:absolute;left:0pt;margin-left:53.3pt;margin-top:5.5pt;height:84.05pt;width:326.45pt;z-index:251673600;mso-width-relative:page;mso-height-relative:page;" coordorigin="2823,1585427" coordsize="6529,1681">
            <o:lock v:ext="edit" aspectratio="f"/>
            <v:rect id="矩形 12" o:spid="_x0000_s1047" o:spt="1" style="position:absolute;left:2823;top:1585427;height:340;width:1247;" filled="f" stroked="t" coordsize="21600,21600">
              <v:path/>
              <v:fill on="f" focussize="0,0"/>
              <v:stroke/>
              <v:imagedata o:title=""/>
              <o:lock v:ext="edit" aspectratio="f"/>
              <v:textbox inset="0mm,0mm,0mm,0mm">
                <w:txbxContent>
                  <w:p w14:paraId="484786D0">
                    <w:pPr>
                      <w:adjustRightInd w:val="0"/>
                      <w:snapToGrid w:val="0"/>
                      <w:jc w:val="center"/>
                      <w:rPr>
                        <w:szCs w:val="18"/>
                      </w:rPr>
                    </w:pPr>
                    <w:r>
                      <w:rPr>
                        <w:rFonts w:hint="eastAsia"/>
                        <w:szCs w:val="18"/>
                      </w:rPr>
                      <w:t>施工准备</w:t>
                    </w:r>
                  </w:p>
                </w:txbxContent>
              </v:textbox>
            </v:rect>
            <v:line id="直接连接符 13" o:spid="_x0000_s1048" o:spt="20" style="position:absolute;left:8273;top:1585794;height:326;width:0;" stroked="t" coordsize="21600,21600">
              <v:path arrowok="t"/>
              <v:fill focussize="0,0"/>
              <v:stroke endarrow="classic" endarrowwidth="narrow" endarrowlength="short"/>
              <v:imagedata o:title=""/>
              <o:lock v:ext="edit" aspectratio="f"/>
            </v:line>
            <v:rect id="矩形 17" o:spid="_x0000_s1049" o:spt="1" style="position:absolute;left:4688;top:1585439;height:340;width:2098;" filled="f" stroked="t" coordsize="21600,21600">
              <v:path/>
              <v:fill on="f" focussize="0,0"/>
              <v:stroke/>
              <v:imagedata o:title=""/>
              <o:lock v:ext="edit" aspectratio="f"/>
              <v:textbox inset="0mm,0mm,0mm,0mm">
                <w:txbxContent>
                  <w:p w14:paraId="24F84915">
                    <w:pPr>
                      <w:adjustRightInd w:val="0"/>
                      <w:snapToGrid w:val="0"/>
                      <w:jc w:val="center"/>
                      <w:rPr>
                        <w:szCs w:val="18"/>
                      </w:rPr>
                    </w:pPr>
                    <w:r>
                      <w:rPr>
                        <w:rFonts w:hint="eastAsia"/>
                        <w:szCs w:val="18"/>
                      </w:rPr>
                      <w:t>管沟开挖及下管</w:t>
                    </w:r>
                  </w:p>
                </w:txbxContent>
              </v:textbox>
            </v:rect>
            <v:line id="直接连接符 18" o:spid="_x0000_s1050" o:spt="20" style="position:absolute;left:8273;top:1586460;height:340;width:0;" stroked="t" coordsize="21600,21600">
              <v:path arrowok="t"/>
              <v:fill focussize="0,0"/>
              <v:stroke endarrow="classic" endarrowwidth="narrow" endarrowlength="short"/>
              <v:imagedata o:title=""/>
              <o:lock v:ext="edit" aspectratio="f"/>
            </v:line>
            <v:rect id="矩形 20" o:spid="_x0000_s1051" o:spt="1" style="position:absolute;left:7409;top:1585451;height:340;width:1871;" filled="f" stroked="t" coordsize="21600,21600">
              <v:path/>
              <v:fill on="f" focussize="0,0"/>
              <v:stroke/>
              <v:imagedata o:title=""/>
              <o:lock v:ext="edit" aspectratio="f"/>
              <v:textbox inset="0mm,0mm,0mm,0mm">
                <w:txbxContent>
                  <w:p w14:paraId="5450F5BF">
                    <w:pPr>
                      <w:adjustRightInd w:val="0"/>
                      <w:snapToGrid w:val="0"/>
                      <w:jc w:val="center"/>
                      <w:rPr>
                        <w:szCs w:val="21"/>
                      </w:rPr>
                    </w:pPr>
                    <w:r>
                      <w:rPr>
                        <w:szCs w:val="21"/>
                      </w:rPr>
                      <w:t>管道连接与试压</w:t>
                    </w:r>
                  </w:p>
                </w:txbxContent>
              </v:textbox>
            </v:rect>
            <v:rect id="矩形 40" o:spid="_x0000_s1052" o:spt="1" style="position:absolute;left:7368;top:1586120;height:340;width:1984;" filled="f" stroked="t" coordsize="21600,21600">
              <v:path/>
              <v:fill on="f" focussize="0,0"/>
              <v:stroke/>
              <v:imagedata o:title=""/>
              <o:lock v:ext="edit" aspectratio="f"/>
              <v:textbox inset="1.42pt,0.85pt,1.42pt,0.85pt">
                <w:txbxContent>
                  <w:p w14:paraId="12617AF9">
                    <w:pPr>
                      <w:adjustRightInd w:val="0"/>
                      <w:snapToGrid w:val="0"/>
                      <w:jc w:val="center"/>
                      <w:rPr>
                        <w:szCs w:val="21"/>
                      </w:rPr>
                    </w:pPr>
                    <w:r>
                      <w:rPr>
                        <w:rFonts w:hint="eastAsia"/>
                        <w:szCs w:val="21"/>
                      </w:rPr>
                      <w:t>连头</w:t>
                    </w:r>
                  </w:p>
                </w:txbxContent>
              </v:textbox>
            </v:rect>
            <v:line id="直接连接符 41" o:spid="_x0000_s1053" o:spt="20" style="position:absolute;left:4067;top:1585589;flip:x;height:0;width:624;" stroked="t" coordsize="21600,21600">
              <v:path arrowok="t"/>
              <v:fill focussize="0,0"/>
              <v:stroke startarrow="classic" startarrowwidth="narrow" startarrowlength="short"/>
              <v:imagedata o:title=""/>
              <o:lock v:ext="edit" aspectratio="f"/>
            </v:line>
            <v:line id="直接连接符 43" o:spid="_x0000_s1054" o:spt="20" style="position:absolute;left:6782;top:1585589;flip:x;height:0;width:624;" stroked="t" coordsize="21600,21600">
              <v:path arrowok="t"/>
              <v:fill focussize="0,0"/>
              <v:stroke startarrow="classic" startarrowwidth="narrow" startarrowlength="short"/>
              <v:imagedata o:title=""/>
              <o:lock v:ext="edit" aspectratio="f"/>
            </v:line>
            <v:rect id="矩形 44" o:spid="_x0000_s1055" o:spt="1" style="position:absolute;left:7623;top:1586768;height:340;width:1247;" filled="f" stroked="t" coordsize="21600,21600">
              <v:path/>
              <v:fill on="f" focussize="0,0"/>
              <v:stroke/>
              <v:imagedata o:title=""/>
              <o:lock v:ext="edit" aspectratio="f"/>
              <v:textbox inset="0mm,0mm,0mm,0mm">
                <w:txbxContent>
                  <w:p w14:paraId="32FD6D38">
                    <w:pPr>
                      <w:adjustRightInd w:val="0"/>
                      <w:snapToGrid w:val="0"/>
                      <w:jc w:val="center"/>
                      <w:rPr>
                        <w:szCs w:val="18"/>
                      </w:rPr>
                    </w:pPr>
                    <w:r>
                      <w:rPr>
                        <w:rFonts w:hint="eastAsia"/>
                        <w:szCs w:val="18"/>
                      </w:rPr>
                      <w:t>收尾工作</w:t>
                    </w:r>
                  </w:p>
                </w:txbxContent>
              </v:textbox>
            </v:rect>
          </v:group>
        </w:pict>
      </w:r>
    </w:p>
    <w:p w14:paraId="07BD3CD5">
      <w:pPr>
        <w:pStyle w:val="45"/>
        <w:widowControl w:val="0"/>
        <w:adjustRightInd w:val="0"/>
        <w:spacing w:beforeAutospacing="0" w:afterAutospacing="0" w:line="460" w:lineRule="exact"/>
        <w:ind w:firstLine="506" w:firstLineChars="200"/>
        <w:rPr>
          <w:rFonts w:hint="eastAsia"/>
          <w:color w:val="000000"/>
        </w:rPr>
      </w:pPr>
    </w:p>
    <w:p w14:paraId="2BC656A8">
      <w:pPr>
        <w:pStyle w:val="45"/>
        <w:widowControl w:val="0"/>
        <w:adjustRightInd w:val="0"/>
        <w:spacing w:beforeAutospacing="0" w:afterAutospacing="0" w:line="460" w:lineRule="exact"/>
        <w:ind w:firstLine="506" w:firstLineChars="200"/>
        <w:rPr>
          <w:rFonts w:hint="eastAsia"/>
          <w:color w:val="000000"/>
        </w:rPr>
      </w:pPr>
    </w:p>
    <w:p w14:paraId="0A99FFB1">
      <w:pPr>
        <w:pStyle w:val="45"/>
        <w:widowControl w:val="0"/>
        <w:adjustRightInd w:val="0"/>
        <w:spacing w:beforeAutospacing="0" w:afterAutospacing="0" w:line="460" w:lineRule="exact"/>
        <w:ind w:firstLine="506" w:firstLineChars="200"/>
        <w:rPr>
          <w:rFonts w:hint="eastAsia"/>
          <w:color w:val="000000"/>
        </w:rPr>
      </w:pPr>
    </w:p>
    <w:p w14:paraId="282715EC">
      <w:pPr>
        <w:pStyle w:val="94"/>
        <w:kinsoku/>
        <w:wordWrap/>
        <w:overflowPunct/>
        <w:snapToGrid/>
        <w:spacing w:before="100" w:after="0" w:line="460" w:lineRule="exact"/>
        <w:rPr>
          <w:rFonts w:hint="eastAsia" w:ascii="黑体" w:hAnsi="黑体" w:eastAsia="黑体" w:cs="宋体"/>
          <w:color w:val="000000"/>
          <w:szCs w:val="24"/>
        </w:rPr>
      </w:pPr>
      <w:r>
        <w:rPr>
          <w:rFonts w:hint="eastAsia" w:ascii="黑体" w:hAnsi="黑体" w:eastAsia="黑体" w:cs="宋体"/>
          <w:color w:val="000000"/>
          <w:szCs w:val="24"/>
        </w:rPr>
        <w:t>图3.4-2</w:t>
      </w:r>
      <w:r>
        <w:rPr>
          <w:rFonts w:hint="eastAsia" w:ascii="黑体" w:hAnsi="黑体" w:eastAsia="黑体" w:cs="宋体"/>
          <w:color w:val="000000"/>
          <w:kern w:val="2"/>
          <w:szCs w:val="24"/>
          <w:lang w:val="zh-CN"/>
        </w:rPr>
        <w:t xml:space="preserve">  </w:t>
      </w:r>
      <w:r>
        <w:rPr>
          <w:rFonts w:hint="eastAsia" w:ascii="黑体" w:hAnsi="黑体" w:eastAsia="黑体" w:cs="黑体"/>
          <w:color w:val="000000"/>
          <w:kern w:val="2"/>
          <w:szCs w:val="24"/>
          <w:lang w:val="zh-CN"/>
        </w:rPr>
        <w:t>施工</w:t>
      </w:r>
      <w:r>
        <w:rPr>
          <w:rFonts w:hint="eastAsia" w:ascii="黑体" w:hAnsi="黑体" w:eastAsia="黑体" w:cs="黑体"/>
          <w:color w:val="000000"/>
          <w:kern w:val="2"/>
          <w:szCs w:val="24"/>
        </w:rPr>
        <w:t>方案工艺</w:t>
      </w:r>
      <w:r>
        <w:rPr>
          <w:rFonts w:hint="eastAsia" w:ascii="黑体" w:hAnsi="黑体" w:eastAsia="黑体" w:cs="黑体"/>
          <w:color w:val="000000"/>
          <w:kern w:val="2"/>
          <w:szCs w:val="24"/>
          <w:lang w:val="zh-CN"/>
        </w:rPr>
        <w:t>流程图</w:t>
      </w:r>
    </w:p>
    <w:p w14:paraId="64B0E2B5">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①施工准备</w:t>
      </w:r>
    </w:p>
    <w:p w14:paraId="601B9EDB">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施工前需对场地进行平整，设置施工车辆临时停放场地。机车施工期间可依托已有道路进行作业，沿设计的管线走向，并取管沟一侧作为挖方存放点，在合适地点设置车辆临时停放场地。</w:t>
      </w:r>
    </w:p>
    <w:p w14:paraId="60CC8D37">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②管沟开挖及下管</w:t>
      </w:r>
    </w:p>
    <w:p w14:paraId="0D12EA39">
      <w:pPr>
        <w:pStyle w:val="45"/>
        <w:widowControl w:val="0"/>
        <w:spacing w:beforeAutospacing="0" w:afterAutospacing="0"/>
        <w:ind w:firstLine="506" w:firstLineChars="200"/>
        <w:jc w:val="both"/>
        <w:rPr>
          <w:rFonts w:hint="eastAsia"/>
          <w:color w:val="000000"/>
          <w:kern w:val="2"/>
        </w:rPr>
      </w:pPr>
      <w:r>
        <w:rPr>
          <w:rFonts w:hint="eastAsia"/>
          <w:color w:val="000000"/>
          <w:kern w:val="2"/>
        </w:rPr>
        <w:t>沿管线设计路线进行开挖管沟，并根据现场情况适当调整，保证新铺设管线与已建输送管线及天然气管线保持一定距离：距离地下现有天然气管线水平距离≥5m，距离外输管线水平距离≥2m。管沟底宽0.8m，沟深1.6m，管沟边坡比为1:1，开挖过程中对管沟区挖方单侧堆放，以机械开挖为主，人工为辅。管线与电（光）缆交叉时，净距不小于0.5m，并对电（光）缆采取角钢围裹的保护措施；与管线交叉时，两管线之间净距不小于0.3m。开挖到设计深度位置，并对管沟底进行夯实、铺小颗粒原土、下管。管线连接完毕后，将管线分段吊装至管沟内。管线下沟后，管道与沟底表面贴实且放置在管沟中心位置。</w:t>
      </w:r>
    </w:p>
    <w:p w14:paraId="165A6200">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④管道连接与试压</w:t>
      </w:r>
    </w:p>
    <w:p w14:paraId="6221E196">
      <w:pPr>
        <w:pStyle w:val="94"/>
        <w:kinsoku/>
        <w:wordWrap/>
        <w:overflowPunct/>
        <w:snapToGrid/>
        <w:spacing w:after="0" w:line="240" w:lineRule="auto"/>
        <w:ind w:firstLine="530" w:firstLineChars="200"/>
        <w:jc w:val="both"/>
        <w:rPr>
          <w:rFonts w:hint="eastAsia" w:hAnsi="宋体" w:cs="宋体"/>
          <w:color w:val="000000"/>
          <w:szCs w:val="24"/>
        </w:rPr>
      </w:pPr>
      <w:r>
        <w:rPr>
          <w:rFonts w:hint="eastAsia" w:hAnsi="宋体" w:cs="宋体"/>
          <w:color w:val="000000"/>
          <w:spacing w:val="6"/>
          <w:szCs w:val="24"/>
        </w:rPr>
        <w:t>管道进行连接、补口、补伤、接口防腐等，连接完成后进行吹扫，吹扫介质采用压缩氮气，吹扫完成后进行注水试压。集输管线试压介质采用中性洁净水，管道试压分段进行，集输管线试压水由管内排出后进入下一段管线循环使用，试压完成后用于洒水抑尘。</w:t>
      </w:r>
    </w:p>
    <w:p w14:paraId="1D4195D0">
      <w:pPr>
        <w:pStyle w:val="94"/>
        <w:kinsoku/>
        <w:wordWrap/>
        <w:overflowPunct/>
        <w:snapToGrid/>
        <w:spacing w:after="0" w:line="240" w:lineRule="auto"/>
        <w:ind w:firstLine="526" w:firstLineChars="200"/>
        <w:jc w:val="both"/>
        <w:rPr>
          <w:rFonts w:hAnsi="宋体" w:cs="宋体"/>
          <w:color w:val="000000"/>
          <w:szCs w:val="24"/>
        </w:rPr>
      </w:pPr>
      <w:r>
        <w:rPr>
          <w:rFonts w:hint="eastAsia" w:hAnsi="宋体" w:cs="宋体"/>
          <w:color w:val="000000"/>
          <w:szCs w:val="24"/>
        </w:rPr>
        <w:t>⑤连头</w:t>
      </w:r>
    </w:p>
    <w:p w14:paraId="275B2610">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管线施工完成后在井场或站场将管线与配套阀门连接。</w:t>
      </w:r>
    </w:p>
    <w:p w14:paraId="6F0F6B45">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⑥收尾工作</w:t>
      </w:r>
    </w:p>
    <w:p w14:paraId="0ACF3934">
      <w:pPr>
        <w:pStyle w:val="94"/>
        <w:kinsoku/>
        <w:wordWrap/>
        <w:overflowPunct/>
        <w:snapToGrid/>
        <w:spacing w:after="0" w:line="240" w:lineRule="auto"/>
        <w:ind w:firstLine="526" w:firstLineChars="200"/>
        <w:jc w:val="both"/>
        <w:rPr>
          <w:rFonts w:hint="eastAsia" w:hAnsi="宋体" w:cs="宋体"/>
          <w:color w:val="000000"/>
          <w:szCs w:val="24"/>
        </w:rPr>
      </w:pPr>
      <w:r>
        <w:rPr>
          <w:rFonts w:hint="eastAsia" w:hAnsi="宋体" w:cs="宋体"/>
          <w:color w:val="000000"/>
          <w:szCs w:val="24"/>
        </w:rPr>
        <w:t>收尾工作包括管沟回填、场地平整和临时场地恢复。管线连接成功并检验合格后进行管沟回填。对管沟实施土方回填，回填时分二次回填，回填土应与管沟自然土相似，首先距管壁300mm范围先用较小粒径的原土进行小回填，最大回填粒径不超过10mm，然后采用原土进行大回填，管顶距自然地坪不小于1.2m且管沟回填土高出自然地面300mm，沿管线铺设方向形成垄，作为管道上方土层沉降富余量，且可以作为巡视管线的地表标志，剩余土方用于场地平整和临时施工场地土地恢复。管沟回填后，在管线沿线设置管道标识、里程桩、转角桩、标志桩、警示牌和警示带等标识。</w:t>
      </w:r>
    </w:p>
    <w:p w14:paraId="706BAC07">
      <w:pPr>
        <w:autoSpaceDE w:val="0"/>
        <w:autoSpaceDN w:val="0"/>
        <w:adjustRightInd w:val="0"/>
        <w:ind w:firstLine="526" w:firstLineChars="200"/>
        <w:textAlignment w:val="baseline"/>
        <w:rPr>
          <w:rFonts w:hint="eastAsia" w:hAnsi="宋体" w:cs="宋体"/>
          <w:color w:val="000000"/>
          <w:kern w:val="21"/>
          <w:szCs w:val="24"/>
        </w:rPr>
      </w:pPr>
      <w:r>
        <w:rPr>
          <w:rFonts w:hint="eastAsia" w:hAnsi="宋体" w:cs="宋体"/>
          <w:color w:val="000000"/>
          <w:kern w:val="21"/>
          <w:szCs w:val="24"/>
        </w:rPr>
        <w:t>管道施工示意图见图3.4-3～3.4-4。</w:t>
      </w:r>
    </w:p>
    <w:p w14:paraId="5290540C">
      <w:pPr>
        <w:pStyle w:val="47"/>
        <w:ind w:left="527"/>
        <w:rPr>
          <w:rFonts w:hint="eastAsia"/>
          <w:color w:val="000000"/>
        </w:rPr>
      </w:pPr>
    </w:p>
    <w:p w14:paraId="33AA4055">
      <w:pPr>
        <w:pStyle w:val="34"/>
        <w:rPr>
          <w:color w:val="000000"/>
        </w:rPr>
      </w:pPr>
      <w:r>
        <w:rPr>
          <w:rFonts w:hAnsi="宋体" w:cs="宋体"/>
          <w:color w:val="000000"/>
          <w:kern w:val="21"/>
          <w:szCs w:val="20"/>
        </w:rPr>
        <w:pict>
          <v:shape id="图片 564" o:spid="_x0000_s1056" o:spt="75" alt="1" type="#_x0000_t75" style="position:absolute;left:0pt;margin-left:14.8pt;margin-top:0.15pt;height:161.05pt;width:433.35pt;z-index:251677696;mso-width-relative:page;mso-height-relative:page;" filled="f" o:preferrelative="t" stroked="f" coordsize="21600,21600">
            <v:path/>
            <v:fill on="f" focussize="0,0"/>
            <v:stroke on="f"/>
            <v:imagedata r:id="rId23" croptop="9403f" cropright="563f" cropbottom="8097f" o:title="1"/>
            <o:lock v:ext="edit" aspectratio="t"/>
          </v:shape>
        </w:pict>
      </w:r>
    </w:p>
    <w:p w14:paraId="2BDF01F1">
      <w:pPr>
        <w:pStyle w:val="11"/>
        <w:ind w:firstLine="507"/>
        <w:rPr>
          <w:color w:val="000000"/>
          <w:lang w:val="zh-CN"/>
        </w:rPr>
      </w:pPr>
    </w:p>
    <w:p w14:paraId="31D59C12">
      <w:pPr>
        <w:rPr>
          <w:rFonts w:hint="eastAsia" w:hAnsi="宋体" w:cs="宋体"/>
          <w:color w:val="000000"/>
        </w:rPr>
      </w:pPr>
    </w:p>
    <w:p w14:paraId="1A5BC4FD">
      <w:pPr>
        <w:rPr>
          <w:rFonts w:hint="eastAsia" w:hAnsi="宋体" w:cs="宋体"/>
          <w:color w:val="000000"/>
        </w:rPr>
      </w:pPr>
    </w:p>
    <w:p w14:paraId="50F1E611">
      <w:pPr>
        <w:rPr>
          <w:rFonts w:hint="eastAsia" w:hAnsi="宋体" w:cs="宋体"/>
          <w:color w:val="000000"/>
        </w:rPr>
      </w:pPr>
    </w:p>
    <w:p w14:paraId="328D0A0D">
      <w:pPr>
        <w:rPr>
          <w:rFonts w:hint="eastAsia" w:hAnsi="宋体" w:cs="宋体"/>
          <w:color w:val="000000"/>
        </w:rPr>
      </w:pPr>
    </w:p>
    <w:p w14:paraId="6DDE6292">
      <w:pPr>
        <w:rPr>
          <w:rFonts w:hint="eastAsia" w:hAnsi="宋体" w:cs="宋体"/>
          <w:color w:val="000000"/>
        </w:rPr>
      </w:pPr>
    </w:p>
    <w:p w14:paraId="60CDA1AE">
      <w:pPr>
        <w:jc w:val="center"/>
        <w:rPr>
          <w:rFonts w:hint="eastAsia" w:ascii="黑体" w:hAnsi="黑体" w:eastAsia="黑体" w:cs="黑体"/>
          <w:color w:val="000000"/>
          <w:lang w:val="zh-CN"/>
        </w:rPr>
      </w:pPr>
      <w:r>
        <w:rPr>
          <w:rFonts w:hint="eastAsia" w:hAnsi="宋体" w:cs="宋体"/>
          <w:color w:val="000000"/>
        </w:rPr>
        <w:t xml:space="preserve">图3.4-3      </w:t>
      </w:r>
      <w:r>
        <w:rPr>
          <w:rFonts w:hint="eastAsia" w:ascii="黑体" w:hAnsi="黑体" w:eastAsia="黑体" w:cs="黑体"/>
          <w:color w:val="000000"/>
          <w:lang w:val="zh-CN"/>
        </w:rPr>
        <w:t>一般地段管道施工方式</w:t>
      </w:r>
      <w:r>
        <w:rPr>
          <w:rFonts w:hint="eastAsia" w:ascii="黑体" w:hAnsi="黑体" w:eastAsia="黑体" w:cs="黑体"/>
          <w:color w:val="000000"/>
        </w:rPr>
        <w:t>施工作业带</w:t>
      </w:r>
      <w:r>
        <w:rPr>
          <w:rFonts w:hint="eastAsia" w:ascii="黑体" w:hAnsi="黑体" w:eastAsia="黑体" w:cs="黑体"/>
          <w:color w:val="000000"/>
          <w:lang w:val="zh-CN"/>
        </w:rPr>
        <w:t>断面示意图</w:t>
      </w:r>
    </w:p>
    <w:p w14:paraId="79FAB90F">
      <w:pPr>
        <w:pStyle w:val="34"/>
        <w:rPr>
          <w:rFonts w:ascii="黑体" w:hAnsi="黑体" w:eastAsia="黑体" w:cs="黑体"/>
          <w:color w:val="000000"/>
          <w:lang w:val="zh-CN"/>
        </w:rPr>
      </w:pPr>
      <w:r>
        <w:rPr>
          <w:rFonts w:hAnsi="宋体" w:cs="宋体"/>
          <w:color w:val="000000"/>
          <w:lang w:val="zh-CN"/>
        </w:rPr>
        <w:pict>
          <v:group id="组合 2286" o:spid="_x0000_s1057" o:spt="203" style="position:absolute;left:0pt;margin-left:0.85pt;margin-top:19.8pt;height:119.8pt;width:448.95pt;z-index:251678720;mso-width-relative:page;mso-height-relative:page;" coordorigin="2354,720737" coordsize="9204,2516">
            <o:lock v:ext="edit" aspectratio="f"/>
            <v:shape id="图片 2287" o:spid="_x0000_s1058" o:spt="75" type="#_x0000_t75" style="position:absolute;left:2354;top:720737;height:2516;width:4952;" filled="f" o:preferrelative="t" stroked="f" coordsize="21600,21600">
              <v:path/>
              <v:fill on="f" focussize="0,0"/>
              <v:stroke on="f"/>
              <v:imagedata r:id="rId24" o:title=""/>
              <o:lock v:ext="edit" aspectratio="t"/>
            </v:shape>
            <v:shape id="图片 2288" o:spid="_x0000_s1059" o:spt="75" type="#_x0000_t75" style="position:absolute;left:7212;top:720753;height:2493;width:4346;" filled="f" o:preferrelative="t" stroked="f" coordsize="21600,21600">
              <v:path/>
              <v:fill on="f" focussize="0,0"/>
              <v:stroke on="f"/>
              <v:imagedata r:id="rId25" o:title=""/>
              <o:lock v:ext="edit" aspectratio="t"/>
            </v:shape>
          </v:group>
        </w:pict>
      </w:r>
    </w:p>
    <w:p w14:paraId="575B1878">
      <w:pPr>
        <w:spacing w:before="240"/>
        <w:rPr>
          <w:rFonts w:hint="eastAsia" w:hAnsi="宋体" w:cs="宋体"/>
          <w:color w:val="000000"/>
        </w:rPr>
      </w:pPr>
    </w:p>
    <w:p w14:paraId="4937DA90">
      <w:pPr>
        <w:ind w:firstLine="526" w:firstLineChars="200"/>
        <w:rPr>
          <w:rFonts w:hint="eastAsia" w:hAnsi="宋体" w:cs="宋体"/>
          <w:color w:val="000000"/>
        </w:rPr>
      </w:pPr>
    </w:p>
    <w:p w14:paraId="26A55ACD">
      <w:pPr>
        <w:rPr>
          <w:rFonts w:hint="eastAsia" w:hAnsi="宋体" w:cs="宋体"/>
          <w:color w:val="000000"/>
        </w:rPr>
      </w:pPr>
    </w:p>
    <w:p w14:paraId="53CBC2CC">
      <w:pPr>
        <w:rPr>
          <w:rFonts w:hint="eastAsia" w:hAnsi="宋体" w:cs="宋体"/>
          <w:color w:val="000000"/>
        </w:rPr>
      </w:pPr>
    </w:p>
    <w:p w14:paraId="02CA7F44">
      <w:pPr>
        <w:pStyle w:val="45"/>
        <w:widowControl w:val="0"/>
        <w:spacing w:beforeAutospacing="0" w:afterAutospacing="0"/>
        <w:ind w:firstLine="506" w:firstLineChars="200"/>
        <w:jc w:val="both"/>
        <w:rPr>
          <w:rFonts w:hint="eastAsia"/>
          <w:color w:val="000000"/>
        </w:rPr>
      </w:pPr>
    </w:p>
    <w:p w14:paraId="3A417A50">
      <w:pPr>
        <w:pStyle w:val="45"/>
        <w:widowControl w:val="0"/>
        <w:spacing w:beforeAutospacing="0" w:afterAutospacing="0"/>
        <w:ind w:firstLine="506" w:firstLineChars="200"/>
        <w:jc w:val="center"/>
        <w:rPr>
          <w:rFonts w:hint="eastAsia"/>
          <w:color w:val="000000"/>
        </w:rPr>
      </w:pPr>
      <w:r>
        <w:rPr>
          <w:rFonts w:hint="eastAsia"/>
          <w:color w:val="000000"/>
        </w:rPr>
        <w:t xml:space="preserve">图3.4-4     </w:t>
      </w:r>
      <w:r>
        <w:rPr>
          <w:rFonts w:hint="eastAsia" w:ascii="黑体" w:hAnsi="黑体" w:eastAsia="黑体" w:cs="黑体"/>
          <w:color w:val="000000"/>
          <w:lang w:val="zh-CN"/>
        </w:rPr>
        <w:t>管道交叉施工作业示意图</w:t>
      </w:r>
    </w:p>
    <w:p w14:paraId="6A00B023">
      <w:pPr>
        <w:pStyle w:val="45"/>
        <w:widowControl w:val="0"/>
        <w:snapToGrid w:val="0"/>
        <w:spacing w:beforeAutospacing="0" w:afterAutospacing="0" w:line="360" w:lineRule="auto"/>
        <w:ind w:firstLine="506" w:firstLineChars="200"/>
        <w:jc w:val="both"/>
        <w:rPr>
          <w:rFonts w:hint="eastAsia"/>
          <w:color w:val="000000"/>
        </w:rPr>
      </w:pPr>
      <w:r>
        <w:rPr>
          <w:rFonts w:hint="eastAsia"/>
          <w:color w:val="000000"/>
        </w:rPr>
        <w:t>（3）ZG431-H4至5#集DN150外输管线施工（内穿插修复）</w:t>
      </w:r>
    </w:p>
    <w:p w14:paraId="40E5CE99">
      <w:pPr>
        <w:snapToGrid w:val="0"/>
        <w:spacing w:line="360" w:lineRule="auto"/>
        <w:ind w:firstLine="526" w:firstLineChars="200"/>
        <w:rPr>
          <w:rFonts w:hint="eastAsia" w:hAnsi="宋体" w:cs="宋体"/>
          <w:color w:val="000000"/>
          <w:szCs w:val="24"/>
        </w:rPr>
      </w:pPr>
      <w:r>
        <w:rPr>
          <w:rFonts w:hint="eastAsia" w:hAnsi="宋体" w:cs="宋体"/>
          <w:color w:val="000000"/>
          <w:szCs w:val="24"/>
        </w:rPr>
        <w:t>拟建工程采用内穿插HBPE(高阻隔聚烯烃管)对ZG431-H4至5#集DN150外输管线进行修复；</w:t>
      </w:r>
      <w:r>
        <w:rPr>
          <w:rFonts w:hint="eastAsia" w:hAnsi="宋体" w:cs="宋体"/>
          <w:color w:val="000000"/>
          <w:spacing w:val="0"/>
          <w:szCs w:val="24"/>
        </w:rPr>
        <w:t>内穿插 HBPE（高阻隔聚烯烃管）工艺是一种非开挖管道修复/更新技术，核心是将多层共挤的高阻隔HBPE复合管，通过缩径变形后穿插至旧管道内，再膨胀复原紧密贴合，形成“管中管”结构，大幅提升旧管的耐腐蚀性、抗渗透性与使用寿命</w:t>
      </w:r>
      <w:r>
        <w:rPr>
          <w:rFonts w:hint="eastAsia" w:hAnsi="宋体" w:cs="宋体"/>
          <w:color w:val="000000"/>
          <w:szCs w:val="24"/>
        </w:rPr>
        <w:t>。具体工艺流程如下：</w:t>
      </w:r>
    </w:p>
    <w:p w14:paraId="22B97179">
      <w:pPr>
        <w:spacing w:line="460" w:lineRule="exact"/>
        <w:ind w:firstLine="526" w:firstLineChars="200"/>
        <w:rPr>
          <w:color w:val="000000"/>
          <w:szCs w:val="24"/>
        </w:rPr>
      </w:pPr>
      <w:r>
        <w:rPr>
          <w:rFonts w:hint="eastAsia"/>
          <w:color w:val="000000"/>
          <w:szCs w:val="24"/>
        </w:rPr>
        <w:t>①操作坑开挖</w:t>
      </w:r>
    </w:p>
    <w:p w14:paraId="6074A84F">
      <w:pPr>
        <w:spacing w:line="460" w:lineRule="exact"/>
        <w:ind w:firstLine="526" w:firstLineChars="200"/>
        <w:rPr>
          <w:rFonts w:hint="eastAsia"/>
          <w:color w:val="000000"/>
          <w:szCs w:val="24"/>
        </w:rPr>
      </w:pPr>
      <w:r>
        <w:rPr>
          <w:rFonts w:hint="eastAsia"/>
          <w:color w:val="000000"/>
          <w:szCs w:val="24"/>
        </w:rPr>
        <w:t xml:space="preserve">根据核算，本次修复管线长度10.35km，其中需进行断管22处，即操作过程中，需开挖22个操作坑（占地40m×20m）。开挖过程中采用机械设备开挖，开挖土方临时堆存于操作坑周边。操作坑尺寸：25m×6m×2m，可根据实际情况调整操作坑尺寸。作业坑内敷设防渗膜，避免清出的油污及残液污染周边环境。防渗膜厚度为2mm，材质为HDPE（高密度聚乙烯）。管线密集处的作业坑，采用人工开挖的方式。 </w:t>
      </w:r>
    </w:p>
    <w:p w14:paraId="13A27DCD">
      <w:pPr>
        <w:spacing w:line="460" w:lineRule="exact"/>
        <w:ind w:firstLine="526" w:firstLineChars="200"/>
        <w:rPr>
          <w:rFonts w:hint="eastAsia"/>
          <w:color w:val="000000"/>
          <w:szCs w:val="24"/>
        </w:rPr>
      </w:pPr>
      <w:r>
        <w:rPr>
          <w:rFonts w:hint="eastAsia"/>
          <w:color w:val="000000"/>
          <w:szCs w:val="24"/>
        </w:rPr>
        <w:t>②原管道断管、清洗和检查</w:t>
      </w:r>
    </w:p>
    <w:p w14:paraId="045378D3">
      <w:pPr>
        <w:pStyle w:val="47"/>
        <w:ind w:left="0" w:leftChars="0" w:firstLine="554" w:firstLineChars="200"/>
        <w:rPr>
          <w:rFonts w:hint="eastAsia"/>
          <w:color w:val="000000"/>
          <w:szCs w:val="24"/>
        </w:rPr>
      </w:pPr>
      <w:r>
        <w:rPr>
          <w:color w:val="000000"/>
          <w:szCs w:val="24"/>
        </w:rPr>
        <w:t>管线断管采用不动火冷切割直接断开施工技术</w:t>
      </w:r>
      <w:r>
        <w:rPr>
          <w:rFonts w:hint="eastAsia"/>
          <w:color w:val="000000"/>
          <w:szCs w:val="24"/>
        </w:rPr>
        <w:t>，</w:t>
      </w:r>
      <w:r>
        <w:rPr>
          <w:color w:val="000000"/>
          <w:szCs w:val="24"/>
        </w:rPr>
        <w:t>管线弯头处需要单独将管线断开。清洗前，应根据国家的有关安全规定对管道内部气体进行检测，不应有毒、易燃气体存</w:t>
      </w:r>
      <w:r>
        <w:rPr>
          <w:rFonts w:hint="eastAsia"/>
          <w:color w:val="000000"/>
          <w:szCs w:val="24"/>
        </w:rPr>
        <w:t xml:space="preserve">在；需将修复管道内部现存的锈蚀物及污垢应清除掉。采用牵引式或压缩空气通球等物理清管技术清洗，通径规及辅助器材进行通径作业，查找焊瘤的大小、位置。管内污垢清净后，采用脱瘤器清理管道内部的焊瘤及毛刺。脱瘤环向刀头直径要分级增大，以便于毛刺的切削。脱瘤器通球次数依据管道内部焊瘤厚度情况而定，要经数次通球，直到把焊渣焊瘤磨平，残留厚度要小于1mm。穿插前管道检测采用试穿试验段检测，其试穿管段长度应大于2m，依据试穿试验段表面划痕深度是否小于壁厚的10%以及绝对深度小于1mm来判断物理清洗除瘤作业是否合格,如不合格则重新清管作业。 </w:t>
      </w:r>
    </w:p>
    <w:p w14:paraId="4A4ADB03">
      <w:pPr>
        <w:spacing w:line="460" w:lineRule="exact"/>
        <w:ind w:firstLine="526" w:firstLineChars="200"/>
        <w:rPr>
          <w:color w:val="000000"/>
          <w:szCs w:val="24"/>
        </w:rPr>
      </w:pPr>
      <w:r>
        <w:rPr>
          <w:rFonts w:hint="eastAsia"/>
          <w:color w:val="000000"/>
          <w:szCs w:val="24"/>
        </w:rPr>
        <w:t>③内穿插</w:t>
      </w:r>
    </w:p>
    <w:p w14:paraId="4944A5DC">
      <w:pPr>
        <w:spacing w:line="460" w:lineRule="exact"/>
        <w:ind w:firstLine="526" w:firstLineChars="200"/>
        <w:rPr>
          <w:rFonts w:hint="eastAsia"/>
          <w:color w:val="000000"/>
        </w:rPr>
      </w:pPr>
      <w:r>
        <w:rPr>
          <w:rFonts w:hint="eastAsia"/>
          <w:color w:val="000000"/>
          <w:szCs w:val="24"/>
        </w:rPr>
        <w:t>清洗后，要及时将HBPE管穿入原管线中，两端封堵以防杂物等进入管道。在相邻2个操作坑分别放置好缩径机和牵引机。将牵引头固定在内衬管的首端，接好牵引钢丝绳。同步启动缩径机和牵引机，按照10m/min的速度均匀牵引内衬</w:t>
      </w:r>
      <w:r>
        <w:rPr>
          <w:rFonts w:hint="eastAsia"/>
          <w:color w:val="000000"/>
        </w:rPr>
        <w:t>管通过缩径机，缩径后进入待修主管道的一端，从另一端拉出设计的长度。</w:t>
      </w:r>
    </w:p>
    <w:p w14:paraId="27339A3D">
      <w:pPr>
        <w:rPr>
          <w:rFonts w:hint="eastAsia"/>
          <w:color w:val="000000"/>
        </w:rPr>
      </w:pPr>
      <w:r>
        <w:rPr>
          <w:color w:val="000000"/>
        </w:rPr>
        <w:pict>
          <v:shape id="图片 236" o:spid="_x0000_s1060" o:spt="75" type="#_x0000_t75" style="position:absolute;left:0pt;margin-left:60.85pt;margin-top:12.75pt;height:153.9pt;width:318pt;z-index:-251655168;mso-width-relative:page;mso-height-relative:page;" filled="f" o:preferrelative="t" stroked="f" coordsize="21600,21600">
            <v:path/>
            <v:fill on="f" focussize="0,0"/>
            <v:stroke on="f"/>
            <v:imagedata r:id="rId26" o:title=""/>
            <o:lock v:ext="edit" aspectratio="t"/>
          </v:shape>
        </w:pict>
      </w:r>
    </w:p>
    <w:p w14:paraId="2E91103A">
      <w:pPr>
        <w:rPr>
          <w:rFonts w:hint="eastAsia"/>
          <w:color w:val="000000"/>
        </w:rPr>
      </w:pPr>
    </w:p>
    <w:p w14:paraId="1BB47E90">
      <w:pPr>
        <w:ind w:firstLine="526" w:firstLineChars="200"/>
        <w:rPr>
          <w:rFonts w:hint="eastAsia"/>
          <w:color w:val="000000"/>
        </w:rPr>
      </w:pPr>
    </w:p>
    <w:p w14:paraId="35F52221">
      <w:pPr>
        <w:ind w:firstLine="526" w:firstLineChars="200"/>
        <w:rPr>
          <w:rFonts w:hint="eastAsia"/>
          <w:color w:val="000000"/>
        </w:rPr>
      </w:pPr>
    </w:p>
    <w:p w14:paraId="1A647A21">
      <w:pPr>
        <w:pStyle w:val="47"/>
        <w:ind w:left="527"/>
        <w:rPr>
          <w:rFonts w:hint="eastAsia"/>
          <w:color w:val="000000"/>
        </w:rPr>
      </w:pPr>
    </w:p>
    <w:p w14:paraId="7B5C39CE">
      <w:pPr>
        <w:rPr>
          <w:rFonts w:hint="eastAsia"/>
          <w:color w:val="000000"/>
        </w:rPr>
      </w:pPr>
    </w:p>
    <w:p w14:paraId="73E54E3D">
      <w:pPr>
        <w:ind w:firstLine="526" w:firstLineChars="200"/>
        <w:rPr>
          <w:rFonts w:hint="eastAsia"/>
          <w:color w:val="000000"/>
        </w:rPr>
      </w:pPr>
    </w:p>
    <w:p w14:paraId="2A260CF4">
      <w:pPr>
        <w:pStyle w:val="94"/>
        <w:wordWrap/>
        <w:snapToGrid/>
        <w:spacing w:after="0" w:line="240" w:lineRule="auto"/>
        <w:rPr>
          <w:rFonts w:hint="eastAsia" w:ascii="黑体" w:hAnsi="黑体" w:eastAsia="黑体"/>
          <w:color w:val="000000"/>
          <w:kern w:val="2"/>
          <w:szCs w:val="24"/>
        </w:rPr>
      </w:pPr>
      <w:r>
        <w:rPr>
          <w:rFonts w:hint="eastAsia" w:ascii="黑体" w:hAnsi="黑体" w:eastAsia="黑体"/>
          <w:color w:val="000000"/>
          <w:szCs w:val="24"/>
        </w:rPr>
        <w:t xml:space="preserve">图3.4-5  </w:t>
      </w:r>
      <w:r>
        <w:rPr>
          <w:rFonts w:hint="eastAsia" w:ascii="黑体" w:hAnsi="黑体" w:eastAsia="黑体"/>
          <w:b/>
          <w:bCs/>
          <w:color w:val="000000"/>
          <w:szCs w:val="24"/>
        </w:rPr>
        <w:t xml:space="preserve"> </w:t>
      </w:r>
      <w:r>
        <w:rPr>
          <w:rFonts w:hint="eastAsia" w:ascii="黑体" w:hAnsi="黑体" w:eastAsia="黑体"/>
          <w:color w:val="000000"/>
          <w:kern w:val="2"/>
          <w:szCs w:val="24"/>
        </w:rPr>
        <w:t xml:space="preserve"> 管线内穿插修复施工作业示意图</w:t>
      </w:r>
    </w:p>
    <w:p w14:paraId="3DD9C8AD">
      <w:pPr>
        <w:spacing w:line="460" w:lineRule="exact"/>
        <w:ind w:firstLine="526" w:firstLineChars="200"/>
        <w:rPr>
          <w:color w:val="000000"/>
          <w:szCs w:val="24"/>
        </w:rPr>
      </w:pPr>
      <w:r>
        <w:rPr>
          <w:rFonts w:hint="eastAsia"/>
          <w:color w:val="000000"/>
          <w:szCs w:val="24"/>
        </w:rPr>
        <w:t>④管道连接</w:t>
      </w:r>
    </w:p>
    <w:p w14:paraId="5626F0AE">
      <w:pPr>
        <w:spacing w:line="460" w:lineRule="exact"/>
        <w:ind w:firstLine="526" w:firstLineChars="200"/>
        <w:rPr>
          <w:rFonts w:hint="eastAsia"/>
          <w:color w:val="000000"/>
          <w:szCs w:val="24"/>
        </w:rPr>
      </w:pPr>
      <w:r>
        <w:rPr>
          <w:rFonts w:hint="eastAsia"/>
          <w:color w:val="000000"/>
          <w:szCs w:val="24"/>
        </w:rPr>
        <w:t xml:space="preserve">穿插管管体连接方式为热熔焊接，采用专用设备热熔焊机，为保证HBPE管连接效果，在内穿插施工前对HBPE管本体与热熔套焊接部位进行焊接工艺评价，其具体要求是：在施工前由具有资质的第三方进行实验，在管线到货时提供相关实验资料。如果焊接不合格，供应商应调整焊接参数，直至焊接试验合格为止。施工方按确定的焊接参数进行HBPE管的焊接。 </w:t>
      </w:r>
    </w:p>
    <w:p w14:paraId="4CC7089C">
      <w:pPr>
        <w:spacing w:line="460" w:lineRule="exact"/>
        <w:ind w:firstLine="526" w:firstLineChars="200"/>
        <w:rPr>
          <w:rFonts w:hint="eastAsia"/>
          <w:color w:val="000000"/>
          <w:szCs w:val="24"/>
        </w:rPr>
      </w:pPr>
      <w:r>
        <w:rPr>
          <w:rFonts w:hint="eastAsia"/>
          <w:color w:val="000000"/>
          <w:szCs w:val="24"/>
        </w:rPr>
        <w:t>内衬管焊接后的焊口强度应等于或略大于管道本体强度，封堵已焊接好的内衬管两端，进行内衬管的气密性试验，试验介质为空气，试验压力为0.1MPa，稳压1小时，无泄漏为合格，以保证内衬管道整体的密封质量和强度要求。</w:t>
      </w:r>
    </w:p>
    <w:p w14:paraId="61362456">
      <w:pPr>
        <w:spacing w:line="460" w:lineRule="exact"/>
        <w:ind w:firstLine="526" w:firstLineChars="200"/>
        <w:rPr>
          <w:rFonts w:hint="eastAsia"/>
          <w:color w:val="000000"/>
          <w:szCs w:val="24"/>
        </w:rPr>
      </w:pPr>
      <w:r>
        <w:rPr>
          <w:rFonts w:hint="eastAsia"/>
          <w:color w:val="000000"/>
          <w:szCs w:val="24"/>
        </w:rPr>
        <w:t>⑤接头及端口连接工艺</w:t>
      </w:r>
    </w:p>
    <w:p w14:paraId="691F3E0B">
      <w:pPr>
        <w:spacing w:line="460" w:lineRule="exact"/>
        <w:ind w:firstLine="526" w:firstLineChars="200"/>
        <w:rPr>
          <w:rFonts w:hint="eastAsia"/>
          <w:color w:val="000000"/>
          <w:szCs w:val="24"/>
        </w:rPr>
      </w:pPr>
      <w:r>
        <w:rPr>
          <w:rFonts w:hint="eastAsia"/>
          <w:color w:val="000000"/>
          <w:szCs w:val="24"/>
        </w:rPr>
        <w:t>管线的直管段、弯头等接头亦可采用电熔承插焊接的连接方式。施工方可根据自己的特点选用。当接头的内衬HBPE管焊接采用电熔承插焊接连接时，其它要求应符合标准《钢质管道聚乙烯内衬技术规范》（SY/T 4110）的要求。接头及套钢管的压力等级、材质、强度、焊接质量及防腐等级不低于原钢管要求。外套钢管段为整钢管套接对焊工艺方式。外套钢管内壁的环空部分采用水泥浆填充。水泥砂浆配比为：水泥:砂=1:2.5；水灰比为0.46。水泥为42.5#及以上级别的硅酸盐水泥。施工方应采取相应措施确保水泥浆完全密实地充满环形空间。</w:t>
      </w:r>
    </w:p>
    <w:p w14:paraId="1AAF7B6B">
      <w:pPr>
        <w:spacing w:line="460" w:lineRule="exact"/>
        <w:ind w:firstLine="526" w:firstLineChars="200"/>
        <w:rPr>
          <w:rFonts w:hint="eastAsia"/>
          <w:color w:val="000000"/>
        </w:rPr>
      </w:pPr>
      <w:r>
        <w:rPr>
          <w:color w:val="000000"/>
        </w:rPr>
        <w:pict>
          <v:shape id="图片 237" o:spid="_x0000_s1061" o:spt="75" type="#_x0000_t75" style="position:absolute;left:0pt;margin-left:37.55pt;margin-top:0.5pt;height:157.4pt;width:345.05pt;z-index:251676672;mso-width-relative:page;mso-height-relative:page;" filled="f" o:preferrelative="t" stroked="f" coordsize="21600,21600">
            <v:path/>
            <v:fill on="f" focussize="0,0"/>
            <v:stroke on="f"/>
            <v:imagedata r:id="rId27" o:title=""/>
            <o:lock v:ext="edit" aspectratio="t"/>
          </v:shape>
        </w:pict>
      </w:r>
    </w:p>
    <w:p w14:paraId="34EA046E">
      <w:pPr>
        <w:spacing w:line="460" w:lineRule="exact"/>
        <w:ind w:firstLine="526" w:firstLineChars="200"/>
        <w:rPr>
          <w:rFonts w:hint="eastAsia"/>
          <w:color w:val="000000"/>
        </w:rPr>
      </w:pPr>
    </w:p>
    <w:p w14:paraId="25995262">
      <w:pPr>
        <w:spacing w:line="460" w:lineRule="exact"/>
        <w:ind w:firstLine="526" w:firstLineChars="200"/>
        <w:rPr>
          <w:rFonts w:hint="eastAsia"/>
          <w:color w:val="000000"/>
        </w:rPr>
      </w:pPr>
    </w:p>
    <w:p w14:paraId="546B940D">
      <w:pPr>
        <w:spacing w:line="460" w:lineRule="exact"/>
        <w:ind w:firstLine="526" w:firstLineChars="200"/>
        <w:rPr>
          <w:rFonts w:hint="eastAsia"/>
          <w:color w:val="000000"/>
        </w:rPr>
      </w:pPr>
    </w:p>
    <w:p w14:paraId="3EE9EAB8">
      <w:pPr>
        <w:spacing w:line="460" w:lineRule="exact"/>
        <w:ind w:firstLine="526" w:firstLineChars="200"/>
        <w:rPr>
          <w:rFonts w:hint="eastAsia"/>
          <w:color w:val="000000"/>
        </w:rPr>
      </w:pPr>
    </w:p>
    <w:p w14:paraId="5406AEE2">
      <w:pPr>
        <w:spacing w:line="460" w:lineRule="exact"/>
        <w:ind w:firstLine="526" w:firstLineChars="200"/>
        <w:rPr>
          <w:rFonts w:hint="eastAsia"/>
          <w:color w:val="000000"/>
        </w:rPr>
      </w:pPr>
    </w:p>
    <w:p w14:paraId="09012313">
      <w:pPr>
        <w:autoSpaceDE w:val="0"/>
        <w:autoSpaceDN w:val="0"/>
        <w:adjustRightInd w:val="0"/>
        <w:spacing w:line="460" w:lineRule="exact"/>
        <w:ind w:firstLine="2104" w:firstLineChars="800"/>
        <w:rPr>
          <w:rFonts w:hint="eastAsia" w:ascii="黑体" w:hAnsi="黑体" w:eastAsia="黑体"/>
          <w:color w:val="000000"/>
          <w:szCs w:val="24"/>
        </w:rPr>
      </w:pPr>
    </w:p>
    <w:p w14:paraId="61DCB931">
      <w:pPr>
        <w:autoSpaceDE w:val="0"/>
        <w:autoSpaceDN w:val="0"/>
        <w:adjustRightInd w:val="0"/>
        <w:spacing w:line="460" w:lineRule="exact"/>
        <w:ind w:firstLine="2104" w:firstLineChars="800"/>
        <w:rPr>
          <w:rFonts w:hint="eastAsia" w:ascii="黑体" w:hAnsi="黑体" w:eastAsia="黑体"/>
          <w:color w:val="000000"/>
          <w:szCs w:val="24"/>
        </w:rPr>
      </w:pPr>
      <w:r>
        <w:rPr>
          <w:rFonts w:hint="eastAsia" w:ascii="黑体" w:hAnsi="黑体" w:eastAsia="黑体"/>
          <w:color w:val="000000"/>
          <w:szCs w:val="24"/>
        </w:rPr>
        <w:t>图3.4-6   内衬管连接示意图</w:t>
      </w:r>
    </w:p>
    <w:p w14:paraId="03CEA0F3">
      <w:pPr>
        <w:pStyle w:val="45"/>
        <w:widowControl w:val="0"/>
        <w:spacing w:beforeAutospacing="0" w:afterAutospacing="0" w:line="460" w:lineRule="exact"/>
        <w:ind w:firstLine="506" w:firstLineChars="200"/>
        <w:jc w:val="both"/>
        <w:rPr>
          <w:rFonts w:hint="eastAsia" w:hAnsi="Times New Roman" w:cs="Times New Roman"/>
          <w:color w:val="000000"/>
        </w:rPr>
      </w:pPr>
      <w:r>
        <w:rPr>
          <w:rFonts w:hint="eastAsia" w:hAnsi="Times New Roman" w:cs="Times New Roman"/>
          <w:color w:val="000000"/>
        </w:rPr>
        <w:t>⑥收尾工作</w:t>
      </w:r>
    </w:p>
    <w:p w14:paraId="686563E7">
      <w:pPr>
        <w:spacing w:line="460" w:lineRule="exact"/>
        <w:ind w:firstLine="526" w:firstLineChars="200"/>
        <w:rPr>
          <w:rFonts w:hint="eastAsia" w:ascii="黑体" w:hAnsi="黑体" w:eastAsia="黑体"/>
          <w:color w:val="000000"/>
        </w:rPr>
      </w:pPr>
      <w:r>
        <w:rPr>
          <w:rFonts w:hint="eastAsia" w:hAnsi="Times New Roman"/>
          <w:color w:val="000000"/>
        </w:rPr>
        <w:t>收尾工作包括基坑回填、场地平整和临时场地恢复。</w:t>
      </w:r>
      <w:r>
        <w:rPr>
          <w:rFonts w:hint="eastAsia"/>
          <w:color w:val="000000"/>
          <w:szCs w:val="24"/>
        </w:rPr>
        <w:t>管线修复完成后应恢复管线外防腐层，恢复完成后方可进行回填作业。坑底至管线顶部以上300mm 的操作坑应选用无大石块或尖利物的戈壁土回填，其他部分选择原土回填，回填后的地貌应与原地貌一致。管线回填时，内衬连接点应设置标识桩。</w:t>
      </w:r>
      <w:r>
        <w:rPr>
          <w:rFonts w:hint="eastAsia" w:hAnsi="Times New Roman"/>
          <w:color w:val="000000"/>
        </w:rPr>
        <w:t>基坑回填完成后，对周边场地残余垃圾、固废清理并带走。</w:t>
      </w:r>
    </w:p>
    <w:p w14:paraId="42012FFB">
      <w:pPr>
        <w:pStyle w:val="45"/>
        <w:widowControl w:val="0"/>
        <w:spacing w:beforeAutospacing="0" w:afterAutospacing="0"/>
        <w:ind w:firstLine="506" w:firstLineChars="200"/>
        <w:jc w:val="both"/>
        <w:rPr>
          <w:color w:val="000000"/>
        </w:rPr>
      </w:pPr>
      <w:r>
        <w:rPr>
          <w:rFonts w:hint="eastAsia"/>
          <w:color w:val="000000"/>
        </w:rPr>
        <w:t>（4）站内管线施工</w:t>
      </w:r>
    </w:p>
    <w:p w14:paraId="16B2D3E0">
      <w:pPr>
        <w:pStyle w:val="94"/>
        <w:kinsoku/>
        <w:wordWrap/>
        <w:overflowPunct/>
        <w:snapToGrid/>
        <w:spacing w:after="0" w:line="240" w:lineRule="auto"/>
        <w:ind w:firstLine="526" w:firstLineChars="200"/>
        <w:jc w:val="both"/>
        <w:rPr>
          <w:rFonts w:hint="eastAsia"/>
          <w:color w:val="000000"/>
          <w:sz w:val="25"/>
          <w:szCs w:val="25"/>
        </w:rPr>
      </w:pPr>
      <w:r>
        <w:rPr>
          <w:rFonts w:hint="eastAsia"/>
          <w:color w:val="000000"/>
          <w:szCs w:val="24"/>
        </w:rPr>
        <w:t>拟建工程在塔三联合站内ZG8-9井已建进站管线温度变送器处增加三通，拆除已建温度变送器，改为贴片式温度变送器，三通引出增加阀门(DN80PN100L245NS)，管线架空敷设至中压生产分离器出口液相去凝析油处理装置管线(DN150 PN100 L245NS)，从管廊上T接。在2号集回收站来液管线(DN150L245NS)，进站前增加截断阀门(DN150PN63)，阀门前增加三通引出至ZG11-H1井进站管线阀前；二号回收站注水干线(DN80PN100L245NS)至ZG21-H2井注水引出管线断开，断开后ZG21-H2井集输管线引至ZG11-H1井集输管线。</w:t>
      </w:r>
    </w:p>
    <w:p w14:paraId="487802BE">
      <w:pPr>
        <w:pStyle w:val="94"/>
        <w:kinsoku/>
        <w:wordWrap/>
        <w:overflowPunct/>
        <w:snapToGrid/>
        <w:spacing w:after="0" w:line="480" w:lineRule="exact"/>
        <w:ind w:firstLine="526" w:firstLineChars="200"/>
        <w:jc w:val="both"/>
        <w:rPr>
          <w:rFonts w:hint="eastAsia" w:hAnsi="宋体"/>
          <w:b/>
          <w:bCs/>
          <w:color w:val="000000"/>
          <w:szCs w:val="24"/>
        </w:rPr>
      </w:pPr>
      <w:r>
        <w:rPr>
          <w:rFonts w:hint="eastAsia" w:hAnsi="宋体" w:cs="宋体"/>
          <w:b/>
          <w:bCs/>
          <w:color w:val="000000"/>
          <w:szCs w:val="24"/>
        </w:rPr>
        <w:t>管线施工过程中废气污染源为施工扬尘、施工机械及运输车辆尾气、焊接烟气</w:t>
      </w:r>
      <w:r>
        <w:rPr>
          <w:rFonts w:hint="eastAsia" w:hAnsi="宋体" w:cs="Microsoft Uighur"/>
          <w:b/>
          <w:bCs/>
          <w:color w:val="000000"/>
          <w:szCs w:val="24"/>
        </w:rPr>
        <w:t>、热熔废气等</w:t>
      </w:r>
      <w:r>
        <w:rPr>
          <w:rFonts w:hint="eastAsia" w:hAnsi="宋体" w:cs="宋体"/>
          <w:b/>
          <w:bCs/>
          <w:color w:val="000000"/>
          <w:szCs w:val="24"/>
        </w:rPr>
        <w:t>，其中施工扬尘通过采取控制倾卸高度、洒水抑尘措施减少扬尘产生量，施工机械及运输车辆尾气采取运输车辆减速慢行，机械、车辆定期检修，燃烧合格油品，不超负荷运行</w:t>
      </w:r>
      <w:r>
        <w:rPr>
          <w:rFonts w:hint="eastAsia" w:hAnsi="宋体" w:cs="宋体"/>
          <w:b/>
          <w:bCs/>
          <w:color w:val="000000"/>
          <w:kern w:val="0"/>
          <w:szCs w:val="24"/>
        </w:rPr>
        <w:t>的控制措施，焊接使用无毒低尘焊条</w:t>
      </w:r>
      <w:r>
        <w:rPr>
          <w:rFonts w:hint="eastAsia" w:hAnsi="宋体" w:cs="宋体"/>
          <w:b/>
          <w:bCs/>
          <w:color w:val="000000"/>
          <w:szCs w:val="24"/>
        </w:rPr>
        <w:t>，热熔过程控制热熔温度及操作时间；噪声污染源为施工机械产生的噪声，通过选取低噪声设备、加强设备维护保养和合理安排作业时间降低噪声；废水污染源主要为管道试压废水和生活污水，其中管道试压废水由管内排出后循环使用，试压结束后用于洒水抑尘，拟建工程不设施工营地，生活污水依托塔三联合站公寓生活污水处理装置处理；固体废物为管沟开挖产生的土方、管道焊接及吹扫废渣、</w:t>
      </w:r>
      <w:r>
        <w:rPr>
          <w:rFonts w:hint="eastAsia"/>
          <w:b/>
          <w:bCs/>
          <w:color w:val="000000"/>
          <w:szCs w:val="24"/>
        </w:rPr>
        <w:t>现有管线产生的清管废渣及废防渗膜、</w:t>
      </w:r>
      <w:r>
        <w:rPr>
          <w:rFonts w:hint="eastAsia" w:hAnsi="宋体" w:cs="宋体"/>
          <w:b/>
          <w:bCs/>
          <w:color w:val="000000"/>
          <w:szCs w:val="24"/>
        </w:rPr>
        <w:t>生活垃圾等，其中土方施工结束后用于管沟和操作坑回填，管道焊接及管道吹扫产生的废渣运至塔中固废填埋场填埋处置，</w:t>
      </w:r>
      <w:r>
        <w:rPr>
          <w:rFonts w:hint="eastAsia"/>
          <w:b/>
          <w:bCs/>
          <w:color w:val="000000"/>
          <w:szCs w:val="24"/>
        </w:rPr>
        <w:t>现有管线产生的清管废渣和废防渗膜桶装收集后由施工单位直接委托有资质的单位接收处置，</w:t>
      </w:r>
      <w:r>
        <w:rPr>
          <w:rFonts w:hint="eastAsia" w:hAnsi="宋体" w:cs="宋体"/>
          <w:b/>
          <w:bCs/>
          <w:color w:val="000000"/>
          <w:szCs w:val="24"/>
        </w:rPr>
        <w:t>生活垃圾定期清运至塔中固废填埋场填埋处置</w:t>
      </w:r>
      <w:r>
        <w:rPr>
          <w:rFonts w:hint="eastAsia" w:hAnsi="宋体" w:cs="Microsoft Uighur"/>
          <w:b/>
          <w:bCs/>
          <w:color w:val="000000"/>
          <w:szCs w:val="24"/>
        </w:rPr>
        <w:t>。</w:t>
      </w:r>
    </w:p>
    <w:p w14:paraId="76C6DDD6">
      <w:pPr>
        <w:adjustRightInd w:val="0"/>
        <w:spacing w:line="480" w:lineRule="exact"/>
        <w:outlineLvl w:val="3"/>
        <w:rPr>
          <w:rFonts w:hAnsi="宋体" w:cs="宋体"/>
          <w:color w:val="000000"/>
          <w:szCs w:val="24"/>
        </w:rPr>
      </w:pPr>
      <w:r>
        <w:rPr>
          <w:rFonts w:hint="eastAsia" w:hAnsi="宋体" w:cs="宋体"/>
          <w:color w:val="000000"/>
          <w:szCs w:val="24"/>
        </w:rPr>
        <w:t>3.4.1.2 运营期</w:t>
      </w:r>
    </w:p>
    <w:p w14:paraId="0B2CA8D1">
      <w:pPr>
        <w:ind w:firstLine="526" w:firstLineChars="200"/>
        <w:rPr>
          <w:rFonts w:hint="eastAsia"/>
          <w:color w:val="000000"/>
        </w:rPr>
      </w:pPr>
      <w:r>
        <w:rPr>
          <w:rFonts w:hint="eastAsia" w:hAnsi="宋体" w:cs="宋体"/>
          <w:color w:val="000000"/>
        </w:rPr>
        <w:t>拟建工程建设内容以管线工程为主，主要为新建管线及对现有管道进行更换、修复及改造</w:t>
      </w:r>
      <w:r>
        <w:rPr>
          <w:rFonts w:hint="eastAsia" w:hAnsi="Times New Roman"/>
          <w:color w:val="000000"/>
        </w:rPr>
        <w:t>，不改变区块现有井场、站场的处理工艺与规模，</w:t>
      </w:r>
      <w:r>
        <w:rPr>
          <w:rFonts w:hint="eastAsia"/>
          <w:color w:val="000000"/>
          <w:szCs w:val="24"/>
        </w:rPr>
        <w:t>工程实施后采出液</w:t>
      </w:r>
      <w:r>
        <w:rPr>
          <w:rFonts w:hint="eastAsia" w:hAnsi="宋体" w:cs="宋体"/>
          <w:color w:val="000000"/>
          <w:szCs w:val="24"/>
        </w:rPr>
        <w:t>输送</w:t>
      </w:r>
      <w:r>
        <w:rPr>
          <w:rFonts w:hint="eastAsia"/>
          <w:color w:val="000000"/>
          <w:szCs w:val="24"/>
        </w:rPr>
        <w:t>量无变化，本次评价不再赘述</w:t>
      </w:r>
      <w:r>
        <w:rPr>
          <w:rFonts w:hint="eastAsia" w:hAnsi="Times New Roman"/>
          <w:color w:val="000000"/>
        </w:rPr>
        <w:t>。</w:t>
      </w:r>
    </w:p>
    <w:p w14:paraId="1FA9B572">
      <w:pPr>
        <w:tabs>
          <w:tab w:val="left" w:pos="3419"/>
        </w:tabs>
        <w:ind w:firstLine="526" w:firstLineChars="200"/>
        <w:jc w:val="left"/>
        <w:rPr>
          <w:rFonts w:hint="eastAsia" w:hAnsi="宋体" w:cs="宋体"/>
          <w:color w:val="000000"/>
        </w:rPr>
      </w:pPr>
      <w:r>
        <w:rPr>
          <w:rFonts w:hint="eastAsia" w:hAnsi="宋体"/>
          <w:b/>
          <w:bCs/>
          <w:color w:val="000000"/>
        </w:rPr>
        <w:t>拟建工程营运期无废气、废水、噪声、</w:t>
      </w:r>
      <w:r>
        <w:rPr>
          <w:rFonts w:hint="eastAsia" w:hAnsi="宋体" w:cs="宋体"/>
          <w:b/>
          <w:color w:val="000000"/>
          <w:kern w:val="21"/>
          <w:szCs w:val="24"/>
        </w:rPr>
        <w:t>固废</w:t>
      </w:r>
      <w:r>
        <w:rPr>
          <w:rFonts w:hint="eastAsia" w:hAnsi="宋体"/>
          <w:b/>
          <w:bCs/>
          <w:color w:val="000000"/>
        </w:rPr>
        <w:t>产生和排放。</w:t>
      </w:r>
    </w:p>
    <w:p w14:paraId="7D07187F">
      <w:pPr>
        <w:spacing w:line="460" w:lineRule="exact"/>
        <w:outlineLvl w:val="3"/>
        <w:rPr>
          <w:rFonts w:hAnsi="宋体" w:cs="宋体"/>
          <w:color w:val="000000"/>
          <w:szCs w:val="24"/>
        </w:rPr>
      </w:pPr>
      <w:r>
        <w:rPr>
          <w:rFonts w:hint="eastAsia" w:hAnsi="宋体" w:cs="宋体"/>
          <w:color w:val="000000"/>
          <w:szCs w:val="24"/>
        </w:rPr>
        <w:t>3.4.1.3 退役期</w:t>
      </w:r>
    </w:p>
    <w:p w14:paraId="73E142A7">
      <w:pPr>
        <w:topLinePunct/>
        <w:ind w:firstLine="526" w:firstLineChars="200"/>
        <w:rPr>
          <w:rFonts w:hAnsi="宋体"/>
          <w:color w:val="000000"/>
        </w:rPr>
      </w:pPr>
      <w:r>
        <w:rPr>
          <w:rFonts w:hint="eastAsia" w:hAnsi="宋体" w:cs="宋体"/>
          <w:color w:val="000000"/>
        </w:rPr>
        <w:t>随着区块开采的不断进行，管线由于腐蚀老化等原因不能承担油田输送任务而停用。退役期埋地管线维持现状，避免因开挖管线对区域生态环境造成二次破坏。管线内物质应清空干净，并按要求进行清洗，确保管线内无残留油气，管线两端使用盲板封堵；地上管线清洗干净后进行分段拆卸，拆卸后的管线拉运至库房存放，以备后续使用。</w:t>
      </w:r>
    </w:p>
    <w:p w14:paraId="62563A39">
      <w:pPr>
        <w:spacing w:line="460" w:lineRule="exact"/>
        <w:ind w:firstLine="526" w:firstLineChars="200"/>
        <w:rPr>
          <w:rFonts w:hAnsi="宋体" w:cs="宋体"/>
          <w:color w:val="000000"/>
          <w:szCs w:val="24"/>
        </w:rPr>
      </w:pPr>
      <w:r>
        <w:rPr>
          <w:rFonts w:hint="eastAsia" w:hAnsi="宋体" w:cs="宋体"/>
          <w:b/>
          <w:bCs/>
          <w:color w:val="000000"/>
          <w:szCs w:val="24"/>
        </w:rPr>
        <w:t>退役期废水污染物主要为废弃管道清洗废水，依托塔三联合站水处理装置处理；固体废物主要为废弃管道，废弃管线维持现状，避免因开挖管线对区域生态环境造成二次破坏，管线内物质应清空干净，确保管线内无残留采出液，埋地管线两端使用盲板封堵，地上管线清洗干净后分段拆卸，拉运至库房存放，以备后续使用。</w:t>
      </w:r>
    </w:p>
    <w:p w14:paraId="0A412C84">
      <w:pPr>
        <w:adjustRightInd w:val="0"/>
        <w:spacing w:line="460" w:lineRule="exact"/>
        <w:outlineLvl w:val="2"/>
        <w:rPr>
          <w:rFonts w:hAnsi="宋体" w:cs="宋体"/>
          <w:color w:val="000000"/>
          <w:szCs w:val="24"/>
        </w:rPr>
      </w:pPr>
      <w:r>
        <w:rPr>
          <w:rFonts w:hint="eastAsia" w:hAnsi="宋体" w:cs="宋体"/>
          <w:color w:val="000000"/>
          <w:szCs w:val="24"/>
        </w:rPr>
        <w:t>3.4.2 施工期环境影响因素分析</w:t>
      </w:r>
    </w:p>
    <w:p w14:paraId="428D22ED">
      <w:pPr>
        <w:spacing w:line="460" w:lineRule="exact"/>
        <w:ind w:firstLine="526" w:firstLineChars="200"/>
        <w:rPr>
          <w:rFonts w:hAnsi="宋体" w:cs="宋体"/>
          <w:color w:val="000000"/>
          <w:szCs w:val="24"/>
        </w:rPr>
      </w:pPr>
      <w:r>
        <w:rPr>
          <w:rFonts w:hint="eastAsia" w:hAnsi="宋体"/>
          <w:color w:val="000000"/>
          <w:szCs w:val="24"/>
        </w:rPr>
        <w:t>拟建工程施工过程中占用土地，对地表植被及土壤环境造成一定的扰动。同时施工期间将产生废气、废水、噪声、固废等，对区域大气环境、声环境、地下水环境等产生一定的影响。</w:t>
      </w:r>
    </w:p>
    <w:p w14:paraId="6CFE5836">
      <w:pPr>
        <w:spacing w:line="460" w:lineRule="exact"/>
        <w:outlineLvl w:val="3"/>
        <w:rPr>
          <w:rFonts w:hint="eastAsia" w:hAnsi="宋体"/>
          <w:color w:val="000000"/>
          <w:szCs w:val="24"/>
        </w:rPr>
      </w:pPr>
      <w:r>
        <w:rPr>
          <w:rFonts w:hint="eastAsia" w:hAnsi="宋体"/>
          <w:color w:val="000000"/>
          <w:szCs w:val="24"/>
        </w:rPr>
        <w:t>3.4.2.1 生态影响因素</w:t>
      </w:r>
    </w:p>
    <w:p w14:paraId="3FDDB099">
      <w:pPr>
        <w:spacing w:line="460" w:lineRule="exact"/>
        <w:ind w:firstLine="526" w:firstLineChars="200"/>
        <w:rPr>
          <w:rFonts w:hint="eastAsia"/>
          <w:color w:val="000000"/>
          <w:szCs w:val="24"/>
        </w:rPr>
      </w:pPr>
      <w:r>
        <w:rPr>
          <w:rFonts w:hint="eastAsia" w:hAnsi="宋体"/>
          <w:color w:val="000000"/>
          <w:szCs w:val="24"/>
        </w:rPr>
        <w:t>管线施工过程中需要占用土地，占用过程中需要对区域植被进行清理，在这个过程中，对原有地表进行了扰动，造成了区域植被覆盖度的降低和造成生物量的损失；施工过程中由于车辆运输、机械设备噪声等，造成区域野生动物受到惊吓，导致区域生物多样性发生了微弱变化。施工过程中对地表的扰动，破坏了原有生态系统的平衡，对区域生态系统造成了一定的影响</w:t>
      </w:r>
      <w:r>
        <w:rPr>
          <w:rFonts w:hint="eastAsia"/>
          <w:color w:val="000000"/>
          <w:szCs w:val="24"/>
        </w:rPr>
        <w:t>。</w:t>
      </w:r>
    </w:p>
    <w:p w14:paraId="7BFEDC5E">
      <w:pPr>
        <w:pStyle w:val="94"/>
        <w:kinsoku/>
        <w:wordWrap/>
        <w:overflowPunct/>
        <w:snapToGrid/>
        <w:spacing w:after="0" w:line="480" w:lineRule="exact"/>
        <w:jc w:val="both"/>
        <w:outlineLvl w:val="3"/>
        <w:rPr>
          <w:rFonts w:hint="eastAsia" w:hAnsi="宋体" w:cs="宋体"/>
          <w:color w:val="000000"/>
          <w:szCs w:val="24"/>
        </w:rPr>
      </w:pPr>
      <w:r>
        <w:rPr>
          <w:rFonts w:hint="eastAsia" w:hAnsi="宋体"/>
          <w:color w:val="000000"/>
          <w:szCs w:val="24"/>
        </w:rPr>
        <w:t xml:space="preserve">3.4.2.2 </w:t>
      </w:r>
      <w:r>
        <w:rPr>
          <w:rFonts w:hint="eastAsia" w:hAnsi="宋体" w:cs="宋体"/>
          <w:color w:val="000000"/>
          <w:szCs w:val="24"/>
        </w:rPr>
        <w:t>废气</w:t>
      </w:r>
    </w:p>
    <w:p w14:paraId="1BEA1346">
      <w:pPr>
        <w:ind w:firstLine="526" w:firstLineChars="200"/>
        <w:rPr>
          <w:rFonts w:hint="eastAsia" w:hAnsi="宋体"/>
          <w:color w:val="000000"/>
        </w:rPr>
      </w:pPr>
      <w:r>
        <w:rPr>
          <w:rFonts w:hint="eastAsia" w:hAnsi="宋体" w:cs="宋体"/>
          <w:color w:val="000000"/>
        </w:rPr>
        <w:t>拟建工程</w:t>
      </w:r>
      <w:r>
        <w:rPr>
          <w:rFonts w:hint="eastAsia" w:hAnsi="宋体"/>
          <w:color w:val="000000"/>
        </w:rPr>
        <w:t>施工过程中废气包括施工扬尘、</w:t>
      </w:r>
      <w:r>
        <w:rPr>
          <w:rFonts w:hint="eastAsia" w:hAnsi="宋体" w:cs="宋体"/>
          <w:color w:val="000000"/>
          <w:szCs w:val="24"/>
          <w:lang w:bidi="ar"/>
        </w:rPr>
        <w:t>机械设备和</w:t>
      </w:r>
      <w:r>
        <w:rPr>
          <w:rFonts w:hint="eastAsia" w:hAnsi="宋体"/>
          <w:color w:val="000000"/>
        </w:rPr>
        <w:t>车辆尾气、焊接烟气、热熔废气。</w:t>
      </w:r>
    </w:p>
    <w:p w14:paraId="42748601">
      <w:pPr>
        <w:ind w:firstLine="526" w:firstLineChars="200"/>
        <w:rPr>
          <w:rFonts w:hint="eastAsia" w:hAnsi="宋体"/>
          <w:color w:val="000000"/>
        </w:rPr>
      </w:pPr>
      <w:r>
        <w:rPr>
          <w:rFonts w:hint="eastAsia" w:hAnsi="宋体"/>
          <w:color w:val="000000"/>
        </w:rPr>
        <w:t>（1）施工扬尘</w:t>
      </w:r>
    </w:p>
    <w:p w14:paraId="7F1CBE58">
      <w:pPr>
        <w:ind w:firstLine="526" w:firstLineChars="200"/>
        <w:rPr>
          <w:rFonts w:hint="eastAsia" w:hAnsi="宋体"/>
          <w:color w:val="000000"/>
        </w:rPr>
      </w:pPr>
      <w:r>
        <w:rPr>
          <w:rFonts w:hint="eastAsia" w:hAnsi="宋体"/>
          <w:color w:val="000000"/>
        </w:rPr>
        <w:t>施工扬尘主要来自管沟开挖、车辆运输过程中产生，管沟开挖周期较短，采取洒水抑尘，运输车辆采取减速慢行和苫盖措施，可有效降低扬尘对周围大气环境的不利影响。</w:t>
      </w:r>
    </w:p>
    <w:p w14:paraId="45C79B19">
      <w:pPr>
        <w:ind w:firstLine="526" w:firstLineChars="200"/>
        <w:rPr>
          <w:rFonts w:hint="eastAsia" w:hAnsi="宋体"/>
          <w:color w:val="000000"/>
        </w:rPr>
      </w:pPr>
      <w:r>
        <w:rPr>
          <w:rFonts w:hint="eastAsia" w:hAnsi="宋体"/>
          <w:color w:val="000000"/>
        </w:rPr>
        <w:t>（2）</w:t>
      </w:r>
      <w:r>
        <w:rPr>
          <w:rFonts w:hint="eastAsia" w:hAnsi="宋体" w:cs="宋体"/>
          <w:color w:val="000000"/>
          <w:szCs w:val="24"/>
          <w:lang w:bidi="ar"/>
        </w:rPr>
        <w:t>机械设备和车辆废气</w:t>
      </w:r>
    </w:p>
    <w:p w14:paraId="4AF7F6CD">
      <w:pPr>
        <w:ind w:firstLine="526" w:firstLineChars="200"/>
        <w:rPr>
          <w:rFonts w:hint="eastAsia" w:hAnsi="宋体"/>
          <w:color w:val="000000"/>
        </w:rPr>
      </w:pPr>
      <w:r>
        <w:rPr>
          <w:rFonts w:hint="eastAsia" w:hAnsi="宋体"/>
          <w:color w:val="000000"/>
        </w:rPr>
        <w:t>在管线工程施工中使用多种燃油机动设备和运输车辆，会产生机械设备和车辆内燃机燃料燃烧废气，其污染物主要有颗粒物、</w:t>
      </w:r>
      <w:r>
        <w:rPr>
          <w:rFonts w:hint="eastAsia" w:hAnsi="宋体" w:cs="宋体"/>
          <w:color w:val="000000"/>
          <w:lang w:bidi="ar"/>
        </w:rPr>
        <w:t>SO</w:t>
      </w:r>
      <w:r>
        <w:rPr>
          <w:rFonts w:hint="eastAsia" w:hAnsi="宋体" w:cs="宋体"/>
          <w:color w:val="000000"/>
          <w:vertAlign w:val="subscript"/>
          <w:lang w:bidi="ar"/>
        </w:rPr>
        <w:t>2</w:t>
      </w:r>
      <w:r>
        <w:rPr>
          <w:rFonts w:hint="eastAsia" w:hAnsi="宋体" w:cs="宋体"/>
          <w:color w:val="000000"/>
          <w:lang w:bidi="ar"/>
        </w:rPr>
        <w:t>、NO</w:t>
      </w:r>
      <w:r>
        <w:rPr>
          <w:rFonts w:hint="eastAsia" w:hAnsi="宋体" w:cs="宋体"/>
          <w:color w:val="000000"/>
          <w:vertAlign w:val="subscript"/>
          <w:lang w:bidi="ar"/>
        </w:rPr>
        <w:t>X</w:t>
      </w:r>
      <w:r>
        <w:rPr>
          <w:rFonts w:hint="eastAsia" w:hAnsi="宋体" w:cs="宋体"/>
          <w:color w:val="000000"/>
          <w:kern w:val="0"/>
        </w:rPr>
        <w:t>、非甲烷总烃</w:t>
      </w:r>
      <w:r>
        <w:rPr>
          <w:rFonts w:hint="eastAsia" w:hAnsi="宋体"/>
          <w:color w:val="000000"/>
        </w:rPr>
        <w:t>等，</w:t>
      </w:r>
      <w:r>
        <w:rPr>
          <w:rFonts w:hint="eastAsia" w:hAnsi="宋体" w:cs="宋体"/>
          <w:color w:val="000000"/>
        </w:rPr>
        <w:t>施工机械废气满足</w:t>
      </w:r>
      <w:r>
        <w:rPr>
          <w:rFonts w:hint="eastAsia" w:hAnsi="宋体" w:cs="宋体"/>
          <w:color w:val="000000"/>
          <w:szCs w:val="21"/>
          <w:lang w:bidi="ar"/>
        </w:rPr>
        <w:t>《大气污染物综合排放标准》(GB16297-1996)表2新污染源大气污染物无组织排放监控浓度限值要求</w:t>
      </w:r>
      <w:r>
        <w:rPr>
          <w:rFonts w:hint="eastAsia" w:hAnsi="宋体"/>
          <w:color w:val="000000"/>
        </w:rPr>
        <w:t>。施工机械和运输车辆运行时间较短，从影响范围和程度来看，施工机械废气对周围大气环境的影响是有限的。</w:t>
      </w:r>
    </w:p>
    <w:p w14:paraId="4B5B014F">
      <w:pPr>
        <w:ind w:firstLine="526" w:firstLineChars="200"/>
        <w:rPr>
          <w:rFonts w:hint="eastAsia" w:hAnsi="宋体"/>
          <w:color w:val="000000"/>
        </w:rPr>
      </w:pPr>
      <w:r>
        <w:rPr>
          <w:rFonts w:hint="eastAsia" w:hAnsi="宋体"/>
          <w:color w:val="000000"/>
        </w:rPr>
        <w:t>（3）焊接烟气和热熔废气</w:t>
      </w:r>
    </w:p>
    <w:p w14:paraId="09B3A495">
      <w:pPr>
        <w:spacing w:line="480" w:lineRule="exact"/>
        <w:ind w:firstLine="526" w:firstLineChars="200"/>
        <w:rPr>
          <w:rFonts w:hint="eastAsia" w:hAnsi="宋体"/>
          <w:color w:val="000000"/>
          <w:szCs w:val="24"/>
        </w:rPr>
      </w:pPr>
      <w:r>
        <w:rPr>
          <w:rFonts w:hint="eastAsia" w:hAnsi="宋体"/>
          <w:color w:val="000000"/>
        </w:rPr>
        <w:t>金属材质管线连接过程中会产生一定量的焊接烟气，污染物主要为金属氧化物，焊接使用无毒低尘焊条。内穿插管线连头过程中需采用热熔连接，会产生一定量的热熔废气，污染物主要为非甲烷总烃。管线焊接时间以及热熔时间一般都较短，从影响范围和程度来看，焊接烟气和热熔废气对周围大气环境的影响是有限的</w:t>
      </w:r>
      <w:r>
        <w:rPr>
          <w:rFonts w:hint="eastAsia" w:hAnsi="宋体"/>
          <w:color w:val="000000"/>
          <w:szCs w:val="24"/>
        </w:rPr>
        <w:t>。</w:t>
      </w:r>
    </w:p>
    <w:p w14:paraId="433B56B0">
      <w:pPr>
        <w:pStyle w:val="94"/>
        <w:kinsoku/>
        <w:wordWrap/>
        <w:overflowPunct/>
        <w:adjustRightInd/>
        <w:snapToGrid/>
        <w:spacing w:after="0" w:line="480" w:lineRule="exact"/>
        <w:jc w:val="both"/>
        <w:outlineLvl w:val="3"/>
        <w:rPr>
          <w:rFonts w:hint="eastAsia" w:hAnsi="宋体" w:cs="宋体"/>
          <w:color w:val="000000"/>
          <w:szCs w:val="24"/>
        </w:rPr>
      </w:pPr>
      <w:r>
        <w:rPr>
          <w:rFonts w:hint="eastAsia" w:hAnsi="宋体"/>
          <w:color w:val="000000"/>
          <w:szCs w:val="24"/>
        </w:rPr>
        <w:t xml:space="preserve">3.4.2.3 </w:t>
      </w:r>
      <w:r>
        <w:rPr>
          <w:rFonts w:hint="eastAsia" w:hAnsi="宋体" w:cs="宋体"/>
          <w:color w:val="000000"/>
          <w:szCs w:val="24"/>
        </w:rPr>
        <w:t>废水</w:t>
      </w:r>
    </w:p>
    <w:p w14:paraId="4AED7C7F">
      <w:pPr>
        <w:pStyle w:val="94"/>
        <w:kinsoku/>
        <w:wordWrap/>
        <w:overflowPunct/>
        <w:adjustRightInd/>
        <w:snapToGrid/>
        <w:spacing w:after="0" w:line="240" w:lineRule="auto"/>
        <w:ind w:firstLine="526" w:firstLineChars="200"/>
        <w:jc w:val="both"/>
        <w:rPr>
          <w:rFonts w:hint="eastAsia" w:hAnsi="宋体" w:cs="宋体"/>
          <w:color w:val="000000"/>
          <w:szCs w:val="24"/>
        </w:rPr>
      </w:pPr>
      <w:r>
        <w:rPr>
          <w:rFonts w:hint="eastAsia" w:hAnsi="宋体"/>
          <w:color w:val="000000"/>
          <w:szCs w:val="24"/>
        </w:rPr>
        <w:t>（1）</w:t>
      </w:r>
      <w:r>
        <w:rPr>
          <w:rFonts w:hint="eastAsia" w:hAnsi="宋体" w:cs="宋体"/>
          <w:color w:val="000000"/>
          <w:szCs w:val="24"/>
        </w:rPr>
        <w:t>生活污水</w:t>
      </w:r>
    </w:p>
    <w:p w14:paraId="464B7DEF">
      <w:pPr>
        <w:pStyle w:val="94"/>
        <w:kinsoku/>
        <w:wordWrap/>
        <w:overflowPunct/>
        <w:adjustRightInd/>
        <w:snapToGrid/>
        <w:spacing w:after="0" w:line="240" w:lineRule="auto"/>
        <w:ind w:firstLine="526" w:firstLineChars="200"/>
        <w:jc w:val="both"/>
        <w:rPr>
          <w:rFonts w:hint="eastAsia" w:hAnsi="宋体"/>
          <w:color w:val="000000"/>
          <w:szCs w:val="24"/>
        </w:rPr>
      </w:pPr>
      <w:r>
        <w:rPr>
          <w:rFonts w:hint="eastAsia" w:hAnsi="宋体"/>
          <w:color w:val="000000"/>
          <w:szCs w:val="24"/>
        </w:rPr>
        <w:t>油气集输工程施工人数约20人，施工周期30天，按生活用水量100L/d·人计，生活用水量总计约60m</w:t>
      </w:r>
      <w:r>
        <w:rPr>
          <w:rFonts w:hint="eastAsia" w:hAnsi="宋体"/>
          <w:color w:val="000000"/>
          <w:szCs w:val="24"/>
          <w:vertAlign w:val="superscript"/>
        </w:rPr>
        <w:t>3</w:t>
      </w:r>
      <w:r>
        <w:rPr>
          <w:rFonts w:hint="eastAsia" w:hAnsi="宋体"/>
          <w:color w:val="000000"/>
          <w:szCs w:val="24"/>
        </w:rPr>
        <w:t>，</w:t>
      </w:r>
      <w:r>
        <w:rPr>
          <w:rFonts w:hint="eastAsia" w:cs="宋体"/>
          <w:color w:val="000000"/>
          <w:szCs w:val="24"/>
        </w:rPr>
        <w:t>生活污水产生量按用水量的80%计算，则总产生量为48m</w:t>
      </w:r>
      <w:r>
        <w:rPr>
          <w:rFonts w:hint="eastAsia" w:cs="宋体"/>
          <w:color w:val="000000"/>
          <w:szCs w:val="24"/>
          <w:vertAlign w:val="superscript"/>
        </w:rPr>
        <w:t>3</w:t>
      </w:r>
      <w:r>
        <w:rPr>
          <w:rFonts w:hint="eastAsia" w:cs="宋体"/>
          <w:color w:val="000000"/>
          <w:szCs w:val="24"/>
        </w:rPr>
        <w:t>。</w:t>
      </w:r>
      <w:r>
        <w:rPr>
          <w:rFonts w:hint="eastAsia" w:hAnsi="宋体" w:cs="宋体"/>
          <w:color w:val="000000"/>
          <w:szCs w:val="24"/>
        </w:rPr>
        <w:t>拟建工程不设施工营地，生活污水依托</w:t>
      </w:r>
      <w:r>
        <w:rPr>
          <w:rFonts w:hint="eastAsia" w:hAnsi="宋体"/>
          <w:color w:val="000000"/>
          <w:szCs w:val="24"/>
        </w:rPr>
        <w:t>塔中作业区</w:t>
      </w:r>
      <w:r>
        <w:rPr>
          <w:rFonts w:hint="eastAsia" w:hAnsi="宋体" w:cs="宋体"/>
          <w:color w:val="000000"/>
          <w:szCs w:val="24"/>
        </w:rPr>
        <w:t>现有生活污水处理设施妥善</w:t>
      </w:r>
      <w:r>
        <w:rPr>
          <w:rFonts w:hint="eastAsia" w:hAnsi="宋体"/>
          <w:color w:val="000000"/>
          <w:szCs w:val="24"/>
        </w:rPr>
        <w:t>处理。</w:t>
      </w:r>
    </w:p>
    <w:p w14:paraId="5CBE15AA">
      <w:pPr>
        <w:pStyle w:val="45"/>
        <w:widowControl w:val="0"/>
        <w:spacing w:beforeAutospacing="0" w:afterAutospacing="0"/>
        <w:ind w:firstLine="506" w:firstLineChars="200"/>
        <w:jc w:val="both"/>
        <w:rPr>
          <w:color w:val="000000"/>
          <w:kern w:val="2"/>
          <w:szCs w:val="25"/>
        </w:rPr>
      </w:pPr>
      <w:r>
        <w:rPr>
          <w:rFonts w:hint="eastAsia"/>
          <w:color w:val="000000"/>
          <w:szCs w:val="25"/>
        </w:rPr>
        <w:t>（2）</w:t>
      </w:r>
      <w:r>
        <w:rPr>
          <w:rFonts w:hint="eastAsia"/>
          <w:color w:val="000000"/>
          <w:kern w:val="2"/>
          <w:szCs w:val="25"/>
        </w:rPr>
        <w:t>管线试压废水</w:t>
      </w:r>
    </w:p>
    <w:p w14:paraId="7E6B99A1">
      <w:pPr>
        <w:pStyle w:val="45"/>
        <w:widowControl w:val="0"/>
        <w:spacing w:beforeAutospacing="0" w:afterAutospacing="0" w:line="480" w:lineRule="exact"/>
        <w:ind w:firstLine="506" w:firstLineChars="200"/>
        <w:jc w:val="both"/>
        <w:rPr>
          <w:rFonts w:hint="eastAsia"/>
          <w:color w:val="000000"/>
        </w:rPr>
      </w:pPr>
      <w:r>
        <w:rPr>
          <w:rFonts w:hint="eastAsia"/>
          <w:color w:val="000000"/>
        </w:rPr>
        <w:t>拟建工程管线试压介质采用中性洁净水，根据项目管线长度及直径，试压用水量约为20</w:t>
      </w:r>
      <w:r>
        <w:rPr>
          <w:color w:val="000000"/>
        </w:rPr>
        <w:t>m</w:t>
      </w:r>
      <w:r>
        <w:rPr>
          <w:color w:val="000000"/>
          <w:vertAlign w:val="superscript"/>
        </w:rPr>
        <w:t>3</w:t>
      </w:r>
      <w:r>
        <w:rPr>
          <w:rFonts w:hint="eastAsia"/>
          <w:color w:val="000000"/>
        </w:rPr>
        <w:t>，管道试压废水中主要污染物为SS，试压水由罐车收集后，进入下一段管线循环使用，试压结束后用于荒漠区洒水抑尘。</w:t>
      </w:r>
    </w:p>
    <w:p w14:paraId="3ED85CC8">
      <w:pPr>
        <w:pStyle w:val="94"/>
        <w:kinsoku/>
        <w:wordWrap/>
        <w:overflowPunct/>
        <w:snapToGrid/>
        <w:spacing w:after="0" w:line="460" w:lineRule="exact"/>
        <w:jc w:val="both"/>
        <w:outlineLvl w:val="3"/>
        <w:rPr>
          <w:rFonts w:hint="eastAsia" w:hAnsi="宋体" w:cs="宋体"/>
          <w:color w:val="000000"/>
          <w:szCs w:val="24"/>
        </w:rPr>
      </w:pPr>
      <w:r>
        <w:rPr>
          <w:rFonts w:hint="eastAsia" w:hAnsi="宋体"/>
          <w:color w:val="000000"/>
          <w:szCs w:val="24"/>
        </w:rPr>
        <w:t xml:space="preserve">3.4.2.4 </w:t>
      </w:r>
      <w:r>
        <w:rPr>
          <w:rFonts w:hint="eastAsia" w:hAnsi="宋体" w:cs="宋体"/>
          <w:color w:val="000000"/>
          <w:szCs w:val="24"/>
        </w:rPr>
        <w:t>噪声</w:t>
      </w:r>
    </w:p>
    <w:p w14:paraId="7CEB4395">
      <w:pPr>
        <w:pStyle w:val="94"/>
        <w:kinsoku/>
        <w:wordWrap/>
        <w:overflowPunct/>
        <w:snapToGrid/>
        <w:spacing w:after="0" w:line="460" w:lineRule="exact"/>
        <w:ind w:firstLine="546" w:firstLineChars="200"/>
        <w:jc w:val="both"/>
        <w:rPr>
          <w:rFonts w:hint="eastAsia"/>
          <w:color w:val="000000"/>
          <w:kern w:val="2"/>
          <w:szCs w:val="24"/>
        </w:rPr>
      </w:pPr>
      <w:r>
        <w:rPr>
          <w:rFonts w:hint="eastAsia"/>
          <w:color w:val="000000"/>
          <w:sz w:val="25"/>
          <w:szCs w:val="25"/>
        </w:rPr>
        <w:t>在不同的施工阶段将使用不同的施工机械，如</w:t>
      </w:r>
      <w:r>
        <w:rPr>
          <w:rFonts w:hint="eastAsia" w:hAnsi="宋体" w:cs="宋体"/>
          <w:color w:val="000000"/>
          <w:sz w:val="25"/>
          <w:szCs w:val="25"/>
        </w:rPr>
        <w:t>挖掘机、推土机、运输车辆、吊装机等</w:t>
      </w:r>
      <w:r>
        <w:rPr>
          <w:rFonts w:hint="eastAsia"/>
          <w:color w:val="000000"/>
          <w:sz w:val="25"/>
          <w:szCs w:val="25"/>
        </w:rPr>
        <w:t>，参照《环境噪声与振动控制工程技术导则》(HJ 2034-2013）中表A.2和类比油气田开发工程中实际情况，产噪声级在90～100</w:t>
      </w:r>
      <w:r>
        <w:rPr>
          <w:color w:val="000000"/>
          <w:sz w:val="25"/>
          <w:szCs w:val="25"/>
        </w:rPr>
        <w:t>dB(A</w:t>
      </w:r>
      <w:r>
        <w:rPr>
          <w:rFonts w:hint="eastAsia"/>
          <w:color w:val="000000"/>
          <w:sz w:val="25"/>
          <w:szCs w:val="25"/>
        </w:rPr>
        <w:t>）之间，对周围声环境产生一定的影响，工程选用低噪声施工设备，合理控制施工作业时间，控制施工噪声对周围</w:t>
      </w:r>
      <w:r>
        <w:rPr>
          <w:rFonts w:hint="eastAsia"/>
          <w:color w:val="000000"/>
          <w:sz w:val="25"/>
          <w:szCs w:val="25"/>
          <w:lang w:val="en-US" w:eastAsia="zh-CN"/>
        </w:rPr>
        <w:t>环境</w:t>
      </w:r>
      <w:r>
        <w:rPr>
          <w:rFonts w:hint="eastAsia"/>
          <w:color w:val="000000"/>
          <w:sz w:val="25"/>
          <w:szCs w:val="25"/>
        </w:rPr>
        <w:t>的不利影响</w:t>
      </w:r>
      <w:r>
        <w:rPr>
          <w:rFonts w:hint="eastAsia"/>
          <w:color w:val="000000"/>
          <w:kern w:val="2"/>
          <w:szCs w:val="24"/>
        </w:rPr>
        <w:t>。</w:t>
      </w:r>
    </w:p>
    <w:p w14:paraId="126EB10B">
      <w:pPr>
        <w:pStyle w:val="94"/>
        <w:kinsoku/>
        <w:wordWrap/>
        <w:overflowPunct/>
        <w:snapToGrid/>
        <w:spacing w:after="0" w:line="460" w:lineRule="exact"/>
        <w:jc w:val="both"/>
        <w:outlineLvl w:val="3"/>
        <w:rPr>
          <w:rFonts w:hint="eastAsia"/>
          <w:color w:val="000000"/>
          <w:kern w:val="2"/>
          <w:szCs w:val="24"/>
        </w:rPr>
      </w:pPr>
      <w:r>
        <w:rPr>
          <w:rFonts w:hint="eastAsia"/>
          <w:color w:val="000000"/>
          <w:kern w:val="2"/>
          <w:szCs w:val="24"/>
        </w:rPr>
        <w:t>3.4.2.5 固体废物</w:t>
      </w:r>
    </w:p>
    <w:p w14:paraId="1E2795E9">
      <w:pPr>
        <w:spacing w:line="460" w:lineRule="exact"/>
        <w:ind w:firstLine="526" w:firstLineChars="200"/>
        <w:rPr>
          <w:rFonts w:hint="eastAsia" w:hAnsi="宋体" w:cs="宋体"/>
          <w:color w:val="000000"/>
          <w:lang w:bidi="ar"/>
        </w:rPr>
      </w:pPr>
      <w:r>
        <w:rPr>
          <w:rFonts w:hint="eastAsia" w:hAnsi="宋体"/>
          <w:color w:val="000000"/>
        </w:rPr>
        <w:t>（1）</w:t>
      </w:r>
      <w:r>
        <w:rPr>
          <w:rFonts w:hint="eastAsia" w:hAnsi="宋体" w:cs="宋体"/>
          <w:color w:val="000000"/>
          <w:lang w:bidi="ar"/>
        </w:rPr>
        <w:t>土石方</w:t>
      </w:r>
    </w:p>
    <w:p w14:paraId="5E05DF4E">
      <w:pPr>
        <w:spacing w:line="460" w:lineRule="exact"/>
        <w:ind w:firstLine="526" w:firstLineChars="200"/>
        <w:rPr>
          <w:rFonts w:hint="eastAsia" w:hAnsi="宋体" w:cs="宋体"/>
          <w:bCs/>
          <w:color w:val="000000"/>
          <w:szCs w:val="24"/>
        </w:rPr>
      </w:pPr>
      <w:r>
        <w:rPr>
          <w:rFonts w:hint="eastAsia" w:hAnsi="宋体" w:cs="宋体"/>
          <w:bCs/>
          <w:color w:val="000000"/>
          <w:szCs w:val="24"/>
        </w:rPr>
        <w:t>拟建工程ZG431-H3至5#集DN150外输管线碰头点后1km管线为埋地敷设。结合所在地区最大冻土层深度确定管顶最小埋深为1.20m，管沟深度按1.6m计，管沟底宽0.8m，边坡比为1:1，管沟每延米挖方量约3.84m</w:t>
      </w:r>
      <w:r>
        <w:rPr>
          <w:rFonts w:hint="eastAsia" w:hAnsi="宋体" w:cs="宋体"/>
          <w:bCs/>
          <w:color w:val="000000"/>
          <w:szCs w:val="24"/>
          <w:vertAlign w:val="superscript"/>
        </w:rPr>
        <w:t>3</w:t>
      </w:r>
      <w:r>
        <w:rPr>
          <w:rFonts w:hint="eastAsia" w:hAnsi="宋体" w:cs="宋体"/>
          <w:bCs/>
          <w:color w:val="000000"/>
          <w:szCs w:val="24"/>
        </w:rPr>
        <w:t>，管道工程长1.0km，合计挖方约0.384万m</w:t>
      </w:r>
      <w:r>
        <w:rPr>
          <w:rFonts w:hint="eastAsia" w:hAnsi="宋体" w:cs="宋体"/>
          <w:bCs/>
          <w:color w:val="000000"/>
          <w:szCs w:val="24"/>
          <w:vertAlign w:val="superscript"/>
        </w:rPr>
        <w:t>3</w:t>
      </w:r>
      <w:r>
        <w:rPr>
          <w:rFonts w:hint="eastAsia" w:hAnsi="宋体" w:cs="宋体"/>
          <w:bCs/>
          <w:color w:val="000000"/>
          <w:szCs w:val="24"/>
        </w:rPr>
        <w:t xml:space="preserve">，所有挖方后期全部回填，无弃方。 </w:t>
      </w:r>
    </w:p>
    <w:p w14:paraId="743382F4">
      <w:pPr>
        <w:pStyle w:val="10"/>
        <w:spacing w:line="460" w:lineRule="exact"/>
        <w:rPr>
          <w:rFonts w:ascii="宋体" w:hAnsi="宋体" w:eastAsia="宋体" w:cs="宋体"/>
          <w:color w:val="000000"/>
        </w:rPr>
      </w:pPr>
      <w:r>
        <w:rPr>
          <w:rFonts w:hint="eastAsia" w:ascii="宋体" w:hAnsi="宋体" w:eastAsia="宋体" w:cs="宋体"/>
          <w:color w:val="000000"/>
        </w:rPr>
        <w:t>拟建工程ZG431-H4至5#集DN150外输管线采用内穿插工艺施工，需挖操作坑22个，操作坑尺寸：25m×6m×2m，合计挖方约0.66万m</w:t>
      </w:r>
      <w:r>
        <w:rPr>
          <w:rFonts w:hint="eastAsia" w:ascii="宋体" w:hAnsi="宋体" w:eastAsia="宋体" w:cs="宋体"/>
          <w:color w:val="000000"/>
          <w:vertAlign w:val="superscript"/>
        </w:rPr>
        <w:t>3</w:t>
      </w:r>
      <w:r>
        <w:rPr>
          <w:rFonts w:hint="eastAsia" w:ascii="宋体" w:hAnsi="宋体" w:eastAsia="宋体" w:cs="宋体"/>
          <w:color w:val="000000"/>
        </w:rPr>
        <w:t>，所有挖方后期全部回填，无弃方。</w:t>
      </w:r>
    </w:p>
    <w:p w14:paraId="735B99DC">
      <w:pPr>
        <w:spacing w:line="460" w:lineRule="exact"/>
        <w:ind w:firstLine="526" w:firstLineChars="200"/>
        <w:rPr>
          <w:rFonts w:hint="eastAsia" w:hAnsi="宋体" w:cs="宋体"/>
          <w:color w:val="000000"/>
          <w:szCs w:val="24"/>
        </w:rPr>
      </w:pPr>
      <w:r>
        <w:rPr>
          <w:rFonts w:hint="eastAsia" w:hAnsi="宋体" w:cs="宋体"/>
          <w:color w:val="000000"/>
          <w:szCs w:val="24"/>
        </w:rPr>
        <w:t>综上所述，拟建工程共开挖土方1.044万m</w:t>
      </w:r>
      <w:r>
        <w:rPr>
          <w:rFonts w:hint="eastAsia" w:hAnsi="宋体" w:cs="宋体"/>
          <w:color w:val="000000"/>
          <w:szCs w:val="24"/>
          <w:vertAlign w:val="superscript"/>
        </w:rPr>
        <w:t>3</w:t>
      </w:r>
      <w:r>
        <w:rPr>
          <w:rFonts w:hint="eastAsia" w:hAnsi="宋体" w:cs="宋体"/>
          <w:color w:val="000000"/>
          <w:szCs w:val="24"/>
        </w:rPr>
        <w:t>，回填土方1.044万m</w:t>
      </w:r>
      <w:r>
        <w:rPr>
          <w:rFonts w:hint="eastAsia" w:hAnsi="宋体" w:cs="宋体"/>
          <w:color w:val="000000"/>
          <w:szCs w:val="24"/>
          <w:vertAlign w:val="superscript"/>
        </w:rPr>
        <w:t>3</w:t>
      </w:r>
      <w:r>
        <w:rPr>
          <w:rFonts w:hint="eastAsia" w:hAnsi="宋体" w:cs="宋体"/>
          <w:color w:val="000000"/>
          <w:szCs w:val="24"/>
        </w:rPr>
        <w:t>，无借方，无弃方，开挖土方主要为管沟及操作坑开挖产生土方，回填土方主要为管沟及操作坑回填。</w:t>
      </w:r>
      <w:r>
        <w:rPr>
          <w:rFonts w:hint="eastAsia" w:hAnsi="宋体"/>
          <w:color w:val="000000"/>
          <w:szCs w:val="24"/>
        </w:rPr>
        <w:t>拟建工程土石方平衡见下表3.4-1。</w:t>
      </w:r>
    </w:p>
    <w:p w14:paraId="2B1E6957">
      <w:pPr>
        <w:spacing w:line="460" w:lineRule="exact"/>
        <w:ind w:firstLine="526" w:firstLineChars="200"/>
        <w:rPr>
          <w:rFonts w:hint="eastAsia" w:ascii="黑体" w:hAnsi="黑体" w:eastAsia="黑体" w:cs="宋体"/>
          <w:color w:val="000000"/>
          <w:szCs w:val="24"/>
          <w:vertAlign w:val="superscript"/>
        </w:rPr>
      </w:pPr>
      <w:r>
        <w:rPr>
          <w:rFonts w:hint="eastAsia" w:ascii="黑体" w:hAnsi="黑体" w:eastAsia="黑体"/>
          <w:color w:val="000000"/>
          <w:szCs w:val="24"/>
        </w:rPr>
        <w:t xml:space="preserve">表3.4-1         </w:t>
      </w:r>
      <w:r>
        <w:rPr>
          <w:rFonts w:hint="eastAsia" w:ascii="黑体" w:hAnsi="黑体" w:eastAsia="黑体" w:cs="黑体"/>
          <w:color w:val="000000"/>
          <w:szCs w:val="24"/>
        </w:rPr>
        <w:t xml:space="preserve"> 土方挖填方平衡表</w:t>
      </w:r>
      <w:r>
        <w:rPr>
          <w:rFonts w:hint="eastAsia" w:ascii="黑体" w:hAnsi="黑体" w:eastAsia="黑体"/>
          <w:color w:val="000000"/>
          <w:szCs w:val="24"/>
        </w:rPr>
        <w:t xml:space="preserve">                 单位：万m</w:t>
      </w:r>
      <w:r>
        <w:rPr>
          <w:rFonts w:hint="eastAsia" w:ascii="黑体" w:hAnsi="黑体" w:eastAsia="黑体"/>
          <w:color w:val="000000"/>
          <w:szCs w:val="24"/>
          <w:vertAlign w:val="superscript"/>
        </w:rPr>
        <w:t>3</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15" w:type="dxa"/>
          <w:left w:w="28" w:type="dxa"/>
          <w:bottom w:w="15" w:type="dxa"/>
          <w:right w:w="28" w:type="dxa"/>
        </w:tblCellMar>
      </w:tblPr>
      <w:tblGrid>
        <w:gridCol w:w="3570"/>
        <w:gridCol w:w="1134"/>
        <w:gridCol w:w="782"/>
        <w:gridCol w:w="1018"/>
        <w:gridCol w:w="815"/>
        <w:gridCol w:w="849"/>
        <w:gridCol w:w="842"/>
      </w:tblGrid>
      <w:tr w14:paraId="54B99F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5" w:type="dxa"/>
            <w:left w:w="28" w:type="dxa"/>
            <w:bottom w:w="15" w:type="dxa"/>
            <w:right w:w="28" w:type="dxa"/>
          </w:tblCellMar>
        </w:tblPrEx>
        <w:trPr>
          <w:trHeight w:val="340" w:hRule="atLeast"/>
          <w:jc w:val="center"/>
        </w:trPr>
        <w:tc>
          <w:tcPr>
            <w:tcW w:w="1981" w:type="pct"/>
            <w:vMerge w:val="restart"/>
            <w:vAlign w:val="center"/>
          </w:tcPr>
          <w:p w14:paraId="37350FE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工程分区</w:t>
            </w:r>
          </w:p>
        </w:tc>
        <w:tc>
          <w:tcPr>
            <w:tcW w:w="629" w:type="pct"/>
            <w:vMerge w:val="restart"/>
            <w:vAlign w:val="center"/>
          </w:tcPr>
          <w:p w14:paraId="745AADE3">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挖方</w:t>
            </w:r>
          </w:p>
        </w:tc>
        <w:tc>
          <w:tcPr>
            <w:tcW w:w="434" w:type="pct"/>
            <w:vMerge w:val="restart"/>
            <w:vAlign w:val="center"/>
          </w:tcPr>
          <w:p w14:paraId="09DA4BB1">
            <w:pPr>
              <w:spacing w:line="0" w:lineRule="atLeast"/>
              <w:jc w:val="center"/>
              <w:textAlignment w:val="center"/>
              <w:rPr>
                <w:rFonts w:hint="eastAsia" w:hAnsi="宋体" w:cs="宋体"/>
                <w:color w:val="000000"/>
                <w:spacing w:val="-10"/>
                <w:sz w:val="21"/>
                <w:szCs w:val="21"/>
              </w:rPr>
            </w:pPr>
            <w:r>
              <w:rPr>
                <w:rStyle w:val="75"/>
                <w:rFonts w:hint="eastAsia" w:ascii="宋体" w:hAnsi="宋体" w:cs="宋体"/>
                <w:snapToGrid w:val="0"/>
                <w:spacing w:val="-10"/>
                <w:sz w:val="21"/>
                <w:szCs w:val="21"/>
                <w:vertAlign w:val="baseline"/>
                <w:lang w:bidi="ar"/>
              </w:rPr>
              <w:t>填方</w:t>
            </w:r>
          </w:p>
        </w:tc>
        <w:tc>
          <w:tcPr>
            <w:tcW w:w="1017" w:type="pct"/>
            <w:gridSpan w:val="2"/>
            <w:vAlign w:val="center"/>
          </w:tcPr>
          <w:p w14:paraId="43DE3E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借方量</w:t>
            </w:r>
          </w:p>
        </w:tc>
        <w:tc>
          <w:tcPr>
            <w:tcW w:w="938" w:type="pct"/>
            <w:gridSpan w:val="2"/>
            <w:vAlign w:val="center"/>
          </w:tcPr>
          <w:p w14:paraId="5F86B4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弃方量</w:t>
            </w:r>
          </w:p>
        </w:tc>
      </w:tr>
      <w:tr w14:paraId="4467B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5" w:type="dxa"/>
            <w:left w:w="28" w:type="dxa"/>
            <w:bottom w:w="15" w:type="dxa"/>
            <w:right w:w="28" w:type="dxa"/>
          </w:tblCellMar>
        </w:tblPrEx>
        <w:trPr>
          <w:trHeight w:val="340" w:hRule="atLeast"/>
          <w:jc w:val="center"/>
        </w:trPr>
        <w:tc>
          <w:tcPr>
            <w:tcW w:w="1981" w:type="pct"/>
            <w:vMerge w:val="continue"/>
            <w:vAlign w:val="center"/>
          </w:tcPr>
          <w:p w14:paraId="6F40EA83">
            <w:pPr>
              <w:spacing w:line="0" w:lineRule="atLeast"/>
              <w:jc w:val="center"/>
              <w:rPr>
                <w:rFonts w:hint="eastAsia" w:hAnsi="宋体" w:cs="宋体"/>
                <w:color w:val="000000"/>
                <w:spacing w:val="-10"/>
                <w:sz w:val="21"/>
                <w:szCs w:val="21"/>
              </w:rPr>
            </w:pPr>
          </w:p>
        </w:tc>
        <w:tc>
          <w:tcPr>
            <w:tcW w:w="629" w:type="pct"/>
            <w:vMerge w:val="continue"/>
            <w:vAlign w:val="center"/>
          </w:tcPr>
          <w:p w14:paraId="131645AD">
            <w:pPr>
              <w:spacing w:line="0" w:lineRule="atLeast"/>
              <w:jc w:val="center"/>
              <w:rPr>
                <w:rFonts w:hint="eastAsia" w:hAnsi="宋体" w:cs="宋体"/>
                <w:color w:val="000000"/>
                <w:spacing w:val="-10"/>
                <w:sz w:val="21"/>
                <w:szCs w:val="21"/>
              </w:rPr>
            </w:pPr>
          </w:p>
        </w:tc>
        <w:tc>
          <w:tcPr>
            <w:tcW w:w="434" w:type="pct"/>
            <w:vMerge w:val="continue"/>
            <w:vAlign w:val="center"/>
          </w:tcPr>
          <w:p w14:paraId="6E906A3F">
            <w:pPr>
              <w:spacing w:line="0" w:lineRule="atLeast"/>
              <w:jc w:val="center"/>
              <w:rPr>
                <w:rFonts w:hint="eastAsia" w:hAnsi="宋体" w:cs="宋体"/>
                <w:color w:val="000000"/>
                <w:spacing w:val="-10"/>
                <w:sz w:val="21"/>
                <w:szCs w:val="21"/>
              </w:rPr>
            </w:pPr>
          </w:p>
        </w:tc>
        <w:tc>
          <w:tcPr>
            <w:tcW w:w="565" w:type="pct"/>
            <w:vAlign w:val="center"/>
          </w:tcPr>
          <w:p w14:paraId="40600A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数量</w:t>
            </w:r>
          </w:p>
        </w:tc>
        <w:tc>
          <w:tcPr>
            <w:tcW w:w="452" w:type="pct"/>
            <w:vAlign w:val="center"/>
          </w:tcPr>
          <w:p w14:paraId="177D43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来源</w:t>
            </w:r>
          </w:p>
        </w:tc>
        <w:tc>
          <w:tcPr>
            <w:tcW w:w="471" w:type="pct"/>
            <w:vAlign w:val="center"/>
          </w:tcPr>
          <w:p w14:paraId="57C2349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数量</w:t>
            </w:r>
          </w:p>
        </w:tc>
        <w:tc>
          <w:tcPr>
            <w:tcW w:w="467" w:type="pct"/>
            <w:vAlign w:val="center"/>
          </w:tcPr>
          <w:p w14:paraId="3B0640C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去向</w:t>
            </w:r>
          </w:p>
        </w:tc>
      </w:tr>
      <w:tr w14:paraId="52A7D9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5" w:type="dxa"/>
            <w:left w:w="28" w:type="dxa"/>
            <w:bottom w:w="15" w:type="dxa"/>
            <w:right w:w="28" w:type="dxa"/>
          </w:tblCellMar>
        </w:tblPrEx>
        <w:trPr>
          <w:trHeight w:val="340" w:hRule="atLeast"/>
          <w:jc w:val="center"/>
        </w:trPr>
        <w:tc>
          <w:tcPr>
            <w:tcW w:w="1981" w:type="pct"/>
            <w:vAlign w:val="center"/>
          </w:tcPr>
          <w:p w14:paraId="422B1A1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ZG431-H3至DN150集输管线施工</w:t>
            </w:r>
          </w:p>
        </w:tc>
        <w:tc>
          <w:tcPr>
            <w:tcW w:w="629" w:type="pct"/>
            <w:vAlign w:val="center"/>
          </w:tcPr>
          <w:p w14:paraId="107938C4">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bCs/>
                <w:color w:val="000000"/>
                <w:sz w:val="21"/>
                <w:szCs w:val="21"/>
              </w:rPr>
              <w:t>0.384</w:t>
            </w:r>
          </w:p>
        </w:tc>
        <w:tc>
          <w:tcPr>
            <w:tcW w:w="434" w:type="pct"/>
            <w:vAlign w:val="center"/>
          </w:tcPr>
          <w:p w14:paraId="1E6EF97D">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bCs/>
                <w:color w:val="000000"/>
                <w:sz w:val="21"/>
                <w:szCs w:val="21"/>
              </w:rPr>
              <w:t>0.384</w:t>
            </w:r>
          </w:p>
        </w:tc>
        <w:tc>
          <w:tcPr>
            <w:tcW w:w="565" w:type="pct"/>
            <w:vAlign w:val="center"/>
          </w:tcPr>
          <w:p w14:paraId="0B08B509">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52" w:type="pct"/>
            <w:vAlign w:val="center"/>
          </w:tcPr>
          <w:p w14:paraId="1A3279C3">
            <w:pPr>
              <w:adjustRightInd w:val="0"/>
              <w:spacing w:line="0" w:lineRule="atLeast"/>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c>
          <w:tcPr>
            <w:tcW w:w="471" w:type="pct"/>
            <w:vAlign w:val="center"/>
          </w:tcPr>
          <w:p w14:paraId="2F79BB44">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67" w:type="pct"/>
            <w:vAlign w:val="center"/>
          </w:tcPr>
          <w:p w14:paraId="44688D6F">
            <w:pPr>
              <w:adjustRightInd w:val="0"/>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r>
      <w:tr w14:paraId="1B4F78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5" w:type="dxa"/>
            <w:left w:w="28" w:type="dxa"/>
            <w:bottom w:w="15" w:type="dxa"/>
            <w:right w:w="28" w:type="dxa"/>
          </w:tblCellMar>
        </w:tblPrEx>
        <w:trPr>
          <w:trHeight w:val="340" w:hRule="atLeast"/>
          <w:jc w:val="center"/>
        </w:trPr>
        <w:tc>
          <w:tcPr>
            <w:tcW w:w="1981" w:type="pct"/>
            <w:vAlign w:val="center"/>
          </w:tcPr>
          <w:p w14:paraId="60B6DAA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ZG431-H4至5#集DN150外输管线施工</w:t>
            </w:r>
          </w:p>
        </w:tc>
        <w:tc>
          <w:tcPr>
            <w:tcW w:w="629" w:type="pct"/>
            <w:vAlign w:val="center"/>
          </w:tcPr>
          <w:p w14:paraId="1D1F3516">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z w:val="21"/>
                <w:szCs w:val="21"/>
              </w:rPr>
              <w:t>0.66</w:t>
            </w:r>
          </w:p>
        </w:tc>
        <w:tc>
          <w:tcPr>
            <w:tcW w:w="434" w:type="pct"/>
            <w:vAlign w:val="center"/>
          </w:tcPr>
          <w:p w14:paraId="2E9FB5DF">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z w:val="21"/>
                <w:szCs w:val="21"/>
              </w:rPr>
              <w:t>0.66</w:t>
            </w:r>
          </w:p>
        </w:tc>
        <w:tc>
          <w:tcPr>
            <w:tcW w:w="565" w:type="pct"/>
            <w:vAlign w:val="center"/>
          </w:tcPr>
          <w:p w14:paraId="3F852BC1">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52" w:type="pct"/>
            <w:vAlign w:val="center"/>
          </w:tcPr>
          <w:p w14:paraId="2D8DE20E">
            <w:pPr>
              <w:spacing w:line="0" w:lineRule="atLeast"/>
              <w:jc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c>
          <w:tcPr>
            <w:tcW w:w="471" w:type="pct"/>
            <w:vAlign w:val="center"/>
          </w:tcPr>
          <w:p w14:paraId="76FDDBCA">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67" w:type="pct"/>
            <w:vAlign w:val="center"/>
          </w:tcPr>
          <w:p w14:paraId="3E95027B">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r>
      <w:tr w14:paraId="1E422A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5" w:type="dxa"/>
            <w:left w:w="28" w:type="dxa"/>
            <w:bottom w:w="15" w:type="dxa"/>
            <w:right w:w="28" w:type="dxa"/>
          </w:tblCellMar>
        </w:tblPrEx>
        <w:trPr>
          <w:trHeight w:val="340" w:hRule="atLeast"/>
          <w:jc w:val="center"/>
        </w:trPr>
        <w:tc>
          <w:tcPr>
            <w:tcW w:w="1981" w:type="pct"/>
            <w:vAlign w:val="center"/>
          </w:tcPr>
          <w:p w14:paraId="086B15B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合计</w:t>
            </w:r>
          </w:p>
        </w:tc>
        <w:tc>
          <w:tcPr>
            <w:tcW w:w="629" w:type="pct"/>
            <w:vAlign w:val="center"/>
          </w:tcPr>
          <w:p w14:paraId="1F994817">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1.044</w:t>
            </w:r>
          </w:p>
        </w:tc>
        <w:tc>
          <w:tcPr>
            <w:tcW w:w="434" w:type="pct"/>
            <w:vAlign w:val="center"/>
          </w:tcPr>
          <w:p w14:paraId="1B9BD98E">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1.044</w:t>
            </w:r>
          </w:p>
        </w:tc>
        <w:tc>
          <w:tcPr>
            <w:tcW w:w="565" w:type="pct"/>
            <w:vAlign w:val="center"/>
          </w:tcPr>
          <w:p w14:paraId="6C9B57BE">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52" w:type="pct"/>
            <w:vAlign w:val="center"/>
          </w:tcPr>
          <w:p w14:paraId="38F0AF38">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c>
          <w:tcPr>
            <w:tcW w:w="471" w:type="pct"/>
            <w:vAlign w:val="center"/>
          </w:tcPr>
          <w:p w14:paraId="4CD981D5">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467" w:type="pct"/>
            <w:vAlign w:val="center"/>
          </w:tcPr>
          <w:p w14:paraId="79F8136C">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w:t>
            </w:r>
          </w:p>
        </w:tc>
      </w:tr>
    </w:tbl>
    <w:p w14:paraId="4B2B1A6B">
      <w:pPr>
        <w:pStyle w:val="94"/>
        <w:kinsoku/>
        <w:wordWrap/>
        <w:overflowPunct/>
        <w:autoSpaceDE/>
        <w:autoSpaceDN/>
        <w:adjustRightInd/>
        <w:snapToGrid/>
        <w:spacing w:before="240" w:after="0" w:line="240" w:lineRule="auto"/>
        <w:ind w:firstLine="526" w:firstLineChars="200"/>
        <w:jc w:val="both"/>
        <w:rPr>
          <w:rFonts w:hint="eastAsia" w:hAnsi="宋体"/>
          <w:color w:val="000000"/>
          <w:szCs w:val="24"/>
        </w:rPr>
      </w:pPr>
      <w:r>
        <w:rPr>
          <w:rFonts w:hint="eastAsia" w:hAnsi="宋体"/>
          <w:color w:val="000000"/>
          <w:szCs w:val="24"/>
        </w:rPr>
        <w:t>（2）管道焊接及吹扫废渣</w:t>
      </w:r>
    </w:p>
    <w:p w14:paraId="13ED71A6">
      <w:pPr>
        <w:spacing w:line="480" w:lineRule="exact"/>
        <w:ind w:firstLine="526" w:firstLineChars="200"/>
        <w:rPr>
          <w:rFonts w:hint="eastAsia"/>
          <w:color w:val="000000"/>
          <w:szCs w:val="24"/>
        </w:rPr>
      </w:pPr>
      <w:r>
        <w:rPr>
          <w:rFonts w:hint="eastAsia"/>
          <w:color w:val="000000"/>
          <w:szCs w:val="24"/>
        </w:rPr>
        <w:t>根据类比调查，焊接及吹扫废渣的产生量约为0.05t/km，拟建工程焊接及吹扫废渣产生量约为0.69t（本项目管线长度以13.85km计），收集后送塔中固废填埋场填埋处置。</w:t>
      </w:r>
    </w:p>
    <w:p w14:paraId="7CAE9FA5">
      <w:pPr>
        <w:pStyle w:val="94"/>
        <w:kinsoku/>
        <w:wordWrap/>
        <w:overflowPunct/>
        <w:autoSpaceDE/>
        <w:autoSpaceDN/>
        <w:adjustRightInd/>
        <w:snapToGrid/>
        <w:spacing w:after="0" w:line="480" w:lineRule="exact"/>
        <w:ind w:firstLine="526" w:firstLineChars="200"/>
        <w:jc w:val="both"/>
        <w:rPr>
          <w:rFonts w:hint="eastAsia" w:hAnsi="宋体" w:cs="宋体"/>
          <w:color w:val="000000"/>
          <w:szCs w:val="24"/>
        </w:rPr>
      </w:pPr>
      <w:r>
        <w:rPr>
          <w:rFonts w:hint="eastAsia" w:hAnsi="宋体" w:cs="宋体"/>
          <w:color w:val="000000"/>
          <w:szCs w:val="24"/>
        </w:rPr>
        <w:t>（3）清管废渣</w:t>
      </w:r>
    </w:p>
    <w:p w14:paraId="643939C7">
      <w:pPr>
        <w:pStyle w:val="94"/>
        <w:kinsoku/>
        <w:wordWrap/>
        <w:overflowPunct/>
        <w:autoSpaceDE/>
        <w:autoSpaceDN/>
        <w:adjustRightInd/>
        <w:snapToGrid/>
        <w:spacing w:after="0" w:line="480" w:lineRule="exact"/>
        <w:ind w:firstLine="526" w:firstLineChars="200"/>
        <w:jc w:val="both"/>
        <w:rPr>
          <w:rFonts w:hint="eastAsia" w:hAnsi="宋体" w:cs="宋体"/>
          <w:color w:val="000000"/>
          <w:szCs w:val="24"/>
        </w:rPr>
      </w:pPr>
      <w:r>
        <w:rPr>
          <w:rFonts w:hint="eastAsia" w:hAnsi="宋体" w:cs="宋体"/>
          <w:color w:val="000000"/>
          <w:szCs w:val="24"/>
        </w:rPr>
        <w:t>拟建工程内穿插作业会对现有管线进行清管作业，根据类比调查，现有管线清管废渣的产生量约为0.1t/km，拟建工程现有管线吹扫废渣产生量约为1.04t，收集后由区域具有危废处置资质的公司接收处置。</w:t>
      </w:r>
    </w:p>
    <w:p w14:paraId="5B835791">
      <w:pPr>
        <w:pStyle w:val="94"/>
        <w:kinsoku/>
        <w:wordWrap/>
        <w:overflowPunct/>
        <w:autoSpaceDE/>
        <w:autoSpaceDN/>
        <w:adjustRightInd/>
        <w:snapToGrid/>
        <w:spacing w:after="0" w:line="480" w:lineRule="exact"/>
        <w:ind w:firstLine="546" w:firstLineChars="200"/>
        <w:jc w:val="both"/>
        <w:rPr>
          <w:rFonts w:hint="eastAsia" w:hAnsi="宋体" w:cs="宋体"/>
          <w:color w:val="000000"/>
          <w:sz w:val="25"/>
          <w:szCs w:val="25"/>
        </w:rPr>
      </w:pPr>
      <w:r>
        <w:rPr>
          <w:rFonts w:hint="eastAsia" w:hAnsi="宋体" w:cs="宋体"/>
          <w:color w:val="000000"/>
          <w:sz w:val="25"/>
          <w:szCs w:val="25"/>
        </w:rPr>
        <w:t>（4）废防渗膜</w:t>
      </w:r>
    </w:p>
    <w:p w14:paraId="1F2CF45B">
      <w:pPr>
        <w:spacing w:line="480" w:lineRule="exact"/>
        <w:ind w:firstLine="546" w:firstLineChars="200"/>
        <w:rPr>
          <w:rFonts w:hint="eastAsia"/>
          <w:color w:val="000000"/>
        </w:rPr>
      </w:pPr>
      <w:r>
        <w:rPr>
          <w:rFonts w:hint="eastAsia" w:hAnsi="宋体" w:cs="宋体"/>
          <w:color w:val="000000"/>
          <w:kern w:val="21"/>
          <w:sz w:val="25"/>
        </w:rPr>
        <w:t>拟建工程内穿插作业</w:t>
      </w:r>
      <w:r>
        <w:rPr>
          <w:rFonts w:hint="eastAsia" w:hAnsi="宋体" w:cs="宋体"/>
          <w:color w:val="000000"/>
          <w:sz w:val="25"/>
        </w:rPr>
        <w:t>操作坑操作之前需铺设防渗膜，单个防渗膜重量约为10kg，项目共开挖22个操作坑，预计废防渗膜产生量为0.22t。施工结束后集中收集由区域具有危废处置资质的公司接收处置。</w:t>
      </w:r>
    </w:p>
    <w:p w14:paraId="113DEE8C">
      <w:pPr>
        <w:pStyle w:val="94"/>
        <w:kinsoku/>
        <w:wordWrap/>
        <w:overflowPunct/>
        <w:autoSpaceDE/>
        <w:autoSpaceDN/>
        <w:adjustRightInd/>
        <w:snapToGrid/>
        <w:spacing w:after="0" w:line="460" w:lineRule="exact"/>
        <w:ind w:firstLine="526" w:firstLineChars="200"/>
        <w:jc w:val="both"/>
        <w:rPr>
          <w:rFonts w:hint="eastAsia"/>
          <w:color w:val="000000"/>
          <w:szCs w:val="24"/>
        </w:rPr>
      </w:pPr>
      <w:r>
        <w:rPr>
          <w:rFonts w:hint="eastAsia" w:hAnsi="宋体"/>
          <w:color w:val="000000"/>
          <w:szCs w:val="24"/>
        </w:rPr>
        <w:t>（5）</w:t>
      </w:r>
      <w:r>
        <w:rPr>
          <w:rFonts w:hint="eastAsia"/>
          <w:color w:val="000000"/>
          <w:szCs w:val="24"/>
        </w:rPr>
        <w:t>生活垃圾</w:t>
      </w:r>
    </w:p>
    <w:p w14:paraId="789839B2">
      <w:pPr>
        <w:autoSpaceDE w:val="0"/>
        <w:autoSpaceDN w:val="0"/>
        <w:adjustRightInd w:val="0"/>
        <w:spacing w:line="460" w:lineRule="exact"/>
        <w:ind w:firstLine="526" w:firstLineChars="200"/>
        <w:textAlignment w:val="baseline"/>
        <w:rPr>
          <w:rFonts w:hint="eastAsia" w:ascii="黑体" w:hAnsi="黑体" w:cs="宋体"/>
          <w:color w:val="000000"/>
          <w:kern w:val="21"/>
          <w:szCs w:val="24"/>
        </w:rPr>
      </w:pPr>
      <w:r>
        <w:rPr>
          <w:rFonts w:hint="eastAsia"/>
          <w:color w:val="000000"/>
          <w:szCs w:val="24"/>
        </w:rPr>
        <w:t>油气集输工程施工人数约20人，施工周期30天，</w:t>
      </w:r>
      <w:r>
        <w:rPr>
          <w:rFonts w:hint="eastAsia" w:hAnsi="宋体" w:cs="宋体"/>
          <w:color w:val="000000"/>
          <w:szCs w:val="24"/>
        </w:rPr>
        <w:t>平均每人每天产生生活垃圾0.5kg，生活垃圾产生量共计0.3t。</w:t>
      </w:r>
      <w:r>
        <w:rPr>
          <w:rFonts w:hint="eastAsia" w:hAnsi="宋体"/>
          <w:color w:val="000000"/>
          <w:szCs w:val="24"/>
        </w:rPr>
        <w:t>施工人员生活垃圾随车带走，运至</w:t>
      </w:r>
      <w:r>
        <w:rPr>
          <w:rFonts w:hint="eastAsia"/>
          <w:color w:val="000000"/>
          <w:szCs w:val="24"/>
        </w:rPr>
        <w:t>塔中固废填埋场填埋</w:t>
      </w:r>
      <w:r>
        <w:rPr>
          <w:rFonts w:hint="eastAsia" w:hAnsi="宋体"/>
          <w:color w:val="000000"/>
          <w:szCs w:val="24"/>
        </w:rPr>
        <w:t>处置，现场不遗留。</w:t>
      </w:r>
    </w:p>
    <w:p w14:paraId="1C4EBD7A">
      <w:pPr>
        <w:adjustRightInd w:val="0"/>
        <w:spacing w:line="460" w:lineRule="exact"/>
        <w:outlineLvl w:val="2"/>
        <w:rPr>
          <w:rFonts w:hAnsi="宋体" w:cs="宋体"/>
          <w:color w:val="000000"/>
          <w:szCs w:val="24"/>
        </w:rPr>
      </w:pPr>
      <w:r>
        <w:rPr>
          <w:rFonts w:hint="eastAsia" w:hAnsi="宋体" w:cs="宋体"/>
          <w:color w:val="000000"/>
          <w:szCs w:val="24"/>
        </w:rPr>
        <w:t>3.4.3运营期环境影响因素分析</w:t>
      </w:r>
    </w:p>
    <w:p w14:paraId="4A3E1A60">
      <w:pPr>
        <w:spacing w:line="460" w:lineRule="exact"/>
        <w:outlineLvl w:val="3"/>
        <w:rPr>
          <w:rFonts w:hAnsi="宋体"/>
          <w:color w:val="000000"/>
          <w:szCs w:val="24"/>
        </w:rPr>
      </w:pPr>
      <w:r>
        <w:rPr>
          <w:rFonts w:hint="eastAsia" w:hAnsi="宋体" w:cs="宋体"/>
          <w:color w:val="000000"/>
          <w:szCs w:val="24"/>
        </w:rPr>
        <w:t>3.4.3</w:t>
      </w:r>
      <w:r>
        <w:rPr>
          <w:rFonts w:hint="eastAsia" w:hAnsi="宋体"/>
          <w:color w:val="000000"/>
          <w:szCs w:val="24"/>
        </w:rPr>
        <w:t>.1 废气污染源及其治理措施</w:t>
      </w:r>
    </w:p>
    <w:p w14:paraId="1BEBAFE4">
      <w:pPr>
        <w:pStyle w:val="34"/>
        <w:spacing w:line="460" w:lineRule="exact"/>
        <w:ind w:firstLine="526" w:firstLineChars="200"/>
        <w:rPr>
          <w:rFonts w:ascii="宋体" w:hAnsi="宋体" w:cs="宋体"/>
          <w:b w:val="0"/>
          <w:bCs/>
          <w:color w:val="000000"/>
          <w:kern w:val="0"/>
          <w:lang w:bidi="ar"/>
        </w:rPr>
      </w:pPr>
      <w:r>
        <w:rPr>
          <w:rFonts w:hAnsi="宋体" w:cs="宋体"/>
          <w:b w:val="0"/>
          <w:bCs/>
          <w:color w:val="000000"/>
        </w:rPr>
        <w:t>拟建工程运营期间无废气产生</w:t>
      </w:r>
      <w:r>
        <w:rPr>
          <w:rFonts w:ascii="宋体" w:hAnsi="宋体" w:cs="宋体"/>
          <w:b w:val="0"/>
          <w:bCs/>
          <w:color w:val="000000"/>
          <w:kern w:val="0"/>
          <w:lang w:bidi="ar"/>
        </w:rPr>
        <w:t>。</w:t>
      </w:r>
    </w:p>
    <w:p w14:paraId="2E5BC804">
      <w:pPr>
        <w:spacing w:line="460" w:lineRule="exact"/>
        <w:outlineLvl w:val="3"/>
        <w:rPr>
          <w:rFonts w:hAnsi="宋体"/>
          <w:color w:val="000000"/>
          <w:szCs w:val="24"/>
        </w:rPr>
      </w:pPr>
      <w:r>
        <w:rPr>
          <w:rFonts w:hint="eastAsia" w:hAnsi="宋体" w:cs="宋体"/>
          <w:color w:val="000000"/>
          <w:szCs w:val="24"/>
        </w:rPr>
        <w:t>3.4.3</w:t>
      </w:r>
      <w:r>
        <w:rPr>
          <w:rFonts w:hint="eastAsia" w:hAnsi="宋体"/>
          <w:color w:val="000000"/>
          <w:szCs w:val="24"/>
        </w:rPr>
        <w:t>.2 废水污染源及其治理措施</w:t>
      </w:r>
    </w:p>
    <w:p w14:paraId="1CB1D307">
      <w:pPr>
        <w:spacing w:line="460" w:lineRule="exact"/>
        <w:ind w:firstLine="526" w:firstLineChars="200"/>
        <w:rPr>
          <w:rFonts w:hint="eastAsia" w:ascii="黑体" w:hAnsi="黑体"/>
          <w:color w:val="000000"/>
          <w:szCs w:val="24"/>
        </w:rPr>
      </w:pPr>
      <w:r>
        <w:rPr>
          <w:rFonts w:hint="eastAsia" w:hAnsi="宋体" w:cs="宋体"/>
          <w:bCs/>
          <w:color w:val="000000"/>
        </w:rPr>
        <w:t>拟建工程运营期间无废水产生</w:t>
      </w:r>
      <w:r>
        <w:rPr>
          <w:rFonts w:hint="eastAsia" w:hAnsi="宋体"/>
          <w:color w:val="000000"/>
        </w:rPr>
        <w:t>。</w:t>
      </w:r>
    </w:p>
    <w:p w14:paraId="01C3C73B">
      <w:pPr>
        <w:spacing w:line="460" w:lineRule="exact"/>
        <w:outlineLvl w:val="3"/>
        <w:rPr>
          <w:rFonts w:hAnsi="宋体"/>
          <w:color w:val="000000"/>
          <w:szCs w:val="24"/>
        </w:rPr>
      </w:pPr>
      <w:r>
        <w:rPr>
          <w:rFonts w:hint="eastAsia" w:hAnsi="宋体" w:cs="宋体"/>
          <w:color w:val="000000"/>
          <w:szCs w:val="24"/>
        </w:rPr>
        <w:t>3.4.3</w:t>
      </w:r>
      <w:r>
        <w:rPr>
          <w:rFonts w:hint="eastAsia" w:hAnsi="宋体"/>
          <w:color w:val="000000"/>
          <w:szCs w:val="24"/>
        </w:rPr>
        <w:t>.3 噪声污染源及其治理措施</w:t>
      </w:r>
    </w:p>
    <w:p w14:paraId="5610865D">
      <w:pPr>
        <w:spacing w:line="460" w:lineRule="exact"/>
        <w:ind w:firstLine="526" w:firstLineChars="200"/>
        <w:rPr>
          <w:rFonts w:hint="eastAsia" w:cs="宋体"/>
          <w:color w:val="000000"/>
          <w:szCs w:val="24"/>
        </w:rPr>
      </w:pPr>
      <w:r>
        <w:rPr>
          <w:rFonts w:hint="eastAsia" w:hAnsi="宋体"/>
          <w:color w:val="000000"/>
        </w:rPr>
        <w:t>拟建工程运营期无噪声产生。</w:t>
      </w:r>
    </w:p>
    <w:p w14:paraId="1B1F7132">
      <w:pPr>
        <w:spacing w:line="460" w:lineRule="exact"/>
        <w:outlineLvl w:val="3"/>
        <w:rPr>
          <w:rFonts w:hAnsi="宋体"/>
          <w:color w:val="000000"/>
          <w:szCs w:val="24"/>
        </w:rPr>
      </w:pPr>
      <w:r>
        <w:rPr>
          <w:rFonts w:hint="eastAsia" w:hAnsi="宋体" w:cs="宋体"/>
          <w:color w:val="000000"/>
          <w:szCs w:val="24"/>
        </w:rPr>
        <w:t>3.4.3</w:t>
      </w:r>
      <w:r>
        <w:rPr>
          <w:rFonts w:hint="eastAsia" w:hAnsi="宋体"/>
          <w:color w:val="000000"/>
          <w:szCs w:val="24"/>
        </w:rPr>
        <w:t>.4 固体废物及其治理措施</w:t>
      </w:r>
    </w:p>
    <w:p w14:paraId="7399F15C">
      <w:pPr>
        <w:spacing w:line="460" w:lineRule="exact"/>
        <w:ind w:firstLine="526" w:firstLineChars="200"/>
        <w:rPr>
          <w:rFonts w:hint="eastAsia" w:hAnsi="宋体" w:cs="宋体"/>
          <w:color w:val="000000"/>
          <w:szCs w:val="24"/>
          <w:lang w:bidi="ar"/>
        </w:rPr>
      </w:pPr>
      <w:r>
        <w:rPr>
          <w:rFonts w:hint="eastAsia" w:hAnsi="宋体" w:cs="宋体"/>
          <w:color w:val="000000"/>
          <w:lang w:bidi="ar"/>
        </w:rPr>
        <w:t>拟建工程运营期无固废产生</w:t>
      </w:r>
      <w:r>
        <w:rPr>
          <w:rFonts w:hint="eastAsia" w:hAnsi="宋体" w:cs="宋体"/>
          <w:color w:val="000000"/>
          <w:szCs w:val="24"/>
          <w:lang w:bidi="ar"/>
        </w:rPr>
        <w:t>。</w:t>
      </w:r>
    </w:p>
    <w:p w14:paraId="5F0864F2">
      <w:pPr>
        <w:spacing w:line="460" w:lineRule="exact"/>
        <w:outlineLvl w:val="3"/>
        <w:rPr>
          <w:rFonts w:hAnsi="宋体"/>
          <w:color w:val="000000"/>
          <w:szCs w:val="24"/>
        </w:rPr>
      </w:pPr>
      <w:r>
        <w:rPr>
          <w:rFonts w:hint="eastAsia" w:hAnsi="宋体" w:cs="宋体"/>
          <w:color w:val="000000"/>
          <w:szCs w:val="24"/>
        </w:rPr>
        <w:t>3.4.3</w:t>
      </w:r>
      <w:r>
        <w:rPr>
          <w:rFonts w:hAnsi="宋体"/>
          <w:color w:val="000000"/>
          <w:szCs w:val="24"/>
        </w:rPr>
        <w:t xml:space="preserve">.5 </w:t>
      </w:r>
      <w:r>
        <w:rPr>
          <w:rFonts w:hint="eastAsia" w:hAnsi="宋体"/>
          <w:color w:val="000000"/>
          <w:szCs w:val="24"/>
        </w:rPr>
        <w:t>运营期生态恢复措施</w:t>
      </w:r>
    </w:p>
    <w:p w14:paraId="00B9E7A4">
      <w:pPr>
        <w:adjustRightInd w:val="0"/>
        <w:spacing w:line="460" w:lineRule="exact"/>
        <w:ind w:firstLine="526" w:firstLineChars="200"/>
        <w:rPr>
          <w:rFonts w:hAnsi="宋体" w:cs="宋体"/>
          <w:color w:val="000000"/>
          <w:szCs w:val="24"/>
        </w:rPr>
      </w:pPr>
      <w:r>
        <w:rPr>
          <w:rFonts w:hint="eastAsia" w:hAnsi="宋体" w:cs="宋体"/>
          <w:color w:val="000000"/>
        </w:rPr>
        <w:t>运营期生态恢复措施以保持和维持施工期结束时采取的措施为主，在管线上方设置标志，以防附近的各类施工活动对管线的破坏。定期检查管线及周边生态恢复情况，如发生管线老化，接口断裂，及时更换管线，以防管线泄漏破坏周边生态</w:t>
      </w:r>
      <w:r>
        <w:rPr>
          <w:rFonts w:hint="eastAsia" w:hAnsi="宋体" w:cs="宋体"/>
          <w:color w:val="000000"/>
          <w:szCs w:val="24"/>
        </w:rPr>
        <w:t>。</w:t>
      </w:r>
    </w:p>
    <w:p w14:paraId="6D672F6F">
      <w:pPr>
        <w:adjustRightInd w:val="0"/>
        <w:spacing w:line="460" w:lineRule="exact"/>
        <w:outlineLvl w:val="2"/>
        <w:rPr>
          <w:rFonts w:hAnsi="宋体" w:cs="宋体"/>
          <w:color w:val="000000"/>
          <w:szCs w:val="24"/>
        </w:rPr>
      </w:pPr>
      <w:r>
        <w:rPr>
          <w:rFonts w:hint="eastAsia" w:hAnsi="宋体" w:cs="宋体"/>
          <w:color w:val="000000"/>
          <w:szCs w:val="24"/>
        </w:rPr>
        <w:t>3.4.4 退役期环境影响因素分析</w:t>
      </w:r>
    </w:p>
    <w:p w14:paraId="5843F7D1">
      <w:pPr>
        <w:spacing w:line="460" w:lineRule="exact"/>
        <w:outlineLvl w:val="3"/>
        <w:rPr>
          <w:rFonts w:hint="eastAsia"/>
          <w:color w:val="000000"/>
          <w:szCs w:val="24"/>
        </w:rPr>
      </w:pPr>
      <w:r>
        <w:rPr>
          <w:rFonts w:hint="eastAsia" w:hAnsi="宋体" w:cs="宋体"/>
          <w:color w:val="000000"/>
          <w:szCs w:val="24"/>
        </w:rPr>
        <w:t>3.4.6.</w:t>
      </w:r>
      <w:r>
        <w:rPr>
          <w:rFonts w:hint="eastAsia"/>
          <w:color w:val="000000"/>
          <w:szCs w:val="24"/>
        </w:rPr>
        <w:t>1 退役期环境空气保护措施</w:t>
      </w:r>
    </w:p>
    <w:p w14:paraId="5B9B6D99">
      <w:pPr>
        <w:spacing w:line="460" w:lineRule="exact"/>
        <w:ind w:firstLine="526" w:firstLineChars="200"/>
        <w:rPr>
          <w:rFonts w:hint="eastAsia" w:hAnsi="宋体" w:cs="宋体"/>
          <w:color w:val="000000"/>
          <w:szCs w:val="24"/>
        </w:rPr>
      </w:pPr>
      <w:r>
        <w:rPr>
          <w:rFonts w:hint="eastAsia" w:hAnsi="宋体" w:cs="宋体"/>
          <w:color w:val="000000"/>
        </w:rPr>
        <w:t>退役期无废气产生</w:t>
      </w:r>
      <w:r>
        <w:rPr>
          <w:rFonts w:hint="eastAsia" w:hAnsi="宋体" w:cs="宋体"/>
          <w:color w:val="000000"/>
          <w:szCs w:val="24"/>
        </w:rPr>
        <w:t>。</w:t>
      </w:r>
    </w:p>
    <w:p w14:paraId="368BF356">
      <w:pPr>
        <w:spacing w:line="460" w:lineRule="exact"/>
        <w:outlineLvl w:val="3"/>
        <w:rPr>
          <w:rFonts w:hint="eastAsia" w:hAnsi="宋体" w:cs="宋体"/>
          <w:color w:val="000000"/>
          <w:szCs w:val="24"/>
        </w:rPr>
      </w:pPr>
      <w:r>
        <w:rPr>
          <w:rFonts w:hint="eastAsia" w:hAnsi="宋体" w:cs="宋体"/>
          <w:color w:val="000000"/>
          <w:szCs w:val="24"/>
        </w:rPr>
        <w:t>3.4.6.2 退役期水环境污染防治措施</w:t>
      </w:r>
    </w:p>
    <w:p w14:paraId="4EC8EC51">
      <w:pPr>
        <w:spacing w:line="460" w:lineRule="exact"/>
        <w:ind w:firstLine="526" w:firstLineChars="200"/>
        <w:rPr>
          <w:rFonts w:hint="eastAsia"/>
          <w:color w:val="000000"/>
          <w:szCs w:val="24"/>
        </w:rPr>
      </w:pPr>
      <w:r>
        <w:rPr>
          <w:rFonts w:hint="eastAsia" w:hAnsi="宋体"/>
          <w:color w:val="000000"/>
          <w:szCs w:val="24"/>
        </w:rPr>
        <w:t>退役期废弃管道清洗废水依托塔三联合站处理</w:t>
      </w:r>
      <w:r>
        <w:rPr>
          <w:rFonts w:hint="eastAsia"/>
          <w:color w:val="000000"/>
          <w:szCs w:val="24"/>
        </w:rPr>
        <w:t>。</w:t>
      </w:r>
    </w:p>
    <w:p w14:paraId="1D6B1BDF">
      <w:pPr>
        <w:spacing w:line="460" w:lineRule="exact"/>
        <w:outlineLvl w:val="3"/>
        <w:rPr>
          <w:rFonts w:hint="eastAsia" w:hAnsi="宋体" w:cs="宋体"/>
          <w:color w:val="000000"/>
          <w:szCs w:val="24"/>
        </w:rPr>
      </w:pPr>
      <w:r>
        <w:rPr>
          <w:rFonts w:hint="eastAsia" w:hAnsi="宋体" w:cs="宋体"/>
          <w:color w:val="000000"/>
          <w:szCs w:val="24"/>
        </w:rPr>
        <w:t>3.4.6.3 退役期噪声防治措施</w:t>
      </w:r>
    </w:p>
    <w:p w14:paraId="24CA0C8F">
      <w:pPr>
        <w:spacing w:line="460" w:lineRule="exact"/>
        <w:ind w:firstLine="526" w:firstLineChars="200"/>
        <w:rPr>
          <w:rFonts w:hint="eastAsia"/>
          <w:color w:val="000000"/>
          <w:szCs w:val="24"/>
        </w:rPr>
      </w:pPr>
      <w:r>
        <w:rPr>
          <w:rFonts w:hint="eastAsia"/>
          <w:color w:val="000000"/>
          <w:szCs w:val="24"/>
        </w:rPr>
        <w:t>拟建工程退役期无噪声产生。</w:t>
      </w:r>
    </w:p>
    <w:p w14:paraId="3425CAED">
      <w:pPr>
        <w:spacing w:line="480" w:lineRule="exact"/>
        <w:outlineLvl w:val="3"/>
        <w:rPr>
          <w:rFonts w:hint="eastAsia" w:hAnsi="宋体" w:cs="宋体"/>
          <w:color w:val="000000"/>
          <w:szCs w:val="24"/>
        </w:rPr>
      </w:pPr>
      <w:r>
        <w:rPr>
          <w:rFonts w:hint="eastAsia" w:hAnsi="宋体" w:cs="宋体"/>
          <w:color w:val="000000"/>
          <w:szCs w:val="24"/>
        </w:rPr>
        <w:t>3.4.6.4 退役期固体废物处置措施</w:t>
      </w:r>
    </w:p>
    <w:p w14:paraId="39E23908">
      <w:pPr>
        <w:topLinePunct/>
        <w:ind w:firstLine="526" w:firstLineChars="200"/>
        <w:rPr>
          <w:rFonts w:hint="eastAsia"/>
          <w:color w:val="000000"/>
          <w:szCs w:val="24"/>
        </w:rPr>
      </w:pPr>
      <w:r>
        <w:rPr>
          <w:rFonts w:hint="eastAsia"/>
          <w:color w:val="000000"/>
        </w:rPr>
        <w:t>退役期废弃管线维持现状，避免因开挖管线对区域生态环境造成二次破坏，管线内物质清洗干净后，管线两端使用盲板封堵</w:t>
      </w:r>
      <w:r>
        <w:rPr>
          <w:rFonts w:hint="eastAsia"/>
          <w:color w:val="000000"/>
          <w:szCs w:val="24"/>
        </w:rPr>
        <w:t>。</w:t>
      </w:r>
    </w:p>
    <w:p w14:paraId="3966D2A4">
      <w:pPr>
        <w:spacing w:line="480" w:lineRule="exact"/>
        <w:outlineLvl w:val="3"/>
        <w:rPr>
          <w:rFonts w:hint="eastAsia"/>
          <w:color w:val="000000"/>
          <w:szCs w:val="24"/>
        </w:rPr>
      </w:pPr>
      <w:r>
        <w:rPr>
          <w:rFonts w:hint="eastAsia" w:hAnsi="宋体" w:cs="宋体"/>
          <w:color w:val="000000"/>
          <w:szCs w:val="24"/>
        </w:rPr>
        <w:t>3.4.6.</w:t>
      </w:r>
      <w:r>
        <w:rPr>
          <w:rFonts w:hint="eastAsia"/>
          <w:color w:val="000000"/>
          <w:szCs w:val="24"/>
        </w:rPr>
        <w:t>5 退役期生态恢复措施</w:t>
      </w:r>
    </w:p>
    <w:p w14:paraId="5A392375">
      <w:pPr>
        <w:topLinePunct/>
        <w:spacing w:line="460" w:lineRule="exact"/>
        <w:ind w:firstLine="526" w:firstLineChars="200"/>
        <w:rPr>
          <w:rFonts w:hAnsi="宋体" w:cs="宋体"/>
          <w:color w:val="000000"/>
          <w:szCs w:val="24"/>
        </w:rPr>
      </w:pPr>
      <w:r>
        <w:rPr>
          <w:rFonts w:hint="eastAsia" w:hAnsi="宋体"/>
          <w:color w:val="000000"/>
          <w:szCs w:val="24"/>
        </w:rPr>
        <w:t>油气田进行开采后期，油气储量逐渐下降，最终进入退役期，退役期采取的生态恢复措施为：废弃埋地管线维持现状，避免因开挖管线对区域生态环境造成二次破坏，管线内物质应清洗干净，管线两端使用盲板封堵；地上管线分段拆卸后拉运至库房存放，以备后续使用。</w:t>
      </w:r>
    </w:p>
    <w:p w14:paraId="5648C57F">
      <w:pPr>
        <w:adjustRightInd w:val="0"/>
        <w:spacing w:line="480" w:lineRule="exact"/>
        <w:outlineLvl w:val="2"/>
        <w:rPr>
          <w:rFonts w:hAnsi="宋体" w:cs="宋体"/>
          <w:color w:val="000000"/>
          <w:szCs w:val="24"/>
        </w:rPr>
      </w:pPr>
      <w:r>
        <w:rPr>
          <w:rFonts w:hint="eastAsia" w:hAnsi="宋体" w:cs="宋体"/>
          <w:color w:val="000000"/>
          <w:szCs w:val="24"/>
        </w:rPr>
        <w:t>3.4.5 非正常排放</w:t>
      </w:r>
    </w:p>
    <w:p w14:paraId="1B4AE263">
      <w:pPr>
        <w:spacing w:line="480" w:lineRule="exact"/>
        <w:ind w:firstLine="526" w:firstLineChars="200"/>
        <w:rPr>
          <w:rFonts w:hint="eastAsia" w:hAnsi="宋体"/>
          <w:color w:val="000000"/>
          <w:szCs w:val="24"/>
        </w:rPr>
      </w:pPr>
      <w:r>
        <w:rPr>
          <w:color w:val="000000"/>
        </w:rPr>
        <w:t>非正常排放指生产过程中开停车(工、炉)、设备检修、工艺设备运转异常等非正常工况下的污染物排放，</w:t>
      </w:r>
      <w:r>
        <w:rPr>
          <w:rFonts w:hint="eastAsia"/>
          <w:color w:val="000000"/>
        </w:rPr>
        <w:t>拟建工程</w:t>
      </w:r>
      <w:r>
        <w:rPr>
          <w:color w:val="000000"/>
        </w:rPr>
        <w:t>主要建设集输管线，不涉及开停车(工、炉)、设备检修、工艺设备运转异常等非正常工况下的污染物排放</w:t>
      </w:r>
      <w:r>
        <w:rPr>
          <w:rFonts w:hint="eastAsia" w:hAnsi="宋体"/>
          <w:color w:val="000000"/>
          <w:szCs w:val="24"/>
        </w:rPr>
        <w:t>。</w:t>
      </w:r>
    </w:p>
    <w:p w14:paraId="6E442C90">
      <w:pPr>
        <w:spacing w:line="480" w:lineRule="exact"/>
        <w:outlineLvl w:val="2"/>
        <w:rPr>
          <w:rFonts w:hAnsi="宋体" w:cs="宋体"/>
          <w:color w:val="000000"/>
          <w:szCs w:val="24"/>
        </w:rPr>
      </w:pPr>
      <w:r>
        <w:rPr>
          <w:rFonts w:hint="eastAsia" w:hAnsi="宋体" w:cs="宋体"/>
          <w:color w:val="000000"/>
          <w:szCs w:val="24"/>
        </w:rPr>
        <w:t>3.4.6 清洁生产分析</w:t>
      </w:r>
    </w:p>
    <w:p w14:paraId="0F66302C">
      <w:pPr>
        <w:pStyle w:val="98"/>
        <w:snapToGrid/>
        <w:spacing w:line="240" w:lineRule="auto"/>
        <w:ind w:firstLine="527"/>
        <w:rPr>
          <w:rFonts w:hint="eastAsia" w:hAnsi="宋体" w:cs="宋体"/>
          <w:szCs w:val="24"/>
        </w:rPr>
      </w:pPr>
      <w:r>
        <w:rPr>
          <w:rFonts w:hint="eastAsia" w:hAnsi="宋体" w:cs="宋体"/>
          <w:szCs w:val="24"/>
        </w:rPr>
        <w:t>（1）集输及处理清洁生产工艺</w:t>
      </w:r>
    </w:p>
    <w:p w14:paraId="533E0640">
      <w:pPr>
        <w:pStyle w:val="98"/>
        <w:snapToGrid/>
        <w:spacing w:line="480" w:lineRule="exact"/>
        <w:ind w:firstLine="527"/>
        <w:rPr>
          <w:rFonts w:hint="eastAsia" w:hAnsi="宋体" w:cs="宋体"/>
          <w:szCs w:val="24"/>
        </w:rPr>
      </w:pPr>
      <w:r>
        <w:rPr>
          <w:rFonts w:hint="eastAsia" w:hAnsi="宋体" w:cs="宋体"/>
          <w:szCs w:val="24"/>
        </w:rPr>
        <w:t>①拟建项目所在区块具备完善的油气集输管网，最终进入塔三联合站集中处理，全过程密闭集输，降低损耗，减少烃类物质的挥发量。</w:t>
      </w:r>
    </w:p>
    <w:p w14:paraId="0B4FC43A">
      <w:pPr>
        <w:pStyle w:val="98"/>
        <w:snapToGrid/>
        <w:spacing w:line="460" w:lineRule="exact"/>
        <w:ind w:firstLine="527"/>
        <w:rPr>
          <w:rFonts w:hint="eastAsia" w:hAnsi="宋体" w:cs="宋体"/>
          <w:szCs w:val="24"/>
        </w:rPr>
      </w:pPr>
      <w:r>
        <w:rPr>
          <w:rFonts w:hint="eastAsia" w:hAnsi="宋体" w:cs="宋体"/>
          <w:szCs w:val="24"/>
        </w:rPr>
        <w:t>②采用全自动控制系统对主要集输工艺参数进行控制，能够提高管理水平，尽量简化工艺过程，减少操作人员，同时使集输系统的安全性、可靠性得到保证，实现集输生产过程少放空，减少天然气燃烧对环境的污染。</w:t>
      </w:r>
    </w:p>
    <w:p w14:paraId="56DA31E5">
      <w:pPr>
        <w:pStyle w:val="98"/>
        <w:snapToGrid/>
        <w:spacing w:line="460" w:lineRule="exact"/>
        <w:ind w:firstLine="527"/>
        <w:rPr>
          <w:rFonts w:hint="eastAsia" w:hAnsi="宋体" w:cs="宋体"/>
          <w:szCs w:val="24"/>
        </w:rPr>
      </w:pPr>
      <w:r>
        <w:rPr>
          <w:rFonts w:hint="eastAsia" w:hAnsi="宋体" w:cs="宋体"/>
          <w:szCs w:val="24"/>
        </w:rPr>
        <w:t>③对施工中的运输车辆采取防渗漏、防溢流和防散落措施。</w:t>
      </w:r>
    </w:p>
    <w:p w14:paraId="495D857D">
      <w:pPr>
        <w:pStyle w:val="98"/>
        <w:snapToGrid/>
        <w:spacing w:line="240" w:lineRule="auto"/>
        <w:ind w:firstLine="527"/>
        <w:rPr>
          <w:rFonts w:hint="eastAsia" w:hAnsi="宋体" w:cs="宋体"/>
          <w:szCs w:val="24"/>
        </w:rPr>
      </w:pPr>
      <w:r>
        <w:rPr>
          <w:rFonts w:hint="eastAsia" w:hAnsi="宋体" w:cs="宋体"/>
          <w:szCs w:val="24"/>
        </w:rPr>
        <w:t>④优化布局，减少建设用地。为了尽量减少对当地地形地貌的破坏和扰动，充分利用已建道路解决道路交通问题。按工艺流程进行优化组合，布置紧凑。管线、水、电、道路等沿地表自然走向敷设，最大限度地减少了对自然环境和景观的破坏，土方量也大大减少。</w:t>
      </w:r>
    </w:p>
    <w:p w14:paraId="402D4A2E">
      <w:pPr>
        <w:pStyle w:val="98"/>
        <w:snapToGrid/>
        <w:spacing w:line="240" w:lineRule="auto"/>
        <w:ind w:firstLine="527"/>
        <w:rPr>
          <w:rFonts w:hint="eastAsia" w:hAnsi="宋体" w:cs="宋体"/>
          <w:szCs w:val="24"/>
        </w:rPr>
      </w:pPr>
      <w:r>
        <w:rPr>
          <w:rFonts w:hint="eastAsia" w:hAnsi="宋体" w:cs="宋体"/>
          <w:szCs w:val="24"/>
        </w:rPr>
        <w:t>（2）节能及其它清洁生产措施分析</w:t>
      </w:r>
    </w:p>
    <w:p w14:paraId="48A46B2F">
      <w:pPr>
        <w:pStyle w:val="98"/>
        <w:snapToGrid/>
        <w:spacing w:line="240" w:lineRule="auto"/>
        <w:ind w:firstLine="527"/>
        <w:rPr>
          <w:rFonts w:hint="eastAsia" w:hAnsi="宋体" w:cs="宋体"/>
          <w:szCs w:val="24"/>
        </w:rPr>
      </w:pPr>
      <w:r>
        <w:rPr>
          <w:rFonts w:hint="eastAsia" w:hAnsi="宋体" w:cs="宋体"/>
          <w:szCs w:val="24"/>
        </w:rPr>
        <w:t>①优化简化单井集输管网，降低生产运行时间；</w:t>
      </w:r>
    </w:p>
    <w:p w14:paraId="6EAE01A0">
      <w:pPr>
        <w:pStyle w:val="98"/>
        <w:snapToGrid/>
        <w:spacing w:line="240" w:lineRule="auto"/>
        <w:ind w:firstLine="527"/>
        <w:rPr>
          <w:rFonts w:hint="eastAsia" w:hAnsi="宋体" w:cs="宋体"/>
          <w:szCs w:val="24"/>
        </w:rPr>
      </w:pPr>
      <w:r>
        <w:rPr>
          <w:rFonts w:hint="eastAsia" w:hAnsi="宋体" w:cs="宋体"/>
          <w:szCs w:val="24"/>
        </w:rPr>
        <w:t>②管线均进行保温，减少热量损失；</w:t>
      </w:r>
    </w:p>
    <w:p w14:paraId="4D3EA423">
      <w:pPr>
        <w:pStyle w:val="98"/>
        <w:snapToGrid/>
        <w:spacing w:line="240" w:lineRule="auto"/>
        <w:ind w:firstLine="527"/>
        <w:rPr>
          <w:rFonts w:hint="eastAsia" w:hAnsi="宋体" w:cs="宋体"/>
          <w:sz w:val="25"/>
          <w:szCs w:val="25"/>
        </w:rPr>
      </w:pPr>
      <w:r>
        <w:rPr>
          <w:rFonts w:hint="eastAsia" w:hAnsi="宋体" w:cs="宋体"/>
          <w:szCs w:val="24"/>
        </w:rPr>
        <w:t>（3）建立有效的环境管理制度</w:t>
      </w:r>
    </w:p>
    <w:p w14:paraId="3B987CBF">
      <w:pPr>
        <w:spacing w:line="480" w:lineRule="exact"/>
        <w:ind w:firstLine="526" w:firstLineChars="200"/>
        <w:rPr>
          <w:rFonts w:hint="eastAsia" w:hAnsi="宋体" w:cs="宋体"/>
          <w:color w:val="000000"/>
          <w:szCs w:val="24"/>
        </w:rPr>
      </w:pPr>
      <w:r>
        <w:rPr>
          <w:rFonts w:hint="eastAsia" w:hAnsi="宋体" w:cs="宋体"/>
          <w:color w:val="000000"/>
          <w:szCs w:val="24"/>
        </w:rPr>
        <w:t>拟建工程将环境管理和环境监测纳入油田</w:t>
      </w:r>
      <w:r>
        <w:rPr>
          <w:rFonts w:hint="eastAsia" w:hAnsi="宋体" w:cs="宋体"/>
          <w:color w:val="000000"/>
          <w:szCs w:val="24"/>
          <w:lang w:val="en-US" w:eastAsia="zh-CN"/>
        </w:rPr>
        <w:t>生态环境</w:t>
      </w:r>
      <w:r>
        <w:rPr>
          <w:rFonts w:hint="eastAsia" w:hAnsi="宋体" w:cs="宋体"/>
          <w:color w:val="000000"/>
          <w:szCs w:val="24"/>
        </w:rPr>
        <w:t>部门负责，采用QHSE管理模式，注重对员工进行培训，使员工自觉遵守QHSE管理要求，保护自身的安全和健康。为减少和杜绝环境污染事故的发生，建立、健全管理规章制度，制订了详细的污染控制计划和实施方案，责任到人，指标到岗，实施监督。</w:t>
      </w:r>
    </w:p>
    <w:p w14:paraId="427DA424">
      <w:pPr>
        <w:spacing w:line="460" w:lineRule="exact"/>
        <w:ind w:firstLine="526" w:firstLineChars="200"/>
        <w:rPr>
          <w:rFonts w:hint="eastAsia" w:hAnsi="宋体" w:cs="宋体"/>
          <w:color w:val="000000"/>
          <w:szCs w:val="24"/>
        </w:rPr>
      </w:pPr>
      <w:r>
        <w:rPr>
          <w:rFonts w:hint="eastAsia" w:hAnsi="宋体" w:cs="宋体"/>
          <w:color w:val="000000"/>
          <w:szCs w:val="24"/>
        </w:rPr>
        <w:t>（4）清洁生产结论</w:t>
      </w:r>
    </w:p>
    <w:p w14:paraId="470110C3">
      <w:pPr>
        <w:pStyle w:val="47"/>
        <w:spacing w:line="460" w:lineRule="exact"/>
        <w:ind w:left="0" w:leftChars="0" w:firstLine="554" w:firstLineChars="200"/>
        <w:rPr>
          <w:rFonts w:hint="eastAsia"/>
          <w:color w:val="000000"/>
        </w:rPr>
      </w:pPr>
      <w:r>
        <w:rPr>
          <w:rFonts w:hint="eastAsia" w:hAnsi="宋体" w:cs="宋体"/>
          <w:color w:val="000000"/>
          <w:szCs w:val="24"/>
        </w:rPr>
        <w:t>根据综合分析和类比已开发区块，</w:t>
      </w:r>
      <w:r>
        <w:rPr>
          <w:rFonts w:hint="eastAsia" w:hAnsi="宋体"/>
          <w:color w:val="000000"/>
          <w:szCs w:val="24"/>
        </w:rPr>
        <w:t>拟建工程</w:t>
      </w:r>
      <w:r>
        <w:rPr>
          <w:rFonts w:hint="eastAsia" w:hAnsi="宋体" w:cs="宋体"/>
          <w:color w:val="000000"/>
          <w:szCs w:val="24"/>
        </w:rPr>
        <w:t>严格执行各类环境保护、节能降耗措施后，整体可达到清洁生产先进企业水平。</w:t>
      </w:r>
    </w:p>
    <w:p w14:paraId="5D6E395D">
      <w:pPr>
        <w:spacing w:line="460" w:lineRule="exact"/>
        <w:outlineLvl w:val="2"/>
        <w:rPr>
          <w:rFonts w:hAnsi="宋体" w:cs="宋体"/>
          <w:color w:val="000000"/>
          <w:szCs w:val="24"/>
        </w:rPr>
      </w:pPr>
      <w:bookmarkStart w:id="117" w:name="_Toc30202"/>
      <w:r>
        <w:rPr>
          <w:rFonts w:hint="eastAsia" w:hAnsi="宋体" w:cs="宋体"/>
          <w:color w:val="000000"/>
          <w:szCs w:val="24"/>
        </w:rPr>
        <w:t>3.4.7 污染物排放“三本账”</w:t>
      </w:r>
    </w:p>
    <w:p w14:paraId="45FCC518">
      <w:pPr>
        <w:spacing w:line="460" w:lineRule="exact"/>
        <w:ind w:firstLine="526" w:firstLineChars="200"/>
        <w:rPr>
          <w:rFonts w:hint="eastAsia" w:hAnsi="宋体" w:cs="宋体"/>
          <w:color w:val="000000"/>
          <w:szCs w:val="24"/>
        </w:rPr>
      </w:pPr>
      <w:r>
        <w:rPr>
          <w:rFonts w:hint="eastAsia" w:hAnsi="宋体" w:cs="宋体"/>
          <w:color w:val="000000"/>
          <w:szCs w:val="24"/>
        </w:rPr>
        <w:t>拟建工程运营期无废气、废水、噪声、固体废物产生，拟建工程实施后塔中Ⅰ号气田Ⅲ区</w:t>
      </w:r>
      <w:r>
        <w:rPr>
          <w:rFonts w:hint="eastAsia" w:ascii="Times New Roman"/>
          <w:color w:val="000000"/>
          <w:kern w:val="0"/>
          <w:szCs w:val="24"/>
          <w:lang w:bidi="ar"/>
        </w:rPr>
        <w:t>“</w:t>
      </w:r>
      <w:r>
        <w:rPr>
          <w:rFonts w:hint="eastAsia" w:hAnsi="宋体" w:cs="宋体"/>
          <w:color w:val="000000"/>
          <w:kern w:val="0"/>
          <w:szCs w:val="24"/>
          <w:lang w:bidi="ar"/>
        </w:rPr>
        <w:t>三本账</w:t>
      </w:r>
      <w:r>
        <w:rPr>
          <w:rFonts w:hint="eastAsia" w:ascii="Times New Roman"/>
          <w:color w:val="000000"/>
          <w:kern w:val="0"/>
          <w:szCs w:val="24"/>
          <w:lang w:bidi="ar"/>
        </w:rPr>
        <w:t>”</w:t>
      </w:r>
      <w:r>
        <w:rPr>
          <w:rFonts w:hint="eastAsia" w:hAnsi="宋体" w:cs="宋体"/>
          <w:color w:val="000000"/>
          <w:kern w:val="0"/>
          <w:szCs w:val="24"/>
          <w:lang w:bidi="ar"/>
        </w:rPr>
        <w:t>的情况</w:t>
      </w:r>
      <w:r>
        <w:rPr>
          <w:rFonts w:hint="eastAsia" w:hAnsi="宋体" w:cs="宋体"/>
          <w:color w:val="000000"/>
          <w:szCs w:val="24"/>
        </w:rPr>
        <w:t>见表3.4-2。</w:t>
      </w:r>
    </w:p>
    <w:p w14:paraId="494ADACB">
      <w:pPr>
        <w:spacing w:line="460" w:lineRule="exact"/>
        <w:ind w:firstLine="518" w:firstLineChars="200"/>
        <w:rPr>
          <w:rFonts w:hint="eastAsia" w:ascii="黑体" w:hAnsi="黑体" w:eastAsia="黑体" w:cs="宋体"/>
          <w:color w:val="000000"/>
          <w:spacing w:val="3"/>
          <w:szCs w:val="24"/>
        </w:rPr>
      </w:pPr>
      <w:r>
        <w:rPr>
          <w:rFonts w:hint="eastAsia" w:ascii="黑体" w:hAnsi="黑体" w:eastAsia="黑体" w:cs="宋体"/>
          <w:color w:val="000000"/>
          <w:spacing w:val="3"/>
          <w:szCs w:val="24"/>
        </w:rPr>
        <w:t xml:space="preserve">表3.4-2      </w:t>
      </w:r>
      <w:r>
        <w:rPr>
          <w:rFonts w:hint="eastAsia" w:ascii="黑体" w:hAnsi="黑体" w:eastAsia="黑体" w:cs="黑体"/>
          <w:color w:val="000000"/>
          <w:spacing w:val="3"/>
          <w:szCs w:val="24"/>
          <w:lang w:val="zh-CN"/>
        </w:rPr>
        <w:t>拟建工程实施后“三本账”情况一览表</w:t>
      </w:r>
      <w:r>
        <w:rPr>
          <w:rFonts w:hint="eastAsia" w:ascii="黑体" w:hAnsi="黑体" w:eastAsia="黑体" w:cs="宋体"/>
          <w:color w:val="000000"/>
          <w:spacing w:val="3"/>
          <w:szCs w:val="24"/>
          <w:lang w:val="zh-CN"/>
        </w:rPr>
        <w:t xml:space="preserve"> </w:t>
      </w:r>
      <w:r>
        <w:rPr>
          <w:rFonts w:hint="eastAsia" w:ascii="黑体" w:hAnsi="黑体" w:eastAsia="黑体" w:cs="宋体"/>
          <w:color w:val="000000"/>
          <w:spacing w:val="3"/>
          <w:szCs w:val="24"/>
        </w:rPr>
        <w:t xml:space="preserve">        单位：t/a</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2275"/>
        <w:gridCol w:w="1097"/>
        <w:gridCol w:w="1096"/>
        <w:gridCol w:w="1096"/>
        <w:gridCol w:w="1096"/>
        <w:gridCol w:w="1115"/>
        <w:gridCol w:w="622"/>
        <w:gridCol w:w="613"/>
      </w:tblGrid>
      <w:tr w14:paraId="5F7305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vMerge w:val="restart"/>
            <w:tcMar>
              <w:left w:w="28" w:type="dxa"/>
              <w:right w:w="28" w:type="dxa"/>
            </w:tcMar>
            <w:vAlign w:val="center"/>
          </w:tcPr>
          <w:p w14:paraId="0070139D">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类别</w:t>
            </w:r>
          </w:p>
        </w:tc>
        <w:tc>
          <w:tcPr>
            <w:tcW w:w="3052" w:type="pct"/>
            <w:gridSpan w:val="5"/>
            <w:tcMar>
              <w:left w:w="28" w:type="dxa"/>
              <w:right w:w="28" w:type="dxa"/>
            </w:tcMar>
            <w:vAlign w:val="center"/>
          </w:tcPr>
          <w:p w14:paraId="6E6B1176">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废气</w:t>
            </w:r>
          </w:p>
        </w:tc>
        <w:tc>
          <w:tcPr>
            <w:tcW w:w="345" w:type="pct"/>
            <w:vMerge w:val="restart"/>
            <w:tcMar>
              <w:left w:w="28" w:type="dxa"/>
              <w:right w:w="28" w:type="dxa"/>
            </w:tcMar>
            <w:vAlign w:val="center"/>
          </w:tcPr>
          <w:p w14:paraId="5A83D5FF">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废水</w:t>
            </w:r>
          </w:p>
        </w:tc>
        <w:tc>
          <w:tcPr>
            <w:tcW w:w="340" w:type="pct"/>
            <w:vMerge w:val="restart"/>
            <w:tcMar>
              <w:left w:w="28" w:type="dxa"/>
              <w:right w:w="28" w:type="dxa"/>
            </w:tcMar>
            <w:vAlign w:val="center"/>
          </w:tcPr>
          <w:p w14:paraId="3D4AD72F">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固废</w:t>
            </w:r>
          </w:p>
        </w:tc>
      </w:tr>
      <w:tr w14:paraId="59E5D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vMerge w:val="continue"/>
            <w:tcMar>
              <w:left w:w="28" w:type="dxa"/>
              <w:right w:w="28" w:type="dxa"/>
            </w:tcMar>
            <w:vAlign w:val="center"/>
          </w:tcPr>
          <w:p w14:paraId="3E396569">
            <w:pPr>
              <w:pStyle w:val="45"/>
              <w:widowControl w:val="0"/>
              <w:spacing w:beforeAutospacing="0" w:afterAutospacing="0" w:line="0" w:lineRule="atLeast"/>
              <w:jc w:val="center"/>
              <w:rPr>
                <w:rFonts w:hint="eastAsia"/>
                <w:color w:val="000000"/>
                <w:spacing w:val="-10"/>
                <w:kern w:val="2"/>
                <w:sz w:val="21"/>
                <w:szCs w:val="21"/>
              </w:rPr>
            </w:pPr>
          </w:p>
        </w:tc>
        <w:tc>
          <w:tcPr>
            <w:tcW w:w="609" w:type="pct"/>
            <w:tcMar>
              <w:left w:w="28" w:type="dxa"/>
              <w:right w:w="28" w:type="dxa"/>
            </w:tcMar>
            <w:vAlign w:val="center"/>
          </w:tcPr>
          <w:p w14:paraId="18882A0F">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颗粒物</w:t>
            </w:r>
          </w:p>
        </w:tc>
        <w:tc>
          <w:tcPr>
            <w:tcW w:w="608" w:type="pct"/>
            <w:tcMar>
              <w:left w:w="28" w:type="dxa"/>
              <w:right w:w="28" w:type="dxa"/>
            </w:tcMar>
            <w:vAlign w:val="center"/>
          </w:tcPr>
          <w:p w14:paraId="00DB9659">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二氧化硫</w:t>
            </w:r>
          </w:p>
        </w:tc>
        <w:tc>
          <w:tcPr>
            <w:tcW w:w="608" w:type="pct"/>
            <w:tcMar>
              <w:left w:w="28" w:type="dxa"/>
              <w:right w:w="28" w:type="dxa"/>
            </w:tcMar>
            <w:vAlign w:val="center"/>
          </w:tcPr>
          <w:p w14:paraId="5CEF8D52">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氮氧化物</w:t>
            </w:r>
          </w:p>
        </w:tc>
        <w:tc>
          <w:tcPr>
            <w:tcW w:w="608" w:type="pct"/>
            <w:tcMar>
              <w:left w:w="28" w:type="dxa"/>
              <w:right w:w="28" w:type="dxa"/>
            </w:tcMar>
            <w:vAlign w:val="center"/>
          </w:tcPr>
          <w:p w14:paraId="0A8955BA">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非甲烷总烃</w:t>
            </w:r>
          </w:p>
        </w:tc>
        <w:tc>
          <w:tcPr>
            <w:tcW w:w="617" w:type="pct"/>
            <w:tcMar>
              <w:left w:w="28" w:type="dxa"/>
              <w:right w:w="28" w:type="dxa"/>
            </w:tcMar>
            <w:vAlign w:val="center"/>
          </w:tcPr>
          <w:p w14:paraId="4DEACAAC">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硫化氢</w:t>
            </w:r>
          </w:p>
        </w:tc>
        <w:tc>
          <w:tcPr>
            <w:tcW w:w="345" w:type="pct"/>
            <w:vMerge w:val="continue"/>
            <w:tcMar>
              <w:left w:w="28" w:type="dxa"/>
              <w:right w:w="28" w:type="dxa"/>
            </w:tcMar>
            <w:vAlign w:val="center"/>
          </w:tcPr>
          <w:p w14:paraId="4BB40BCE">
            <w:pPr>
              <w:pStyle w:val="45"/>
              <w:widowControl w:val="0"/>
              <w:spacing w:beforeAutospacing="0" w:afterAutospacing="0" w:line="0" w:lineRule="atLeast"/>
              <w:jc w:val="center"/>
              <w:rPr>
                <w:rFonts w:hint="eastAsia"/>
                <w:color w:val="000000"/>
                <w:spacing w:val="-10"/>
                <w:kern w:val="2"/>
                <w:sz w:val="21"/>
                <w:szCs w:val="21"/>
              </w:rPr>
            </w:pPr>
          </w:p>
        </w:tc>
        <w:tc>
          <w:tcPr>
            <w:tcW w:w="340" w:type="pct"/>
            <w:vMerge w:val="continue"/>
            <w:tcMar>
              <w:left w:w="28" w:type="dxa"/>
              <w:right w:w="28" w:type="dxa"/>
            </w:tcMar>
            <w:vAlign w:val="center"/>
          </w:tcPr>
          <w:p w14:paraId="01B49013">
            <w:pPr>
              <w:pStyle w:val="45"/>
              <w:widowControl w:val="0"/>
              <w:spacing w:beforeAutospacing="0" w:afterAutospacing="0" w:line="0" w:lineRule="atLeast"/>
              <w:jc w:val="center"/>
              <w:rPr>
                <w:rFonts w:hint="eastAsia"/>
                <w:color w:val="000000"/>
                <w:spacing w:val="-10"/>
                <w:kern w:val="2"/>
                <w:sz w:val="21"/>
                <w:szCs w:val="21"/>
              </w:rPr>
            </w:pPr>
          </w:p>
        </w:tc>
      </w:tr>
      <w:tr w14:paraId="04E75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tcMar>
              <w:left w:w="28" w:type="dxa"/>
              <w:right w:w="28" w:type="dxa"/>
            </w:tcMar>
            <w:vAlign w:val="center"/>
          </w:tcPr>
          <w:p w14:paraId="75393941">
            <w:pPr>
              <w:spacing w:line="0" w:lineRule="atLeast"/>
              <w:jc w:val="center"/>
              <w:rPr>
                <w:rFonts w:hint="eastAsia" w:hAnsi="宋体" w:cs="宋体"/>
                <w:bCs/>
                <w:color w:val="000000"/>
                <w:spacing w:val="-10"/>
                <w:sz w:val="21"/>
                <w:szCs w:val="21"/>
              </w:rPr>
            </w:pPr>
            <w:r>
              <w:rPr>
                <w:rFonts w:hint="eastAsia" w:hAnsi="宋体" w:cs="宋体"/>
                <w:bCs/>
                <w:color w:val="000000"/>
                <w:spacing w:val="-10"/>
                <w:sz w:val="21"/>
                <w:szCs w:val="21"/>
              </w:rPr>
              <w:t>塔中Ⅰ号气田Ⅲ区现有污染物排放量</w:t>
            </w:r>
          </w:p>
        </w:tc>
        <w:tc>
          <w:tcPr>
            <w:tcW w:w="609" w:type="pct"/>
            <w:tcMar>
              <w:left w:w="28" w:type="dxa"/>
              <w:right w:w="28" w:type="dxa"/>
            </w:tcMar>
            <w:vAlign w:val="center"/>
          </w:tcPr>
          <w:p w14:paraId="30C57CA2">
            <w:pPr>
              <w:pStyle w:val="45"/>
              <w:widowControl w:val="0"/>
              <w:spacing w:beforeAutospacing="0" w:afterAutospacing="0" w:line="0" w:lineRule="atLeast"/>
              <w:jc w:val="center"/>
              <w:rPr>
                <w:rFonts w:hint="eastAsia"/>
                <w:bCs/>
                <w:color w:val="000000"/>
                <w:spacing w:val="-10"/>
                <w:sz w:val="21"/>
                <w:szCs w:val="21"/>
              </w:rPr>
            </w:pPr>
            <w:r>
              <w:rPr>
                <w:rFonts w:hint="eastAsia"/>
                <w:color w:val="000000"/>
                <w:spacing w:val="-10"/>
                <w:kern w:val="2"/>
                <w:sz w:val="21"/>
                <w:szCs w:val="21"/>
              </w:rPr>
              <w:t>23.96</w:t>
            </w:r>
          </w:p>
        </w:tc>
        <w:tc>
          <w:tcPr>
            <w:tcW w:w="608" w:type="pct"/>
            <w:tcMar>
              <w:left w:w="28" w:type="dxa"/>
              <w:right w:w="28" w:type="dxa"/>
            </w:tcMar>
            <w:vAlign w:val="center"/>
          </w:tcPr>
          <w:p w14:paraId="7CC6AA71">
            <w:pPr>
              <w:pStyle w:val="45"/>
              <w:widowControl w:val="0"/>
              <w:spacing w:beforeAutospacing="0" w:afterAutospacing="0" w:line="0" w:lineRule="atLeast"/>
              <w:jc w:val="center"/>
              <w:rPr>
                <w:rFonts w:hint="eastAsia"/>
                <w:bCs/>
                <w:color w:val="000000"/>
                <w:spacing w:val="-10"/>
                <w:kern w:val="2"/>
                <w:sz w:val="21"/>
                <w:szCs w:val="21"/>
              </w:rPr>
            </w:pPr>
            <w:r>
              <w:rPr>
                <w:rFonts w:hint="eastAsia"/>
                <w:color w:val="000000"/>
                <w:spacing w:val="-10"/>
                <w:kern w:val="2"/>
                <w:sz w:val="21"/>
                <w:szCs w:val="21"/>
              </w:rPr>
              <w:t>11.58</w:t>
            </w:r>
          </w:p>
        </w:tc>
        <w:tc>
          <w:tcPr>
            <w:tcW w:w="608" w:type="pct"/>
            <w:tcMar>
              <w:left w:w="28" w:type="dxa"/>
              <w:right w:w="28" w:type="dxa"/>
            </w:tcMar>
            <w:vAlign w:val="center"/>
          </w:tcPr>
          <w:p w14:paraId="6E485DF5">
            <w:pPr>
              <w:pStyle w:val="45"/>
              <w:widowControl w:val="0"/>
              <w:spacing w:beforeAutospacing="0" w:afterAutospacing="0" w:line="0" w:lineRule="atLeast"/>
              <w:jc w:val="center"/>
              <w:rPr>
                <w:rFonts w:hint="eastAsia"/>
                <w:bCs/>
                <w:color w:val="000000"/>
                <w:spacing w:val="-10"/>
                <w:sz w:val="21"/>
                <w:szCs w:val="21"/>
              </w:rPr>
            </w:pPr>
            <w:r>
              <w:rPr>
                <w:rFonts w:hint="eastAsia"/>
                <w:color w:val="000000"/>
                <w:spacing w:val="-10"/>
                <w:kern w:val="2"/>
                <w:sz w:val="21"/>
                <w:szCs w:val="21"/>
              </w:rPr>
              <w:t>142.06</w:t>
            </w:r>
          </w:p>
        </w:tc>
        <w:tc>
          <w:tcPr>
            <w:tcW w:w="608" w:type="pct"/>
            <w:tcMar>
              <w:left w:w="28" w:type="dxa"/>
              <w:right w:w="28" w:type="dxa"/>
            </w:tcMar>
            <w:vAlign w:val="center"/>
          </w:tcPr>
          <w:p w14:paraId="7481BB41">
            <w:pPr>
              <w:pStyle w:val="45"/>
              <w:widowControl w:val="0"/>
              <w:spacing w:beforeAutospacing="0" w:afterAutospacing="0" w:line="0" w:lineRule="atLeast"/>
              <w:jc w:val="center"/>
              <w:rPr>
                <w:bCs/>
                <w:color w:val="000000"/>
                <w:spacing w:val="-10"/>
                <w:sz w:val="21"/>
                <w:szCs w:val="21"/>
              </w:rPr>
            </w:pPr>
            <w:r>
              <w:rPr>
                <w:rFonts w:hint="eastAsia"/>
                <w:color w:val="000000"/>
                <w:spacing w:val="-10"/>
                <w:kern w:val="2"/>
                <w:sz w:val="21"/>
                <w:szCs w:val="21"/>
              </w:rPr>
              <w:t>9.46</w:t>
            </w:r>
          </w:p>
        </w:tc>
        <w:tc>
          <w:tcPr>
            <w:tcW w:w="617" w:type="pct"/>
            <w:tcMar>
              <w:left w:w="28" w:type="dxa"/>
              <w:right w:w="28" w:type="dxa"/>
            </w:tcMar>
            <w:vAlign w:val="center"/>
          </w:tcPr>
          <w:p w14:paraId="0A80405A">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1.15</w:t>
            </w:r>
          </w:p>
        </w:tc>
        <w:tc>
          <w:tcPr>
            <w:tcW w:w="345" w:type="pct"/>
            <w:tcMar>
              <w:left w:w="28" w:type="dxa"/>
              <w:right w:w="28" w:type="dxa"/>
            </w:tcMar>
            <w:vAlign w:val="center"/>
          </w:tcPr>
          <w:p w14:paraId="3A3481A7">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c>
          <w:tcPr>
            <w:tcW w:w="340" w:type="pct"/>
            <w:tcMar>
              <w:left w:w="28" w:type="dxa"/>
              <w:right w:w="28" w:type="dxa"/>
            </w:tcMar>
            <w:vAlign w:val="center"/>
          </w:tcPr>
          <w:p w14:paraId="1B0058F5">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r>
      <w:tr w14:paraId="68BF03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tcMar>
              <w:left w:w="28" w:type="dxa"/>
              <w:right w:w="28" w:type="dxa"/>
            </w:tcMar>
            <w:vAlign w:val="center"/>
          </w:tcPr>
          <w:p w14:paraId="5B1093A7">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拟建工程新增排放量</w:t>
            </w:r>
          </w:p>
        </w:tc>
        <w:tc>
          <w:tcPr>
            <w:tcW w:w="609" w:type="pct"/>
            <w:tcMar>
              <w:left w:w="28" w:type="dxa"/>
              <w:right w:w="28" w:type="dxa"/>
            </w:tcMar>
            <w:vAlign w:val="center"/>
          </w:tcPr>
          <w:p w14:paraId="291002EE">
            <w:pPr>
              <w:spacing w:line="0" w:lineRule="atLeast"/>
              <w:jc w:val="center"/>
              <w:textAlignment w:val="center"/>
              <w:rPr>
                <w:rFonts w:hint="eastAsia"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3EEA18CA">
            <w:pPr>
              <w:spacing w:line="0" w:lineRule="atLeast"/>
              <w:jc w:val="center"/>
              <w:textAlignment w:val="center"/>
              <w:rPr>
                <w:rFonts w:hint="eastAsia"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79D45ACE">
            <w:pPr>
              <w:spacing w:line="0" w:lineRule="atLeast"/>
              <w:jc w:val="center"/>
              <w:textAlignment w:val="center"/>
              <w:rPr>
                <w:rFonts w:hint="eastAsia"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0A97F43E">
            <w:pPr>
              <w:spacing w:line="0" w:lineRule="atLeast"/>
              <w:jc w:val="center"/>
              <w:textAlignment w:val="center"/>
              <w:rPr>
                <w:rFonts w:hAnsi="宋体"/>
                <w:color w:val="000000"/>
                <w:spacing w:val="-10"/>
                <w:sz w:val="21"/>
                <w:szCs w:val="21"/>
              </w:rPr>
            </w:pPr>
            <w:r>
              <w:rPr>
                <w:rFonts w:hint="eastAsia" w:hAnsi="宋体"/>
                <w:bCs/>
                <w:color w:val="000000"/>
                <w:spacing w:val="-10"/>
                <w:sz w:val="23"/>
                <w:szCs w:val="23"/>
              </w:rPr>
              <w:t>0</w:t>
            </w:r>
          </w:p>
        </w:tc>
        <w:tc>
          <w:tcPr>
            <w:tcW w:w="617" w:type="pct"/>
            <w:tcMar>
              <w:left w:w="28" w:type="dxa"/>
              <w:right w:w="28" w:type="dxa"/>
            </w:tcMar>
            <w:vAlign w:val="center"/>
          </w:tcPr>
          <w:p w14:paraId="466D4FC3">
            <w:pPr>
              <w:spacing w:line="0" w:lineRule="atLeast"/>
              <w:jc w:val="center"/>
              <w:textAlignment w:val="center"/>
              <w:rPr>
                <w:rFonts w:hAnsi="宋体"/>
                <w:color w:val="000000"/>
                <w:spacing w:val="-10"/>
                <w:sz w:val="21"/>
                <w:szCs w:val="21"/>
              </w:rPr>
            </w:pPr>
            <w:r>
              <w:rPr>
                <w:rFonts w:hint="eastAsia" w:hAnsi="宋体"/>
                <w:bCs/>
                <w:color w:val="000000"/>
                <w:spacing w:val="-10"/>
                <w:sz w:val="23"/>
                <w:szCs w:val="23"/>
              </w:rPr>
              <w:t>0</w:t>
            </w:r>
          </w:p>
        </w:tc>
        <w:tc>
          <w:tcPr>
            <w:tcW w:w="345" w:type="pct"/>
            <w:tcMar>
              <w:left w:w="28" w:type="dxa"/>
              <w:right w:w="28" w:type="dxa"/>
            </w:tcMar>
            <w:vAlign w:val="center"/>
          </w:tcPr>
          <w:p w14:paraId="7AC99F01">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c>
          <w:tcPr>
            <w:tcW w:w="340" w:type="pct"/>
            <w:tcMar>
              <w:left w:w="28" w:type="dxa"/>
              <w:right w:w="28" w:type="dxa"/>
            </w:tcMar>
            <w:vAlign w:val="center"/>
          </w:tcPr>
          <w:p w14:paraId="491DB31A">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r>
      <w:tr w14:paraId="49FD5A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tcMar>
              <w:left w:w="28" w:type="dxa"/>
              <w:right w:w="28" w:type="dxa"/>
            </w:tcMar>
            <w:vAlign w:val="center"/>
          </w:tcPr>
          <w:p w14:paraId="34DE55E4">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以新带老削减量</w:t>
            </w:r>
          </w:p>
        </w:tc>
        <w:tc>
          <w:tcPr>
            <w:tcW w:w="609" w:type="pct"/>
            <w:tcMar>
              <w:left w:w="28" w:type="dxa"/>
              <w:right w:w="28" w:type="dxa"/>
            </w:tcMar>
            <w:vAlign w:val="center"/>
          </w:tcPr>
          <w:p w14:paraId="1B4C8C0A">
            <w:pPr>
              <w:spacing w:line="0" w:lineRule="atLeast"/>
              <w:jc w:val="center"/>
              <w:textAlignment w:val="center"/>
              <w:rPr>
                <w:rFonts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0C322714">
            <w:pPr>
              <w:spacing w:line="0" w:lineRule="atLeast"/>
              <w:jc w:val="center"/>
              <w:textAlignment w:val="center"/>
              <w:rPr>
                <w:rFonts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2DC444D4">
            <w:pPr>
              <w:spacing w:line="0" w:lineRule="atLeast"/>
              <w:jc w:val="center"/>
              <w:textAlignment w:val="center"/>
              <w:rPr>
                <w:rFonts w:hAnsi="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20EBF0AE">
            <w:pPr>
              <w:spacing w:line="0" w:lineRule="atLeast"/>
              <w:jc w:val="center"/>
              <w:textAlignment w:val="center"/>
              <w:rPr>
                <w:rFonts w:hAnsi="宋体"/>
                <w:color w:val="000000"/>
                <w:spacing w:val="-10"/>
                <w:sz w:val="21"/>
                <w:szCs w:val="21"/>
              </w:rPr>
            </w:pPr>
            <w:r>
              <w:rPr>
                <w:rFonts w:hint="eastAsia" w:hAnsi="宋体" w:cs="宋体"/>
                <w:color w:val="000000"/>
                <w:spacing w:val="-10"/>
                <w:sz w:val="21"/>
                <w:szCs w:val="21"/>
                <w:lang w:bidi="ar"/>
              </w:rPr>
              <w:t>0</w:t>
            </w:r>
          </w:p>
        </w:tc>
        <w:tc>
          <w:tcPr>
            <w:tcW w:w="617" w:type="pct"/>
            <w:tcMar>
              <w:left w:w="28" w:type="dxa"/>
              <w:right w:w="28" w:type="dxa"/>
            </w:tcMar>
            <w:vAlign w:val="center"/>
          </w:tcPr>
          <w:p w14:paraId="0DA04036">
            <w:pPr>
              <w:spacing w:line="0" w:lineRule="atLeast"/>
              <w:jc w:val="center"/>
              <w:textAlignment w:val="center"/>
              <w:rPr>
                <w:rFonts w:hAnsi="宋体" w:cs="宋体"/>
                <w:color w:val="000000"/>
                <w:spacing w:val="-10"/>
                <w:sz w:val="21"/>
                <w:szCs w:val="21"/>
                <w:lang w:bidi="ar"/>
              </w:rPr>
            </w:pPr>
            <w:r>
              <w:rPr>
                <w:rFonts w:hint="eastAsia" w:hAnsi="宋体" w:cs="宋体"/>
                <w:color w:val="000000"/>
                <w:spacing w:val="-10"/>
                <w:sz w:val="21"/>
                <w:szCs w:val="21"/>
                <w:lang w:bidi="ar"/>
              </w:rPr>
              <w:t>0</w:t>
            </w:r>
          </w:p>
        </w:tc>
        <w:tc>
          <w:tcPr>
            <w:tcW w:w="345" w:type="pct"/>
            <w:tcMar>
              <w:left w:w="28" w:type="dxa"/>
              <w:right w:w="28" w:type="dxa"/>
            </w:tcMar>
            <w:vAlign w:val="center"/>
          </w:tcPr>
          <w:p w14:paraId="16340588">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c>
          <w:tcPr>
            <w:tcW w:w="340" w:type="pct"/>
            <w:tcMar>
              <w:left w:w="28" w:type="dxa"/>
              <w:right w:w="28" w:type="dxa"/>
            </w:tcMar>
            <w:vAlign w:val="center"/>
          </w:tcPr>
          <w:p w14:paraId="324EF7F2">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r>
      <w:tr w14:paraId="74DB2D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tcMar>
              <w:left w:w="28" w:type="dxa"/>
              <w:right w:w="28" w:type="dxa"/>
            </w:tcMar>
            <w:vAlign w:val="center"/>
          </w:tcPr>
          <w:p w14:paraId="2628A290">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拟建工程实施后排放量</w:t>
            </w:r>
          </w:p>
        </w:tc>
        <w:tc>
          <w:tcPr>
            <w:tcW w:w="1097" w:type="dxa"/>
            <w:tcMar>
              <w:left w:w="28" w:type="dxa"/>
              <w:right w:w="28" w:type="dxa"/>
            </w:tcMar>
            <w:vAlign w:val="center"/>
          </w:tcPr>
          <w:p w14:paraId="497C24B1">
            <w:pPr>
              <w:pStyle w:val="45"/>
              <w:widowControl w:val="0"/>
              <w:spacing w:beforeAutospacing="0" w:afterAutospacing="0" w:line="0" w:lineRule="atLeast"/>
              <w:jc w:val="center"/>
              <w:rPr>
                <w:rFonts w:hint="eastAsia"/>
                <w:bCs/>
                <w:color w:val="000000"/>
                <w:spacing w:val="-10"/>
                <w:sz w:val="21"/>
                <w:szCs w:val="21"/>
              </w:rPr>
            </w:pPr>
            <w:r>
              <w:rPr>
                <w:rFonts w:hint="eastAsia"/>
                <w:color w:val="000000"/>
                <w:spacing w:val="-10"/>
                <w:kern w:val="2"/>
                <w:sz w:val="21"/>
                <w:szCs w:val="21"/>
              </w:rPr>
              <w:t>23.96</w:t>
            </w:r>
          </w:p>
        </w:tc>
        <w:tc>
          <w:tcPr>
            <w:tcW w:w="1096" w:type="dxa"/>
            <w:tcMar>
              <w:left w:w="28" w:type="dxa"/>
              <w:right w:w="28" w:type="dxa"/>
            </w:tcMar>
            <w:vAlign w:val="center"/>
          </w:tcPr>
          <w:p w14:paraId="1C042D11">
            <w:pPr>
              <w:pStyle w:val="45"/>
              <w:widowControl w:val="0"/>
              <w:spacing w:beforeAutospacing="0" w:afterAutospacing="0" w:line="0" w:lineRule="atLeast"/>
              <w:jc w:val="center"/>
              <w:rPr>
                <w:rFonts w:hint="eastAsia"/>
                <w:bCs/>
                <w:color w:val="000000"/>
                <w:spacing w:val="-10"/>
                <w:kern w:val="2"/>
                <w:sz w:val="21"/>
                <w:szCs w:val="21"/>
              </w:rPr>
            </w:pPr>
            <w:r>
              <w:rPr>
                <w:rFonts w:hint="eastAsia"/>
                <w:color w:val="000000"/>
                <w:spacing w:val="-10"/>
                <w:kern w:val="2"/>
                <w:sz w:val="21"/>
                <w:szCs w:val="21"/>
              </w:rPr>
              <w:t>11.58</w:t>
            </w:r>
          </w:p>
        </w:tc>
        <w:tc>
          <w:tcPr>
            <w:tcW w:w="1096" w:type="dxa"/>
            <w:tcMar>
              <w:left w:w="28" w:type="dxa"/>
              <w:right w:w="28" w:type="dxa"/>
            </w:tcMar>
            <w:vAlign w:val="center"/>
          </w:tcPr>
          <w:p w14:paraId="41EA3E46">
            <w:pPr>
              <w:pStyle w:val="45"/>
              <w:widowControl w:val="0"/>
              <w:spacing w:beforeAutospacing="0" w:afterAutospacing="0" w:line="0" w:lineRule="atLeast"/>
              <w:jc w:val="center"/>
              <w:rPr>
                <w:rFonts w:hint="eastAsia"/>
                <w:bCs/>
                <w:color w:val="000000"/>
                <w:spacing w:val="-10"/>
                <w:sz w:val="21"/>
                <w:szCs w:val="21"/>
              </w:rPr>
            </w:pPr>
            <w:r>
              <w:rPr>
                <w:rFonts w:hint="eastAsia"/>
                <w:color w:val="000000"/>
                <w:spacing w:val="-10"/>
                <w:kern w:val="2"/>
                <w:sz w:val="21"/>
                <w:szCs w:val="21"/>
              </w:rPr>
              <w:t>142.06</w:t>
            </w:r>
          </w:p>
        </w:tc>
        <w:tc>
          <w:tcPr>
            <w:tcW w:w="1096" w:type="dxa"/>
            <w:tcMar>
              <w:left w:w="28" w:type="dxa"/>
              <w:right w:w="28" w:type="dxa"/>
            </w:tcMar>
            <w:vAlign w:val="center"/>
          </w:tcPr>
          <w:p w14:paraId="597886EF">
            <w:pPr>
              <w:pStyle w:val="45"/>
              <w:widowControl w:val="0"/>
              <w:spacing w:beforeAutospacing="0" w:afterAutospacing="0" w:line="0" w:lineRule="atLeast"/>
              <w:jc w:val="center"/>
              <w:rPr>
                <w:bCs/>
                <w:color w:val="000000"/>
                <w:spacing w:val="-10"/>
                <w:sz w:val="21"/>
                <w:szCs w:val="21"/>
              </w:rPr>
            </w:pPr>
            <w:r>
              <w:rPr>
                <w:rFonts w:hint="eastAsia"/>
                <w:color w:val="000000"/>
                <w:spacing w:val="-10"/>
                <w:kern w:val="2"/>
                <w:sz w:val="21"/>
                <w:szCs w:val="21"/>
              </w:rPr>
              <w:t>9.46</w:t>
            </w:r>
          </w:p>
        </w:tc>
        <w:tc>
          <w:tcPr>
            <w:tcW w:w="1115" w:type="dxa"/>
            <w:tcMar>
              <w:left w:w="28" w:type="dxa"/>
              <w:right w:w="28" w:type="dxa"/>
            </w:tcMar>
            <w:vAlign w:val="center"/>
          </w:tcPr>
          <w:p w14:paraId="1A0AC121">
            <w:pPr>
              <w:pStyle w:val="45"/>
              <w:widowControl w:val="0"/>
              <w:spacing w:beforeAutospacing="0" w:afterAutospacing="0" w:line="0" w:lineRule="atLeast"/>
              <w:jc w:val="center"/>
              <w:rPr>
                <w:color w:val="000000"/>
                <w:spacing w:val="-10"/>
                <w:kern w:val="2"/>
                <w:sz w:val="21"/>
                <w:szCs w:val="21"/>
              </w:rPr>
            </w:pPr>
            <w:r>
              <w:rPr>
                <w:rFonts w:hint="eastAsia"/>
                <w:color w:val="000000"/>
                <w:spacing w:val="-10"/>
                <w:kern w:val="2"/>
                <w:sz w:val="21"/>
                <w:szCs w:val="21"/>
              </w:rPr>
              <w:t>1.15</w:t>
            </w:r>
          </w:p>
        </w:tc>
        <w:tc>
          <w:tcPr>
            <w:tcW w:w="345" w:type="pct"/>
            <w:tcMar>
              <w:left w:w="28" w:type="dxa"/>
              <w:right w:w="28" w:type="dxa"/>
            </w:tcMar>
            <w:vAlign w:val="center"/>
          </w:tcPr>
          <w:p w14:paraId="7C4890B7">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c>
          <w:tcPr>
            <w:tcW w:w="340" w:type="pct"/>
            <w:tcMar>
              <w:left w:w="28" w:type="dxa"/>
              <w:right w:w="28" w:type="dxa"/>
            </w:tcMar>
            <w:vAlign w:val="center"/>
          </w:tcPr>
          <w:p w14:paraId="70EE653A">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r>
      <w:tr w14:paraId="1FB4C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262" w:type="pct"/>
            <w:tcMar>
              <w:left w:w="28" w:type="dxa"/>
              <w:right w:w="28" w:type="dxa"/>
            </w:tcMar>
            <w:vAlign w:val="center"/>
          </w:tcPr>
          <w:p w14:paraId="1B4F6029">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拟建工程实施后增减量</w:t>
            </w:r>
          </w:p>
        </w:tc>
        <w:tc>
          <w:tcPr>
            <w:tcW w:w="609" w:type="pct"/>
            <w:tcMar>
              <w:left w:w="28" w:type="dxa"/>
              <w:right w:w="28" w:type="dxa"/>
            </w:tcMar>
            <w:vAlign w:val="center"/>
          </w:tcPr>
          <w:p w14:paraId="2C859AA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1B347CA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7D7B559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w:t>
            </w:r>
          </w:p>
        </w:tc>
        <w:tc>
          <w:tcPr>
            <w:tcW w:w="608" w:type="pct"/>
            <w:tcMar>
              <w:left w:w="28" w:type="dxa"/>
              <w:right w:w="28" w:type="dxa"/>
            </w:tcMar>
            <w:vAlign w:val="center"/>
          </w:tcPr>
          <w:p w14:paraId="69BDB498">
            <w:pPr>
              <w:spacing w:line="0" w:lineRule="atLeast"/>
              <w:jc w:val="center"/>
              <w:textAlignment w:val="center"/>
              <w:rPr>
                <w:rFonts w:hAnsi="宋体"/>
                <w:color w:val="000000"/>
                <w:spacing w:val="-10"/>
                <w:sz w:val="21"/>
                <w:szCs w:val="21"/>
              </w:rPr>
            </w:pPr>
            <w:r>
              <w:rPr>
                <w:rFonts w:hint="eastAsia" w:hAnsi="宋体"/>
                <w:bCs/>
                <w:color w:val="000000"/>
                <w:spacing w:val="-10"/>
                <w:sz w:val="23"/>
                <w:szCs w:val="23"/>
              </w:rPr>
              <w:t>0</w:t>
            </w:r>
          </w:p>
        </w:tc>
        <w:tc>
          <w:tcPr>
            <w:tcW w:w="617" w:type="pct"/>
            <w:tcMar>
              <w:left w:w="28" w:type="dxa"/>
              <w:right w:w="28" w:type="dxa"/>
            </w:tcMar>
            <w:vAlign w:val="center"/>
          </w:tcPr>
          <w:p w14:paraId="7F491167">
            <w:pPr>
              <w:spacing w:line="0" w:lineRule="atLeast"/>
              <w:jc w:val="center"/>
              <w:textAlignment w:val="center"/>
              <w:rPr>
                <w:rFonts w:hint="eastAsia" w:hAnsi="宋体"/>
                <w:color w:val="000000"/>
                <w:spacing w:val="-10"/>
                <w:sz w:val="21"/>
                <w:szCs w:val="21"/>
              </w:rPr>
            </w:pPr>
            <w:r>
              <w:rPr>
                <w:rFonts w:hint="eastAsia" w:hAnsi="宋体"/>
                <w:bCs/>
                <w:color w:val="000000"/>
                <w:spacing w:val="-10"/>
                <w:sz w:val="23"/>
                <w:szCs w:val="23"/>
              </w:rPr>
              <w:t>0</w:t>
            </w:r>
          </w:p>
        </w:tc>
        <w:tc>
          <w:tcPr>
            <w:tcW w:w="345" w:type="pct"/>
            <w:tcMar>
              <w:left w:w="28" w:type="dxa"/>
              <w:right w:w="28" w:type="dxa"/>
            </w:tcMar>
            <w:vAlign w:val="center"/>
          </w:tcPr>
          <w:p w14:paraId="2C241B8D">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c>
          <w:tcPr>
            <w:tcW w:w="340" w:type="pct"/>
            <w:tcMar>
              <w:left w:w="28" w:type="dxa"/>
              <w:right w:w="28" w:type="dxa"/>
            </w:tcMar>
            <w:vAlign w:val="center"/>
          </w:tcPr>
          <w:p w14:paraId="0DE7D3F1">
            <w:pPr>
              <w:pStyle w:val="45"/>
              <w:widowControl w:val="0"/>
              <w:spacing w:beforeAutospacing="0" w:afterAutospacing="0" w:line="0" w:lineRule="atLeast"/>
              <w:jc w:val="center"/>
              <w:rPr>
                <w:rFonts w:hint="eastAsia"/>
                <w:color w:val="000000"/>
                <w:spacing w:val="-10"/>
                <w:kern w:val="2"/>
                <w:sz w:val="21"/>
                <w:szCs w:val="21"/>
              </w:rPr>
            </w:pPr>
            <w:r>
              <w:rPr>
                <w:rFonts w:hint="eastAsia"/>
                <w:color w:val="000000"/>
                <w:spacing w:val="-10"/>
                <w:kern w:val="2"/>
                <w:sz w:val="21"/>
                <w:szCs w:val="21"/>
              </w:rPr>
              <w:t>0</w:t>
            </w:r>
          </w:p>
        </w:tc>
      </w:tr>
    </w:tbl>
    <w:p w14:paraId="576A4AD0">
      <w:pPr>
        <w:spacing w:before="240" w:line="460" w:lineRule="exact"/>
        <w:outlineLvl w:val="2"/>
        <w:rPr>
          <w:rFonts w:hAnsi="宋体" w:cs="宋体"/>
          <w:color w:val="000000"/>
          <w:szCs w:val="24"/>
        </w:rPr>
      </w:pPr>
      <w:r>
        <w:rPr>
          <w:rFonts w:hint="eastAsia" w:hAnsi="宋体" w:cs="宋体"/>
          <w:color w:val="000000"/>
          <w:szCs w:val="24"/>
        </w:rPr>
        <w:t>3.4.8 污染物总量控制分析</w:t>
      </w:r>
      <w:bookmarkEnd w:id="117"/>
    </w:p>
    <w:p w14:paraId="41C8579E">
      <w:pPr>
        <w:spacing w:line="460" w:lineRule="exact"/>
        <w:outlineLvl w:val="3"/>
        <w:rPr>
          <w:rFonts w:hAnsi="宋体" w:cs="宋体"/>
          <w:color w:val="000000"/>
          <w:szCs w:val="24"/>
        </w:rPr>
      </w:pPr>
      <w:r>
        <w:rPr>
          <w:rFonts w:hint="eastAsia" w:hAnsi="宋体" w:cs="宋体"/>
          <w:color w:val="000000"/>
          <w:szCs w:val="24"/>
        </w:rPr>
        <w:t>3.4.8.1 总量控制因子</w:t>
      </w:r>
    </w:p>
    <w:p w14:paraId="0E8B43D5">
      <w:pPr>
        <w:adjustRightInd w:val="0"/>
        <w:spacing w:line="460" w:lineRule="exact"/>
        <w:ind w:firstLine="542" w:firstLineChars="200"/>
        <w:rPr>
          <w:rFonts w:hint="eastAsia" w:hAnsi="宋体" w:cs="宋体"/>
          <w:color w:val="000000"/>
          <w:spacing w:val="9"/>
          <w:szCs w:val="24"/>
        </w:rPr>
      </w:pPr>
      <w:r>
        <w:rPr>
          <w:rFonts w:hint="eastAsia" w:hAnsi="宋体" w:cs="宋体"/>
          <w:color w:val="000000"/>
          <w:spacing w:val="9"/>
          <w:szCs w:val="24"/>
        </w:rPr>
        <w:t>根据国家“十五五”总量控制水平以及地方生态环境主管部门对污染物排放总量控制的要求，考虑拟建工程的排污特点，污染物排放总量控制因子如下：</w:t>
      </w:r>
    </w:p>
    <w:p w14:paraId="249DE249">
      <w:pPr>
        <w:adjustRightInd w:val="0"/>
        <w:spacing w:line="460" w:lineRule="exact"/>
        <w:ind w:firstLine="526" w:firstLineChars="200"/>
        <w:rPr>
          <w:rFonts w:hAnsi="宋体" w:cs="宋体"/>
          <w:color w:val="000000"/>
          <w:szCs w:val="24"/>
        </w:rPr>
      </w:pPr>
      <w:r>
        <w:rPr>
          <w:rFonts w:hint="eastAsia" w:hAnsi="宋体" w:cs="宋体"/>
          <w:color w:val="000000"/>
          <w:szCs w:val="24"/>
        </w:rPr>
        <w:t>废气污染物：</w:t>
      </w:r>
      <w:r>
        <w:rPr>
          <w:rFonts w:hint="eastAsia" w:hAnsi="宋体" w:cs="宋体"/>
          <w:color w:val="000000"/>
          <w:kern w:val="0"/>
          <w:szCs w:val="24"/>
        </w:rPr>
        <w:t>VOC</w:t>
      </w:r>
      <w:r>
        <w:rPr>
          <w:rFonts w:hint="eastAsia" w:hAnsi="宋体" w:cs="宋体"/>
          <w:color w:val="000000"/>
          <w:kern w:val="0"/>
          <w:szCs w:val="24"/>
          <w:vertAlign w:val="subscript"/>
        </w:rPr>
        <w:t>S</w:t>
      </w:r>
      <w:r>
        <w:rPr>
          <w:rFonts w:hint="eastAsia" w:hAnsi="宋体" w:cs="宋体"/>
          <w:color w:val="000000"/>
          <w:kern w:val="0"/>
          <w:szCs w:val="24"/>
        </w:rPr>
        <w:t>、NO</w:t>
      </w:r>
      <w:r>
        <w:rPr>
          <w:rFonts w:hint="eastAsia" w:hAnsi="宋体" w:cs="宋体"/>
          <w:color w:val="000000"/>
          <w:kern w:val="0"/>
          <w:szCs w:val="24"/>
          <w:vertAlign w:val="subscript"/>
        </w:rPr>
        <w:t>x</w:t>
      </w:r>
      <w:r>
        <w:rPr>
          <w:rFonts w:hint="eastAsia" w:hAnsi="宋体" w:cs="宋体"/>
          <w:color w:val="000000"/>
          <w:kern w:val="0"/>
          <w:szCs w:val="24"/>
        </w:rPr>
        <w:t>。</w:t>
      </w:r>
    </w:p>
    <w:p w14:paraId="7EF2F5F1">
      <w:pPr>
        <w:adjustRightInd w:val="0"/>
        <w:spacing w:line="460" w:lineRule="exact"/>
        <w:ind w:firstLine="526" w:firstLineChars="200"/>
        <w:rPr>
          <w:rFonts w:hAnsi="宋体" w:cs="宋体"/>
          <w:color w:val="000000"/>
          <w:szCs w:val="24"/>
        </w:rPr>
      </w:pPr>
      <w:r>
        <w:rPr>
          <w:rFonts w:hint="eastAsia" w:hAnsi="宋体" w:cs="宋体"/>
          <w:color w:val="000000"/>
          <w:szCs w:val="24"/>
        </w:rPr>
        <w:t>废水污染物：COD、TP。</w:t>
      </w:r>
    </w:p>
    <w:p w14:paraId="6D98985E">
      <w:pPr>
        <w:spacing w:line="460" w:lineRule="exact"/>
        <w:outlineLvl w:val="3"/>
        <w:rPr>
          <w:rFonts w:hAnsi="宋体" w:cs="宋体"/>
          <w:color w:val="000000"/>
          <w:szCs w:val="24"/>
        </w:rPr>
      </w:pPr>
      <w:r>
        <w:rPr>
          <w:rFonts w:hint="eastAsia" w:hAnsi="宋体" w:cs="宋体"/>
          <w:color w:val="000000"/>
          <w:szCs w:val="24"/>
        </w:rPr>
        <w:t>3.4.8.2 拟建工程污染物排放总量</w:t>
      </w:r>
    </w:p>
    <w:p w14:paraId="07639C74">
      <w:pPr>
        <w:tabs>
          <w:tab w:val="left" w:pos="700"/>
        </w:tabs>
        <w:adjustRightInd w:val="0"/>
        <w:spacing w:line="460" w:lineRule="exact"/>
        <w:ind w:firstLine="526" w:firstLineChars="200"/>
        <w:rPr>
          <w:rFonts w:hAnsi="宋体"/>
          <w:color w:val="000000"/>
          <w:szCs w:val="24"/>
        </w:rPr>
      </w:pPr>
      <w:r>
        <w:rPr>
          <w:rFonts w:hint="eastAsia" w:hAnsi="宋体" w:cs="宋体"/>
          <w:color w:val="000000"/>
        </w:rPr>
        <w:t>拟建工程在正常运行期间</w:t>
      </w:r>
      <w:r>
        <w:rPr>
          <w:rFonts w:hint="eastAsia"/>
          <w:color w:val="000000"/>
        </w:rPr>
        <w:t>无废气、废水产生</w:t>
      </w:r>
      <w:r>
        <w:rPr>
          <w:rFonts w:hint="eastAsia" w:hAnsi="宋体" w:cs="宋体"/>
          <w:color w:val="000000"/>
        </w:rPr>
        <w:t>和排放，故拟建工程不再设置总量控制指标</w:t>
      </w:r>
      <w:r>
        <w:rPr>
          <w:rFonts w:hint="eastAsia" w:hAnsi="宋体" w:cs="宋体"/>
          <w:color w:val="000000"/>
          <w:szCs w:val="24"/>
        </w:rPr>
        <w:t>。</w:t>
      </w:r>
    </w:p>
    <w:p w14:paraId="07585E73">
      <w:pPr>
        <w:spacing w:line="460" w:lineRule="exact"/>
        <w:outlineLvl w:val="1"/>
        <w:rPr>
          <w:rFonts w:hint="eastAsia" w:ascii="黑体" w:hAnsi="黑体" w:eastAsia="黑体" w:cs="黑体"/>
          <w:color w:val="000000"/>
          <w:sz w:val="28"/>
          <w:szCs w:val="28"/>
          <w:lang w:bidi="ar"/>
        </w:rPr>
      </w:pPr>
      <w:bookmarkStart w:id="118" w:name="_Toc230178788"/>
      <w:bookmarkStart w:id="119" w:name="_Toc198040322"/>
      <w:bookmarkStart w:id="120" w:name="_Toc208474672"/>
      <w:bookmarkStart w:id="121" w:name="_Toc198040178"/>
      <w:bookmarkStart w:id="122" w:name="_Toc30347681"/>
      <w:bookmarkStart w:id="123" w:name="_Toc38102009"/>
      <w:r>
        <w:rPr>
          <w:rFonts w:hint="eastAsia" w:ascii="黑体" w:hAnsi="黑体" w:eastAsia="黑体" w:cs="黑体"/>
          <w:color w:val="000000"/>
          <w:sz w:val="28"/>
          <w:szCs w:val="28"/>
          <w:lang w:bidi="ar"/>
        </w:rPr>
        <w:t>3.5 相关政策法规、规划符合性分析</w:t>
      </w:r>
      <w:bookmarkEnd w:id="118"/>
      <w:bookmarkEnd w:id="119"/>
      <w:bookmarkEnd w:id="120"/>
      <w:bookmarkEnd w:id="121"/>
    </w:p>
    <w:p w14:paraId="537BC898">
      <w:pPr>
        <w:pStyle w:val="190"/>
        <w:widowControl w:val="0"/>
        <w:tabs>
          <w:tab w:val="right" w:leader="dot" w:pos="8959"/>
        </w:tabs>
        <w:spacing w:line="480" w:lineRule="exact"/>
        <w:outlineLvl w:val="2"/>
        <w:rPr>
          <w:rFonts w:hint="eastAsia" w:ascii="宋体" w:hAnsi="宋体" w:cs="宋体"/>
          <w:color w:val="000000"/>
          <w:spacing w:val="5"/>
          <w:sz w:val="24"/>
          <w:szCs w:val="24"/>
        </w:rPr>
      </w:pPr>
      <w:r>
        <w:rPr>
          <w:rFonts w:hint="eastAsia" w:ascii="宋体" w:hAnsi="宋体" w:cs="宋体"/>
          <w:color w:val="000000"/>
          <w:spacing w:val="5"/>
          <w:sz w:val="24"/>
          <w:szCs w:val="24"/>
        </w:rPr>
        <w:t>3.4.1 产业政策符合性分析</w:t>
      </w:r>
    </w:p>
    <w:p w14:paraId="74508394">
      <w:pPr>
        <w:spacing w:line="480" w:lineRule="exact"/>
        <w:ind w:firstLine="526" w:firstLineChars="200"/>
        <w:rPr>
          <w:rFonts w:hint="eastAsia" w:hAnsi="宋体"/>
          <w:color w:val="000000"/>
          <w:szCs w:val="24"/>
        </w:rPr>
      </w:pPr>
      <w:r>
        <w:rPr>
          <w:rFonts w:hint="eastAsia" w:hAnsi="宋体"/>
          <w:color w:val="000000"/>
          <w:szCs w:val="24"/>
        </w:rPr>
        <w:t>拟建工程</w:t>
      </w:r>
      <w:r>
        <w:rPr>
          <w:rFonts w:hint="eastAsia" w:hAnsi="宋体" w:cs="宋体"/>
          <w:color w:val="000000"/>
          <w:szCs w:val="24"/>
        </w:rPr>
        <w:t>为油气开采项目，属于“常规石油、天然气勘探与开采”</w:t>
      </w:r>
      <w:r>
        <w:rPr>
          <w:rFonts w:hint="eastAsia" w:hAnsi="宋体"/>
          <w:color w:val="000000"/>
          <w:szCs w:val="24"/>
        </w:rPr>
        <w:t>项目，结合《产业结构调整指导目录（2024年本）》（国家发展改革委令 2023年第7号），</w:t>
      </w:r>
      <w:r>
        <w:rPr>
          <w:rFonts w:hint="eastAsia" w:hAnsi="宋体" w:cs="宋体"/>
          <w:color w:val="000000"/>
          <w:szCs w:val="24"/>
        </w:rPr>
        <w:t>拟建工程属于第一类“鼓励类”第七条“石油天然气”第一款“石油天然气开采”，为鼓励类产业，符合国家当前产业政策要求。</w:t>
      </w:r>
    </w:p>
    <w:p w14:paraId="014BFBFD">
      <w:pPr>
        <w:pStyle w:val="190"/>
        <w:widowControl w:val="0"/>
        <w:tabs>
          <w:tab w:val="right" w:leader="dot" w:pos="8959"/>
        </w:tabs>
        <w:spacing w:line="480" w:lineRule="exact"/>
        <w:outlineLvl w:val="2"/>
        <w:rPr>
          <w:rFonts w:hint="eastAsia" w:ascii="宋体" w:hAnsi="宋体" w:cs="宋体"/>
          <w:color w:val="000000"/>
          <w:spacing w:val="5"/>
          <w:sz w:val="24"/>
          <w:szCs w:val="24"/>
        </w:rPr>
      </w:pPr>
      <w:r>
        <w:rPr>
          <w:rFonts w:hint="eastAsia" w:ascii="宋体" w:hAnsi="宋体" w:cs="宋体"/>
          <w:color w:val="000000"/>
          <w:spacing w:val="5"/>
          <w:sz w:val="24"/>
          <w:szCs w:val="24"/>
        </w:rPr>
        <w:t>3.5.2 相关法规、政策、规范、规划符合性分析</w:t>
      </w:r>
    </w:p>
    <w:p w14:paraId="0273F9F0">
      <w:pPr>
        <w:spacing w:line="480" w:lineRule="exact"/>
        <w:outlineLvl w:val="3"/>
        <w:rPr>
          <w:rFonts w:hAnsi="宋体"/>
          <w:color w:val="000000"/>
          <w:szCs w:val="24"/>
        </w:rPr>
      </w:pPr>
      <w:r>
        <w:rPr>
          <w:rFonts w:hint="eastAsia" w:hAnsi="宋体"/>
          <w:color w:val="000000"/>
          <w:szCs w:val="24"/>
        </w:rPr>
        <w:t>3.5.2.1主体功能区划</w:t>
      </w:r>
      <w:r>
        <w:rPr>
          <w:rFonts w:hint="eastAsia" w:hAnsi="宋体" w:cs="宋体"/>
          <w:color w:val="000000"/>
          <w:szCs w:val="24"/>
        </w:rPr>
        <w:t>符合性分析</w:t>
      </w:r>
    </w:p>
    <w:p w14:paraId="44E5E359">
      <w:pPr>
        <w:tabs>
          <w:tab w:val="left" w:pos="4032"/>
        </w:tabs>
        <w:spacing w:line="480" w:lineRule="exact"/>
        <w:ind w:firstLine="539"/>
        <w:rPr>
          <w:rFonts w:hint="eastAsia" w:hAnsi="宋体" w:cs="宋体"/>
          <w:color w:val="000000"/>
          <w:kern w:val="0"/>
          <w:szCs w:val="24"/>
        </w:rPr>
      </w:pPr>
      <w:r>
        <w:rPr>
          <w:rFonts w:hint="eastAsia"/>
          <w:color w:val="000000"/>
          <w:szCs w:val="24"/>
        </w:rPr>
        <w:t>拟建工程位于塔中Ⅰ号气田Ⅲ区内，</w:t>
      </w:r>
      <w:r>
        <w:rPr>
          <w:rFonts w:hint="eastAsia" w:hAnsi="宋体" w:cs="宋体"/>
          <w:color w:val="000000"/>
          <w:szCs w:val="24"/>
        </w:rPr>
        <w:t>不占用生态保护红线及水源地、风景名胜区等，不在新疆维吾尔自治区主体功能区规划划定的重点开发区</w:t>
      </w:r>
      <w:r>
        <w:rPr>
          <w:rFonts w:hint="eastAsia" w:hAnsi="宋体" w:cs="宋体"/>
          <w:color w:val="000000"/>
          <w:kern w:val="0"/>
          <w:szCs w:val="24"/>
        </w:rPr>
        <w:t>和禁止开发区，属于主体功能区中的限制开发区域（农产品主产区）。</w:t>
      </w:r>
      <w:r>
        <w:rPr>
          <w:rFonts w:hint="eastAsia" w:hAnsi="宋体" w:cs="宋体"/>
          <w:color w:val="000000"/>
          <w:szCs w:val="24"/>
        </w:rPr>
        <w:t>《新疆维吾尔自治区主体功能区规划》中</w:t>
      </w:r>
      <w:r>
        <w:rPr>
          <w:rFonts w:hint="eastAsia" w:hAnsi="宋体" w:cs="宋体"/>
          <w:color w:val="000000"/>
          <w:kern w:val="0"/>
          <w:szCs w:val="24"/>
        </w:rPr>
        <w:t>限制开发区域（农产品主产区）功能定位：新疆农产品主产区的功能定位是：保障农牧产品供给安全的重要区域，农牧民安居乐业的美好家园，社会主义新农村建设的示范区。农产品主产区发展方向和开发原则是：位于农产品主产区的点状能源和矿产资源基地建设，必须进行生态环境影响评估，并尽可能减少对生态空间与农业空间的占用，同步修复生态环境。其中，在水资源严重短缺、环境容量很小、生态十分脆弱、地震和地质灾害频发的地区，要严格控制能源和矿产资源开发。</w:t>
      </w:r>
    </w:p>
    <w:p w14:paraId="2A24E8CE">
      <w:pPr>
        <w:spacing w:line="480" w:lineRule="exact"/>
        <w:ind w:firstLine="560"/>
        <w:rPr>
          <w:rFonts w:hAnsi="宋体"/>
          <w:color w:val="000000"/>
          <w:szCs w:val="24"/>
        </w:rPr>
      </w:pPr>
      <w:r>
        <w:rPr>
          <w:rFonts w:hint="eastAsia" w:hAnsi="宋体" w:cs="宋体"/>
          <w:color w:val="000000"/>
          <w:kern w:val="0"/>
        </w:rPr>
        <w:t>拟建工程主要建设管线，项目位于塔克拉玛干沙漠腹地，不占用农田区域，不会对区域农产品生产产生影响；同时项目施工过程中严格控制施工占地，管线建设完成后，采取措施及时恢复临时占地，尽可能减少对区域生态环境的影响，运营期无废气、废水、噪声及固体废物产生及排放。</w:t>
      </w:r>
      <w:r>
        <w:rPr>
          <w:rFonts w:hint="eastAsia" w:hAnsi="宋体" w:cs="宋体"/>
          <w:bCs/>
          <w:color w:val="000000"/>
          <w:spacing w:val="9"/>
        </w:rPr>
        <w:t>综上所述，项目与区域主体功能区中限制开发区域</w:t>
      </w:r>
      <w:r>
        <w:rPr>
          <w:rFonts w:hint="eastAsia" w:hAnsi="宋体" w:cs="宋体"/>
          <w:color w:val="000000"/>
          <w:spacing w:val="9"/>
          <w:kern w:val="0"/>
        </w:rPr>
        <w:t>发展方向和开发原则相</w:t>
      </w:r>
      <w:r>
        <w:rPr>
          <w:rFonts w:hint="eastAsia" w:hAnsi="宋体" w:cs="宋体"/>
          <w:bCs/>
          <w:color w:val="000000"/>
          <w:spacing w:val="9"/>
        </w:rPr>
        <w:t>协调，符合主体功能区划。</w:t>
      </w:r>
    </w:p>
    <w:p w14:paraId="4835E86A">
      <w:pPr>
        <w:spacing w:line="480" w:lineRule="exact"/>
        <w:outlineLvl w:val="3"/>
        <w:rPr>
          <w:rFonts w:hAnsi="宋体" w:cs="宋体"/>
          <w:color w:val="000000"/>
          <w:szCs w:val="24"/>
          <w:lang w:bidi="ar"/>
        </w:rPr>
      </w:pPr>
      <w:r>
        <w:rPr>
          <w:rFonts w:hint="eastAsia" w:hAnsi="宋体"/>
          <w:color w:val="000000"/>
          <w:szCs w:val="24"/>
        </w:rPr>
        <w:t xml:space="preserve">3.5.2.2 </w:t>
      </w:r>
      <w:r>
        <w:rPr>
          <w:rFonts w:hint="eastAsia" w:hAnsi="宋体" w:cs="宋体"/>
          <w:color w:val="000000"/>
          <w:szCs w:val="24"/>
          <w:lang w:bidi="ar"/>
        </w:rPr>
        <w:t>相关规划符合性分析</w:t>
      </w:r>
    </w:p>
    <w:p w14:paraId="45DEE11D">
      <w:pPr>
        <w:spacing w:line="480" w:lineRule="exact"/>
        <w:ind w:firstLine="526" w:firstLineChars="200"/>
        <w:rPr>
          <w:rFonts w:hint="eastAsia" w:hAnsi="宋体" w:cs="宋体"/>
          <w:color w:val="000000"/>
          <w:szCs w:val="24"/>
          <w:lang w:bidi="ar"/>
        </w:rPr>
      </w:pPr>
      <w:r>
        <w:rPr>
          <w:rFonts w:hint="eastAsia" w:hAnsi="宋体" w:cs="宋体"/>
          <w:color w:val="000000"/>
          <w:szCs w:val="24"/>
          <w:lang w:bidi="ar"/>
        </w:rPr>
        <w:t>根据评价区块的地理位置，项目区位于新疆阿克苏地区沙雅县、和田地区民丰县境内，所在地涉及的相关地方规划包括：《新疆维吾尔自治区国民经济和社会发展第十四个五年规划和2035年远景目标纲要》《阿克苏地区国民经济和社会发展第十四个五年规划和2035年远景目标纲要》</w:t>
      </w:r>
      <w:r>
        <w:rPr>
          <w:rFonts w:hint="eastAsia" w:hAnsi="宋体" w:cs="宋体"/>
          <w:color w:val="000000"/>
          <w:spacing w:val="-10"/>
          <w:szCs w:val="24"/>
        </w:rPr>
        <w:t>《和田地区国民经济和社会发展第十四个五年规划和2035年远景目标纲要》</w:t>
      </w:r>
      <w:r>
        <w:rPr>
          <w:rFonts w:hint="eastAsia" w:hAnsi="宋体" w:cs="宋体"/>
          <w:color w:val="000000"/>
          <w:szCs w:val="24"/>
          <w:lang w:bidi="ar"/>
        </w:rPr>
        <w:t>《新疆生态环境保护“十四五”规划》《阿克苏地区生态环境保护“十四五”规划》</w:t>
      </w:r>
      <w:r>
        <w:rPr>
          <w:rFonts w:hint="eastAsia" w:hAnsi="宋体" w:cs="宋体"/>
          <w:color w:val="000000"/>
          <w:lang w:bidi="ar"/>
        </w:rPr>
        <w:t>《和田地区生态环境保护“十四五”规划》</w:t>
      </w:r>
      <w:r>
        <w:rPr>
          <w:rFonts w:hint="eastAsia" w:hAnsi="宋体" w:cs="宋体"/>
          <w:color w:val="000000"/>
          <w:szCs w:val="24"/>
          <w:lang w:bidi="ar"/>
        </w:rPr>
        <w:t>《塔里木油田“十四五”发展规划》等。</w:t>
      </w:r>
    </w:p>
    <w:p w14:paraId="4BD8C1F1">
      <w:pPr>
        <w:spacing w:line="480" w:lineRule="exact"/>
        <w:ind w:firstLine="526" w:firstLineChars="200"/>
        <w:rPr>
          <w:rFonts w:hint="eastAsia" w:hAnsi="宋体"/>
          <w:color w:val="000000"/>
          <w:szCs w:val="24"/>
        </w:rPr>
      </w:pPr>
      <w:r>
        <w:rPr>
          <w:rFonts w:hint="eastAsia" w:hAnsi="宋体" w:cs="宋体"/>
          <w:color w:val="000000"/>
          <w:szCs w:val="24"/>
        </w:rPr>
        <w:t>拟建工程与</w:t>
      </w:r>
      <w:r>
        <w:rPr>
          <w:rFonts w:hint="eastAsia" w:hAnsi="宋体" w:cs="宋体"/>
          <w:color w:val="000000"/>
          <w:szCs w:val="24"/>
          <w:lang w:bidi="ar"/>
        </w:rPr>
        <w:t>相关规划符合性分析结果参见</w:t>
      </w:r>
      <w:r>
        <w:rPr>
          <w:rFonts w:hint="eastAsia" w:hAnsi="宋体"/>
          <w:color w:val="000000"/>
          <w:szCs w:val="24"/>
        </w:rPr>
        <w:t>表3.5-1。拟建工程与塔里木油田“十四五”发展规划符合性分析见表3.5-2。</w:t>
      </w:r>
    </w:p>
    <w:p w14:paraId="521D9495">
      <w:pPr>
        <w:spacing w:line="480" w:lineRule="exact"/>
        <w:ind w:firstLine="526" w:firstLineChars="200"/>
        <w:rPr>
          <w:rFonts w:ascii="黑体" w:hAnsi="黑体" w:eastAsia="黑体"/>
          <w:color w:val="000000"/>
          <w:szCs w:val="24"/>
        </w:rPr>
      </w:pPr>
      <w:r>
        <w:rPr>
          <w:rFonts w:hint="eastAsia" w:ascii="黑体" w:hAnsi="黑体" w:eastAsia="黑体"/>
          <w:color w:val="000000"/>
          <w:szCs w:val="24"/>
        </w:rPr>
        <w:t>表3.5-1         相关规划符合性分析一览表</w:t>
      </w:r>
    </w:p>
    <w:tbl>
      <w:tblPr>
        <w:tblStyle w:val="48"/>
        <w:tblW w:w="49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792"/>
        <w:gridCol w:w="3920"/>
        <w:gridCol w:w="2569"/>
        <w:gridCol w:w="702"/>
      </w:tblGrid>
      <w:tr w14:paraId="227DB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6" w:type="pct"/>
            <w:tcMar>
              <w:left w:w="28" w:type="dxa"/>
              <w:right w:w="28" w:type="dxa"/>
            </w:tcMar>
            <w:vAlign w:val="center"/>
          </w:tcPr>
          <w:p w14:paraId="0BE98C58">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2181" w:type="pct"/>
            <w:tcMar>
              <w:left w:w="28" w:type="dxa"/>
              <w:right w:w="28" w:type="dxa"/>
            </w:tcMar>
            <w:vAlign w:val="center"/>
          </w:tcPr>
          <w:p w14:paraId="5B6FC969">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429" w:type="pct"/>
            <w:tcMar>
              <w:left w:w="28" w:type="dxa"/>
              <w:right w:w="28" w:type="dxa"/>
            </w:tcMar>
            <w:vAlign w:val="center"/>
          </w:tcPr>
          <w:p w14:paraId="7041C81D">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391" w:type="pct"/>
            <w:tcMar>
              <w:left w:w="28" w:type="dxa"/>
              <w:right w:w="28" w:type="dxa"/>
            </w:tcMar>
            <w:vAlign w:val="center"/>
          </w:tcPr>
          <w:p w14:paraId="7DD382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2CE27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27" w:hRule="atLeast"/>
          <w:jc w:val="center"/>
        </w:trPr>
        <w:tc>
          <w:tcPr>
            <w:tcW w:w="996" w:type="pct"/>
            <w:tcMar>
              <w:left w:w="28" w:type="dxa"/>
              <w:right w:w="28" w:type="dxa"/>
            </w:tcMar>
            <w:vAlign w:val="center"/>
          </w:tcPr>
          <w:p w14:paraId="77FC60CE">
            <w:pPr>
              <w:spacing w:line="0" w:lineRule="atLeast"/>
              <w:jc w:val="center"/>
              <w:rPr>
                <w:rFonts w:hint="eastAsia" w:hAnsi="宋体"/>
                <w:color w:val="000000"/>
                <w:spacing w:val="-10"/>
                <w:sz w:val="21"/>
                <w:szCs w:val="21"/>
              </w:rPr>
            </w:pPr>
            <w:r>
              <w:rPr>
                <w:rFonts w:hAnsi="宋体"/>
                <w:color w:val="000000"/>
                <w:spacing w:val="-10"/>
                <w:sz w:val="21"/>
                <w:szCs w:val="21"/>
              </w:rPr>
              <w:br w:type="page"/>
            </w:r>
            <w:r>
              <w:rPr>
                <w:rFonts w:hint="eastAsia" w:hAnsi="宋体" w:cs="宋体"/>
                <w:color w:val="000000"/>
                <w:spacing w:val="-10"/>
                <w:sz w:val="21"/>
                <w:szCs w:val="21"/>
              </w:rPr>
              <w:t>《</w:t>
            </w:r>
            <w:r>
              <w:rPr>
                <w:rFonts w:hint="eastAsia" w:hAnsi="宋体"/>
                <w:color w:val="000000"/>
                <w:spacing w:val="-10"/>
                <w:sz w:val="21"/>
                <w:szCs w:val="21"/>
              </w:rPr>
              <w:t>新疆维吾尔自治区国民经济和社会发展第十四个五年规划和2035年远景目标纲要》</w:t>
            </w:r>
          </w:p>
        </w:tc>
        <w:tc>
          <w:tcPr>
            <w:tcW w:w="2181" w:type="pct"/>
            <w:tcMar>
              <w:left w:w="28" w:type="dxa"/>
              <w:right w:w="28" w:type="dxa"/>
            </w:tcMar>
            <w:vAlign w:val="center"/>
          </w:tcPr>
          <w:p w14:paraId="603D3EC8">
            <w:pPr>
              <w:spacing w:line="0" w:lineRule="atLeast"/>
              <w:rPr>
                <w:rFonts w:hint="eastAsia" w:hAnsi="宋体"/>
                <w:color w:val="000000"/>
                <w:spacing w:val="-10"/>
                <w:sz w:val="21"/>
                <w:szCs w:val="21"/>
              </w:rPr>
            </w:pPr>
            <w:r>
              <w:rPr>
                <w:rFonts w:hint="eastAsia" w:hAnsi="宋体"/>
                <w:color w:val="000000"/>
                <w:spacing w:val="-10"/>
                <w:sz w:val="21"/>
                <w:szCs w:val="21"/>
              </w:rPr>
              <w:t>建设国家大型油气生产加工和储备基地。加大准噶尔、吐哈、塔里木三大盆地油气勘探开发力度，提高新疆在油气资源开发利用转化过程中的参与度</w:t>
            </w:r>
          </w:p>
        </w:tc>
        <w:tc>
          <w:tcPr>
            <w:tcW w:w="1429" w:type="pct"/>
            <w:tcMar>
              <w:left w:w="28" w:type="dxa"/>
              <w:right w:w="28" w:type="dxa"/>
            </w:tcMar>
            <w:vAlign w:val="center"/>
          </w:tcPr>
          <w:p w14:paraId="4E96A0E3">
            <w:pPr>
              <w:spacing w:line="0" w:lineRule="atLeast"/>
              <w:rPr>
                <w:rFonts w:hint="eastAsia" w:hAnsi="宋体"/>
                <w:color w:val="000000"/>
                <w:spacing w:val="-10"/>
                <w:sz w:val="21"/>
                <w:szCs w:val="21"/>
              </w:rPr>
            </w:pPr>
            <w:r>
              <w:rPr>
                <w:rFonts w:hint="eastAsia" w:hAnsi="宋体"/>
                <w:color w:val="000000"/>
                <w:spacing w:val="-10"/>
                <w:sz w:val="21"/>
                <w:szCs w:val="21"/>
              </w:rPr>
              <w:t>拟建工程属于塔里木盆地油气开采项目</w:t>
            </w:r>
          </w:p>
        </w:tc>
        <w:tc>
          <w:tcPr>
            <w:tcW w:w="391" w:type="pct"/>
            <w:tcMar>
              <w:left w:w="28" w:type="dxa"/>
              <w:right w:w="28" w:type="dxa"/>
            </w:tcMar>
            <w:vAlign w:val="center"/>
          </w:tcPr>
          <w:p w14:paraId="16EB3781">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7B117E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941" w:hRule="atLeast"/>
          <w:jc w:val="center"/>
        </w:trPr>
        <w:tc>
          <w:tcPr>
            <w:tcW w:w="996" w:type="pct"/>
            <w:tcMar>
              <w:left w:w="28" w:type="dxa"/>
              <w:right w:w="28" w:type="dxa"/>
            </w:tcMar>
            <w:vAlign w:val="center"/>
          </w:tcPr>
          <w:p w14:paraId="453623DF">
            <w:pPr>
              <w:spacing w:line="0" w:lineRule="atLeast"/>
              <w:jc w:val="center"/>
              <w:rPr>
                <w:rFonts w:hint="eastAsia" w:hAnsi="宋体" w:cs="宋体"/>
                <w:color w:val="000000"/>
                <w:spacing w:val="-10"/>
                <w:sz w:val="21"/>
                <w:szCs w:val="21"/>
              </w:rPr>
            </w:pPr>
            <w:r>
              <w:rPr>
                <w:rFonts w:hAnsi="宋体"/>
                <w:color w:val="000000"/>
                <w:spacing w:val="-10"/>
                <w:sz w:val="21"/>
                <w:szCs w:val="21"/>
              </w:rPr>
              <w:br w:type="page"/>
            </w:r>
            <w:r>
              <w:rPr>
                <w:rFonts w:hint="eastAsia" w:hAnsi="宋体" w:cs="宋体"/>
                <w:color w:val="000000"/>
                <w:spacing w:val="-10"/>
                <w:sz w:val="21"/>
                <w:szCs w:val="21"/>
              </w:rPr>
              <w:t>《阿克苏地区国民经济和社会发展第十四个五年规划和2035年远景目标</w:t>
            </w:r>
          </w:p>
          <w:p w14:paraId="65CBB205">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纲要》</w:t>
            </w:r>
          </w:p>
        </w:tc>
        <w:tc>
          <w:tcPr>
            <w:tcW w:w="2181" w:type="pct"/>
            <w:tcMar>
              <w:left w:w="28" w:type="dxa"/>
              <w:right w:w="28" w:type="dxa"/>
            </w:tcMar>
            <w:vAlign w:val="center"/>
          </w:tcPr>
          <w:p w14:paraId="4255BBF1">
            <w:pPr>
              <w:spacing w:line="0" w:lineRule="atLeast"/>
              <w:rPr>
                <w:rFonts w:hint="eastAsia" w:hAnsi="宋体"/>
                <w:color w:val="000000"/>
                <w:spacing w:val="-10"/>
                <w:sz w:val="21"/>
                <w:szCs w:val="21"/>
              </w:rPr>
            </w:pPr>
            <w:r>
              <w:rPr>
                <w:rFonts w:hint="eastAsia" w:hAnsi="宋体"/>
                <w:color w:val="000000"/>
                <w:spacing w:val="-10"/>
                <w:sz w:val="21"/>
                <w:szCs w:val="21"/>
                <w:lang w:val="zh-CN"/>
              </w:rPr>
              <w:t>积极支持两大油田公司加大油气资源勘探开发力度，推动顺北、塔河主体、博孜</w:t>
            </w:r>
            <w:r>
              <w:rPr>
                <w:rFonts w:hAnsi="宋体"/>
                <w:color w:val="000000"/>
                <w:spacing w:val="-10"/>
                <w:sz w:val="21"/>
                <w:szCs w:val="21"/>
                <w:lang w:val="zh-CN"/>
              </w:rPr>
              <w:t>—</w:t>
            </w:r>
            <w:r>
              <w:rPr>
                <w:rFonts w:hint="eastAsia" w:hAnsi="宋体"/>
                <w:color w:val="000000"/>
                <w:spacing w:val="-10"/>
                <w:sz w:val="21"/>
                <w:szCs w:val="21"/>
                <w:lang w:val="zh-CN"/>
              </w:rPr>
              <w:t>大北等区块油气开采取得重要成果，新增油气资源全部留用当地加工转化，加大地区天然气管网、储备和运营设施建设及互联互通工作，重点联通博孜、克深、英买力等气田至温宿产业园区及西部县（市）天然气管网，集中在温宿发展天然气化工产业，辐射至阿克苏市、柯坪县</w:t>
            </w:r>
          </w:p>
        </w:tc>
        <w:tc>
          <w:tcPr>
            <w:tcW w:w="1429" w:type="pct"/>
            <w:tcMar>
              <w:left w:w="28" w:type="dxa"/>
              <w:right w:w="28" w:type="dxa"/>
            </w:tcMar>
            <w:vAlign w:val="center"/>
          </w:tcPr>
          <w:p w14:paraId="2CB1C545">
            <w:pPr>
              <w:spacing w:line="0" w:lineRule="atLeast"/>
              <w:rPr>
                <w:rFonts w:hint="eastAsia" w:hAnsi="宋体"/>
                <w:color w:val="000000"/>
                <w:spacing w:val="-10"/>
                <w:sz w:val="21"/>
                <w:szCs w:val="21"/>
              </w:rPr>
            </w:pPr>
            <w:r>
              <w:rPr>
                <w:rFonts w:hint="eastAsia" w:hAnsi="宋体"/>
                <w:color w:val="000000"/>
                <w:spacing w:val="-10"/>
                <w:sz w:val="21"/>
                <w:szCs w:val="21"/>
              </w:rPr>
              <w:t>拟建工程属于塔里木油田分公司塔中Ⅰ号气田Ⅲ区油气开采项目</w:t>
            </w:r>
          </w:p>
        </w:tc>
        <w:tc>
          <w:tcPr>
            <w:tcW w:w="391" w:type="pct"/>
            <w:tcMar>
              <w:left w:w="28" w:type="dxa"/>
              <w:right w:w="28" w:type="dxa"/>
            </w:tcMar>
            <w:vAlign w:val="center"/>
          </w:tcPr>
          <w:p w14:paraId="578BB58B">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720A6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62" w:hRule="atLeast"/>
          <w:jc w:val="center"/>
        </w:trPr>
        <w:tc>
          <w:tcPr>
            <w:tcW w:w="996" w:type="pct"/>
            <w:tcMar>
              <w:left w:w="28" w:type="dxa"/>
              <w:right w:w="28" w:type="dxa"/>
            </w:tcMar>
            <w:vAlign w:val="center"/>
          </w:tcPr>
          <w:p w14:paraId="0FA81961">
            <w:pPr>
              <w:spacing w:line="0" w:lineRule="atLeast"/>
              <w:jc w:val="center"/>
              <w:rPr>
                <w:rFonts w:hint="eastAsia" w:hAnsi="宋体"/>
                <w:color w:val="000000"/>
                <w:spacing w:val="-10"/>
                <w:sz w:val="21"/>
                <w:szCs w:val="21"/>
              </w:rPr>
            </w:pPr>
            <w:r>
              <w:rPr>
                <w:rFonts w:hAnsi="宋体"/>
                <w:color w:val="000000"/>
                <w:spacing w:val="-10"/>
                <w:sz w:val="21"/>
                <w:szCs w:val="21"/>
              </w:rPr>
              <w:br w:type="page"/>
            </w:r>
            <w:r>
              <w:rPr>
                <w:rFonts w:hint="eastAsia" w:hAnsi="宋体" w:cs="宋体"/>
                <w:color w:val="000000"/>
                <w:spacing w:val="-10"/>
                <w:sz w:val="21"/>
                <w:szCs w:val="21"/>
              </w:rPr>
              <w:t>《和田地区国民经济和社会发展第十四个五年规划和2035年远景目标纲要》</w:t>
            </w:r>
          </w:p>
        </w:tc>
        <w:tc>
          <w:tcPr>
            <w:tcW w:w="2181" w:type="pct"/>
            <w:tcMar>
              <w:left w:w="28" w:type="dxa"/>
              <w:right w:w="28" w:type="dxa"/>
            </w:tcMar>
            <w:vAlign w:val="center"/>
          </w:tcPr>
          <w:p w14:paraId="32D61430">
            <w:pPr>
              <w:spacing w:line="0" w:lineRule="atLeast"/>
              <w:rPr>
                <w:rFonts w:hint="eastAsia" w:hAnsi="宋体"/>
                <w:color w:val="000000"/>
                <w:spacing w:val="-10"/>
                <w:sz w:val="21"/>
                <w:szCs w:val="21"/>
                <w:lang w:val="zh-CN"/>
              </w:rPr>
            </w:pPr>
            <w:r>
              <w:rPr>
                <w:rFonts w:hint="eastAsia" w:hAnsi="宋体"/>
                <w:color w:val="000000"/>
                <w:spacing w:val="-10"/>
                <w:sz w:val="21"/>
                <w:szCs w:val="21"/>
                <w:lang w:val="zh-CN"/>
              </w:rPr>
              <w:t>实行最严格的生态保护制度，严禁“三高”项目进和田，严格执行能源、矿产资源开发自治区人民政府“一支笔”审批制度，守住生态保护红线、环境质量底线和自然资源利用上线。</w:t>
            </w:r>
          </w:p>
        </w:tc>
        <w:tc>
          <w:tcPr>
            <w:tcW w:w="1429" w:type="pct"/>
            <w:tcMar>
              <w:left w:w="28" w:type="dxa"/>
              <w:right w:w="28" w:type="dxa"/>
            </w:tcMar>
            <w:vAlign w:val="center"/>
          </w:tcPr>
          <w:p w14:paraId="13569584">
            <w:pPr>
              <w:spacing w:line="0" w:lineRule="atLeast"/>
              <w:rPr>
                <w:rFonts w:hint="eastAsia" w:hAnsi="宋体"/>
                <w:color w:val="000000"/>
                <w:spacing w:val="-10"/>
                <w:sz w:val="21"/>
                <w:szCs w:val="21"/>
              </w:rPr>
            </w:pPr>
            <w:r>
              <w:rPr>
                <w:rFonts w:hint="eastAsia" w:hAnsi="宋体"/>
                <w:color w:val="000000"/>
                <w:spacing w:val="-10"/>
                <w:sz w:val="21"/>
                <w:szCs w:val="21"/>
              </w:rPr>
              <w:t>拟建工程属于塔里木油田油气开发项目，不属于“三高”项目，工程不涉及生态保护红线，工程的建设不会突破区域环境质量底线和自然资源利用上线</w:t>
            </w:r>
          </w:p>
        </w:tc>
        <w:tc>
          <w:tcPr>
            <w:tcW w:w="391" w:type="pct"/>
            <w:tcMar>
              <w:left w:w="28" w:type="dxa"/>
              <w:right w:w="28" w:type="dxa"/>
            </w:tcMar>
            <w:vAlign w:val="center"/>
          </w:tcPr>
          <w:p w14:paraId="4D7A24C9">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0F54A1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955" w:hRule="atLeast"/>
          <w:jc w:val="center"/>
        </w:trPr>
        <w:tc>
          <w:tcPr>
            <w:tcW w:w="996" w:type="pct"/>
            <w:vMerge w:val="restart"/>
            <w:tcMar>
              <w:left w:w="28" w:type="dxa"/>
              <w:right w:w="28" w:type="dxa"/>
            </w:tcMar>
            <w:vAlign w:val="center"/>
          </w:tcPr>
          <w:p w14:paraId="2D9E70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《新疆生态环境保护“十四五”规划》</w:t>
            </w:r>
          </w:p>
        </w:tc>
        <w:tc>
          <w:tcPr>
            <w:tcW w:w="2181" w:type="pct"/>
            <w:tcMar>
              <w:left w:w="28" w:type="dxa"/>
              <w:right w:w="28" w:type="dxa"/>
            </w:tcMar>
            <w:vAlign w:val="center"/>
          </w:tcPr>
          <w:p w14:paraId="7AD0343E">
            <w:pPr>
              <w:spacing w:line="0" w:lineRule="atLeast"/>
              <w:rPr>
                <w:rFonts w:hint="eastAsia" w:hAnsi="宋体"/>
                <w:color w:val="000000"/>
                <w:spacing w:val="-10"/>
                <w:sz w:val="21"/>
                <w:szCs w:val="21"/>
                <w:lang w:val="zh-CN"/>
              </w:rPr>
            </w:pPr>
            <w:r>
              <w:rPr>
                <w:rFonts w:hint="eastAsia" w:hAnsi="宋体"/>
                <w:color w:val="000000"/>
                <w:spacing w:val="-10"/>
                <w:sz w:val="21"/>
                <w:szCs w:val="21"/>
              </w:rPr>
              <w:t>加强重点行业VOC</w:t>
            </w:r>
            <w:r>
              <w:rPr>
                <w:rFonts w:hint="eastAsia" w:hAnsi="宋体"/>
                <w:color w:val="000000"/>
                <w:spacing w:val="-10"/>
                <w:sz w:val="21"/>
                <w:szCs w:val="21"/>
                <w:vertAlign w:val="subscript"/>
              </w:rPr>
              <w:t>S</w:t>
            </w:r>
            <w:r>
              <w:rPr>
                <w:rFonts w:hint="eastAsia" w:hAnsi="宋体"/>
                <w:color w:val="000000"/>
                <w:spacing w:val="-10"/>
                <w:sz w:val="21"/>
                <w:szCs w:val="21"/>
              </w:rPr>
              <w:t>治理。实施VOC</w:t>
            </w:r>
            <w:r>
              <w:rPr>
                <w:rFonts w:hint="eastAsia" w:hAnsi="宋体"/>
                <w:color w:val="000000"/>
                <w:spacing w:val="-10"/>
                <w:sz w:val="21"/>
                <w:szCs w:val="21"/>
                <w:vertAlign w:val="subscript"/>
              </w:rPr>
              <w:t>S</w:t>
            </w:r>
            <w:r>
              <w:rPr>
                <w:rFonts w:hint="eastAsia" w:hAnsi="宋体"/>
                <w:color w:val="000000"/>
                <w:spacing w:val="-10"/>
                <w:sz w:val="21"/>
                <w:szCs w:val="21"/>
              </w:rPr>
              <w:t>排放总量控制，重点推进石油天然气开采、石化、化工、包装印刷、工业涂装、油品储运销等重点行业排放源以及机动车等移动源VOC</w:t>
            </w:r>
            <w:r>
              <w:rPr>
                <w:rFonts w:hint="eastAsia" w:hAnsi="宋体"/>
                <w:color w:val="000000"/>
                <w:spacing w:val="-10"/>
                <w:sz w:val="21"/>
                <w:szCs w:val="21"/>
                <w:vertAlign w:val="subscript"/>
              </w:rPr>
              <w:t>S</w:t>
            </w:r>
            <w:r>
              <w:rPr>
                <w:rFonts w:hint="eastAsia" w:hAnsi="宋体"/>
                <w:color w:val="000000"/>
                <w:spacing w:val="-10"/>
                <w:sz w:val="21"/>
                <w:szCs w:val="21"/>
              </w:rPr>
              <w:t>污染防治，加强重点行业、重点企业的精细化管控；全面推进使用低VOC</w:t>
            </w:r>
            <w:r>
              <w:rPr>
                <w:rFonts w:hint="eastAsia" w:hAnsi="宋体"/>
                <w:color w:val="000000"/>
                <w:spacing w:val="-10"/>
                <w:sz w:val="21"/>
                <w:szCs w:val="21"/>
                <w:vertAlign w:val="subscript"/>
              </w:rPr>
              <w:t>S</w:t>
            </w:r>
            <w:r>
              <w:rPr>
                <w:rFonts w:hint="eastAsia" w:hAnsi="宋体"/>
                <w:color w:val="000000"/>
                <w:spacing w:val="-10"/>
                <w:sz w:val="21"/>
                <w:szCs w:val="21"/>
              </w:rPr>
              <w:t>含量涂料、油墨、胶粘剂、清洗剂等；加强汽修行业VOC</w:t>
            </w:r>
            <w:r>
              <w:rPr>
                <w:rFonts w:hint="eastAsia" w:hAnsi="宋体"/>
                <w:color w:val="000000"/>
                <w:spacing w:val="-10"/>
                <w:sz w:val="21"/>
                <w:szCs w:val="21"/>
                <w:vertAlign w:val="subscript"/>
              </w:rPr>
              <w:t>S</w:t>
            </w:r>
            <w:r>
              <w:rPr>
                <w:rFonts w:hint="eastAsia" w:hAnsi="宋体"/>
                <w:color w:val="000000"/>
                <w:spacing w:val="-10"/>
                <w:sz w:val="21"/>
                <w:szCs w:val="21"/>
              </w:rPr>
              <w:t>综合治理，加大餐饮油烟污染治理力度，持续削减VOC</w:t>
            </w:r>
            <w:r>
              <w:rPr>
                <w:rFonts w:hint="eastAsia" w:hAnsi="宋体"/>
                <w:color w:val="000000"/>
                <w:spacing w:val="-10"/>
                <w:sz w:val="21"/>
                <w:szCs w:val="21"/>
                <w:vertAlign w:val="subscript"/>
              </w:rPr>
              <w:t>S</w:t>
            </w:r>
            <w:r>
              <w:rPr>
                <w:rFonts w:hint="eastAsia" w:hAnsi="宋体"/>
                <w:color w:val="000000"/>
                <w:spacing w:val="-10"/>
                <w:sz w:val="21"/>
                <w:szCs w:val="21"/>
              </w:rPr>
              <w:t>排放量</w:t>
            </w:r>
          </w:p>
        </w:tc>
        <w:tc>
          <w:tcPr>
            <w:tcW w:w="1429" w:type="pct"/>
            <w:tcMar>
              <w:left w:w="28" w:type="dxa"/>
              <w:right w:w="28" w:type="dxa"/>
            </w:tcMar>
            <w:vAlign w:val="center"/>
          </w:tcPr>
          <w:p w14:paraId="738E0F14">
            <w:pPr>
              <w:spacing w:line="0" w:lineRule="atLeast"/>
              <w:rPr>
                <w:rFonts w:hAnsi="宋体"/>
                <w:color w:val="000000"/>
                <w:spacing w:val="-10"/>
                <w:sz w:val="21"/>
                <w:szCs w:val="21"/>
              </w:rPr>
            </w:pPr>
            <w:r>
              <w:rPr>
                <w:rFonts w:hint="eastAsia" w:hAnsi="宋体"/>
                <w:color w:val="000000"/>
                <w:spacing w:val="-10"/>
                <w:sz w:val="21"/>
                <w:szCs w:val="21"/>
              </w:rPr>
              <w:t>拟建工程不涉及VOC</w:t>
            </w:r>
            <w:r>
              <w:rPr>
                <w:rFonts w:hint="eastAsia" w:hAnsi="宋体"/>
                <w:color w:val="000000"/>
                <w:spacing w:val="-10"/>
                <w:sz w:val="21"/>
                <w:szCs w:val="21"/>
                <w:vertAlign w:val="subscript"/>
              </w:rPr>
              <w:t>S</w:t>
            </w:r>
            <w:r>
              <w:rPr>
                <w:rFonts w:hint="eastAsia" w:hAnsi="宋体"/>
                <w:color w:val="000000"/>
                <w:spacing w:val="-10"/>
                <w:sz w:val="21"/>
                <w:szCs w:val="21"/>
              </w:rPr>
              <w:t>排放</w:t>
            </w:r>
          </w:p>
        </w:tc>
        <w:tc>
          <w:tcPr>
            <w:tcW w:w="391" w:type="pct"/>
            <w:tcMar>
              <w:left w:w="28" w:type="dxa"/>
              <w:right w:w="28" w:type="dxa"/>
            </w:tcMar>
            <w:vAlign w:val="center"/>
          </w:tcPr>
          <w:p w14:paraId="65D5EC03">
            <w:pPr>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7BD8C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50" w:hRule="atLeast"/>
          <w:jc w:val="center"/>
        </w:trPr>
        <w:tc>
          <w:tcPr>
            <w:tcW w:w="996" w:type="pct"/>
            <w:vMerge w:val="continue"/>
            <w:tcMar>
              <w:left w:w="28" w:type="dxa"/>
              <w:right w:w="28" w:type="dxa"/>
            </w:tcMar>
            <w:vAlign w:val="center"/>
          </w:tcPr>
          <w:p w14:paraId="367BEDFF">
            <w:pPr>
              <w:spacing w:line="0" w:lineRule="atLeast"/>
              <w:jc w:val="center"/>
              <w:rPr>
                <w:rFonts w:hint="eastAsia" w:hAnsi="宋体" w:cs="宋体"/>
                <w:color w:val="000000"/>
                <w:spacing w:val="-10"/>
                <w:sz w:val="21"/>
                <w:szCs w:val="21"/>
              </w:rPr>
            </w:pPr>
          </w:p>
        </w:tc>
        <w:tc>
          <w:tcPr>
            <w:tcW w:w="2181" w:type="pct"/>
            <w:tcMar>
              <w:left w:w="28" w:type="dxa"/>
              <w:right w:w="28" w:type="dxa"/>
            </w:tcMar>
            <w:vAlign w:val="center"/>
          </w:tcPr>
          <w:p w14:paraId="10C26066">
            <w:pPr>
              <w:spacing w:line="0" w:lineRule="atLeast"/>
              <w:rPr>
                <w:rFonts w:hint="eastAsia" w:hAnsi="宋体"/>
                <w:color w:val="000000"/>
                <w:spacing w:val="-10"/>
                <w:sz w:val="21"/>
                <w:szCs w:val="21"/>
                <w:lang w:val="zh-CN"/>
              </w:rPr>
            </w:pPr>
            <w:r>
              <w:rPr>
                <w:rFonts w:hint="eastAsia" w:hAnsi="宋体"/>
                <w:color w:val="000000"/>
                <w:spacing w:val="-10"/>
                <w:sz w:val="21"/>
                <w:szCs w:val="21"/>
              </w:rPr>
              <w:t>加强企业自行监测管理。全面履行排污单位自行监测及信息公开制度，加强帮扶指导和调度监督，督促取得排污许可证的排污单位按要求开展监测</w:t>
            </w:r>
          </w:p>
        </w:tc>
        <w:tc>
          <w:tcPr>
            <w:tcW w:w="1429" w:type="pct"/>
            <w:tcMar>
              <w:left w:w="28" w:type="dxa"/>
              <w:right w:w="28" w:type="dxa"/>
            </w:tcMar>
            <w:vAlign w:val="center"/>
          </w:tcPr>
          <w:p w14:paraId="44C496E4">
            <w:pPr>
              <w:spacing w:line="0" w:lineRule="atLeast"/>
              <w:rPr>
                <w:rFonts w:hint="eastAsia" w:hAnsi="宋体"/>
                <w:color w:val="000000"/>
                <w:spacing w:val="-10"/>
                <w:sz w:val="21"/>
                <w:szCs w:val="21"/>
              </w:rPr>
            </w:pPr>
            <w:r>
              <w:rPr>
                <w:rFonts w:hint="eastAsia" w:hAnsi="宋体"/>
                <w:color w:val="000000"/>
                <w:spacing w:val="-10"/>
                <w:sz w:val="21"/>
                <w:szCs w:val="21"/>
              </w:rPr>
              <w:t>报告中已提出环境监测计划，详见：“8.4.3 监测计划”</w:t>
            </w:r>
          </w:p>
        </w:tc>
        <w:tc>
          <w:tcPr>
            <w:tcW w:w="391" w:type="pct"/>
            <w:tcMar>
              <w:left w:w="28" w:type="dxa"/>
              <w:right w:w="28" w:type="dxa"/>
            </w:tcMar>
            <w:vAlign w:val="center"/>
          </w:tcPr>
          <w:p w14:paraId="16C60DB5">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bl>
    <w:p w14:paraId="3E351518">
      <w:pPr>
        <w:spacing w:line="480" w:lineRule="exact"/>
        <w:ind w:firstLine="526" w:firstLineChars="200"/>
        <w:rPr>
          <w:rFonts w:ascii="黑体" w:hAnsi="黑体" w:eastAsia="黑体"/>
          <w:color w:val="000000"/>
          <w:szCs w:val="24"/>
        </w:rPr>
      </w:pPr>
      <w:r>
        <w:rPr>
          <w:rFonts w:hint="eastAsia" w:ascii="黑体" w:hAnsi="黑体" w:eastAsia="黑体"/>
          <w:color w:val="000000"/>
          <w:szCs w:val="24"/>
        </w:rPr>
        <w:t>续表3.5-1         相关规划符合性分析一览表</w:t>
      </w:r>
    </w:p>
    <w:tbl>
      <w:tblPr>
        <w:tblStyle w:val="48"/>
        <w:tblW w:w="49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790"/>
        <w:gridCol w:w="3918"/>
        <w:gridCol w:w="2573"/>
        <w:gridCol w:w="702"/>
      </w:tblGrid>
      <w:tr w14:paraId="17050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6" w:type="pct"/>
            <w:tcMar>
              <w:left w:w="28" w:type="dxa"/>
              <w:right w:w="28" w:type="dxa"/>
            </w:tcMar>
            <w:vAlign w:val="center"/>
          </w:tcPr>
          <w:p w14:paraId="71D0B5EC">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2181" w:type="pct"/>
            <w:tcMar>
              <w:left w:w="28" w:type="dxa"/>
              <w:right w:w="28" w:type="dxa"/>
            </w:tcMar>
            <w:vAlign w:val="center"/>
          </w:tcPr>
          <w:p w14:paraId="2E4F192D">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429" w:type="pct"/>
            <w:tcMar>
              <w:left w:w="28" w:type="dxa"/>
              <w:right w:w="28" w:type="dxa"/>
            </w:tcMar>
            <w:vAlign w:val="center"/>
          </w:tcPr>
          <w:p w14:paraId="5AC7677D">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391" w:type="pct"/>
            <w:tcMar>
              <w:left w:w="28" w:type="dxa"/>
              <w:right w:w="28" w:type="dxa"/>
            </w:tcMar>
            <w:vAlign w:val="center"/>
          </w:tcPr>
          <w:p w14:paraId="6CF154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19815C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56" w:hRule="atLeast"/>
          <w:jc w:val="center"/>
        </w:trPr>
        <w:tc>
          <w:tcPr>
            <w:tcW w:w="996" w:type="pct"/>
            <w:tcMar>
              <w:left w:w="28" w:type="dxa"/>
              <w:right w:w="28" w:type="dxa"/>
            </w:tcMar>
            <w:vAlign w:val="center"/>
          </w:tcPr>
          <w:p w14:paraId="29BA043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《新疆生态环境保护“十四五”规划》</w:t>
            </w:r>
          </w:p>
        </w:tc>
        <w:tc>
          <w:tcPr>
            <w:tcW w:w="2181" w:type="pct"/>
            <w:tcMar>
              <w:left w:w="28" w:type="dxa"/>
              <w:right w:w="28" w:type="dxa"/>
            </w:tcMar>
            <w:vAlign w:val="center"/>
          </w:tcPr>
          <w:p w14:paraId="3A13C665">
            <w:pPr>
              <w:spacing w:line="0" w:lineRule="atLeast"/>
              <w:rPr>
                <w:rFonts w:hint="eastAsia" w:hAnsi="宋体"/>
                <w:color w:val="000000"/>
                <w:spacing w:val="-10"/>
                <w:sz w:val="21"/>
                <w:szCs w:val="21"/>
                <w:lang w:val="zh-CN"/>
              </w:rPr>
            </w:pPr>
            <w:r>
              <w:rPr>
                <w:rFonts w:hint="eastAsia" w:hAnsi="宋体"/>
                <w:color w:val="000000"/>
                <w:spacing w:val="-10"/>
                <w:sz w:val="21"/>
                <w:szCs w:val="21"/>
              </w:rPr>
              <w:t>强化危险废物全过程环境监管。建立健全各类危险废物重点监管单位清单，全面实行危险废物清单化管理。督促各类危险废物产生单位和经营单位依法申报危险废物产生处置情况，报备管理计划，做好信息公开工作，规范运行危险废物转移联单。</w:t>
            </w:r>
          </w:p>
        </w:tc>
        <w:tc>
          <w:tcPr>
            <w:tcW w:w="1429" w:type="pct"/>
            <w:tcMar>
              <w:left w:w="28" w:type="dxa"/>
              <w:right w:w="28" w:type="dxa"/>
            </w:tcMar>
            <w:vAlign w:val="center"/>
          </w:tcPr>
          <w:p w14:paraId="5079FD1E">
            <w:pPr>
              <w:spacing w:line="0" w:lineRule="atLeast"/>
              <w:rPr>
                <w:rFonts w:hAnsi="宋体"/>
                <w:color w:val="000000"/>
                <w:spacing w:val="-10"/>
                <w:sz w:val="21"/>
                <w:szCs w:val="21"/>
              </w:rPr>
            </w:pPr>
            <w:r>
              <w:rPr>
                <w:rFonts w:hint="eastAsia" w:hAnsi="宋体"/>
                <w:color w:val="000000"/>
                <w:spacing w:val="-10"/>
                <w:sz w:val="21"/>
                <w:szCs w:val="21"/>
              </w:rPr>
              <w:t>拟建工程施工期产生的危险废物严格落实《危险废物环境管理指南 陆上石油天然气开采》（生态环境部公告 2021年 第74号）、《危险废物转移管理办法》（生态环境部令 第23号）中相关管理要求，营运期间无固废产生</w:t>
            </w:r>
          </w:p>
        </w:tc>
        <w:tc>
          <w:tcPr>
            <w:tcW w:w="391" w:type="pct"/>
            <w:tcMar>
              <w:left w:w="28" w:type="dxa"/>
              <w:right w:w="28" w:type="dxa"/>
            </w:tcMar>
            <w:vAlign w:val="center"/>
          </w:tcPr>
          <w:p w14:paraId="26AB93F3">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2A37AC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48" w:hRule="atLeast"/>
          <w:jc w:val="center"/>
        </w:trPr>
        <w:tc>
          <w:tcPr>
            <w:tcW w:w="996" w:type="pct"/>
            <w:vMerge w:val="restart"/>
            <w:tcMar>
              <w:left w:w="28" w:type="dxa"/>
              <w:right w:w="28" w:type="dxa"/>
            </w:tcMar>
            <w:vAlign w:val="center"/>
          </w:tcPr>
          <w:p w14:paraId="76DF7158">
            <w:pPr>
              <w:spacing w:line="0" w:lineRule="atLeast"/>
              <w:jc w:val="center"/>
              <w:rPr>
                <w:rFonts w:hint="eastAsia" w:hAnsi="宋体"/>
                <w:color w:val="000000"/>
                <w:spacing w:val="-10"/>
                <w:sz w:val="21"/>
                <w:szCs w:val="21"/>
              </w:rPr>
            </w:pPr>
            <w:r>
              <w:rPr>
                <w:rFonts w:hint="eastAsia" w:hAnsi="宋体"/>
                <w:color w:val="000000"/>
                <w:spacing w:val="-10"/>
                <w:sz w:val="21"/>
                <w:szCs w:val="21"/>
              </w:rPr>
              <w:t>《阿克苏地区生态环境保护“十四五”规划》</w:t>
            </w:r>
          </w:p>
        </w:tc>
        <w:tc>
          <w:tcPr>
            <w:tcW w:w="2181" w:type="pct"/>
            <w:tcMar>
              <w:left w:w="28" w:type="dxa"/>
              <w:right w:w="28" w:type="dxa"/>
            </w:tcMar>
            <w:vAlign w:val="center"/>
          </w:tcPr>
          <w:p w14:paraId="5688BDE2">
            <w:pPr>
              <w:adjustRightInd w:val="0"/>
              <w:spacing w:line="0" w:lineRule="atLeast"/>
              <w:rPr>
                <w:rFonts w:hint="eastAsia" w:hAnsi="宋体"/>
                <w:color w:val="000000"/>
                <w:spacing w:val="-10"/>
                <w:sz w:val="21"/>
                <w:szCs w:val="21"/>
              </w:rPr>
            </w:pPr>
            <w:r>
              <w:rPr>
                <w:rFonts w:hint="eastAsia" w:hAnsi="宋体"/>
                <w:color w:val="000000"/>
                <w:spacing w:val="-10"/>
                <w:sz w:val="21"/>
                <w:szCs w:val="21"/>
              </w:rPr>
              <w:t>以石化、化工等行业为重点，加快实施VOC</w:t>
            </w:r>
            <w:r>
              <w:rPr>
                <w:rFonts w:hint="eastAsia" w:hAnsi="宋体"/>
                <w:color w:val="000000"/>
                <w:spacing w:val="-10"/>
                <w:sz w:val="21"/>
                <w:szCs w:val="21"/>
                <w:vertAlign w:val="subscript"/>
              </w:rPr>
              <w:t>S</w:t>
            </w:r>
            <w:r>
              <w:rPr>
                <w:rFonts w:hint="eastAsia" w:hAnsi="宋体"/>
                <w:color w:val="000000"/>
                <w:spacing w:val="-10"/>
                <w:sz w:val="21"/>
                <w:szCs w:val="21"/>
              </w:rPr>
              <w:t>治理工程建设。石化、化工行业全面推进储罐改造，使用高效、低泄漏的浮盘和呼吸阀，推进低泄漏设备和管线组件的更换，中石化塔河炼化有限责任公司对火车装卸设施开展改造，新建油气回收装置和VOC</w:t>
            </w:r>
            <w:r>
              <w:rPr>
                <w:rFonts w:hint="eastAsia" w:hAnsi="宋体"/>
                <w:color w:val="000000"/>
                <w:spacing w:val="-10"/>
                <w:sz w:val="21"/>
                <w:szCs w:val="21"/>
                <w:vertAlign w:val="subscript"/>
              </w:rPr>
              <w:t>S</w:t>
            </w:r>
            <w:r>
              <w:rPr>
                <w:rFonts w:hint="eastAsia" w:hAnsi="宋体"/>
                <w:color w:val="000000"/>
                <w:spacing w:val="-10"/>
                <w:sz w:val="21"/>
                <w:szCs w:val="21"/>
              </w:rPr>
              <w:t>在线监控设施；中石油、中石化、中曼石油等针对储罐、装载、污水集输储存处置和生产工艺过程等环节建设适宜高效的VOC</w:t>
            </w:r>
            <w:r>
              <w:rPr>
                <w:rFonts w:hint="eastAsia" w:hAnsi="宋体"/>
                <w:color w:val="000000"/>
                <w:spacing w:val="-10"/>
                <w:sz w:val="21"/>
                <w:szCs w:val="21"/>
                <w:vertAlign w:val="subscript"/>
              </w:rPr>
              <w:t>S</w:t>
            </w:r>
            <w:r>
              <w:rPr>
                <w:rFonts w:hint="eastAsia" w:hAnsi="宋体"/>
                <w:color w:val="000000"/>
                <w:spacing w:val="-10"/>
                <w:sz w:val="21"/>
                <w:szCs w:val="21"/>
              </w:rPr>
              <w:t>治理设施，对采油作业区采出水罐、工艺池、卸油台、晾晒池等开展VOC</w:t>
            </w:r>
            <w:r>
              <w:rPr>
                <w:rFonts w:hint="eastAsia" w:hAnsi="宋体"/>
                <w:color w:val="000000"/>
                <w:spacing w:val="-10"/>
                <w:sz w:val="21"/>
                <w:szCs w:val="21"/>
                <w:vertAlign w:val="subscript"/>
              </w:rPr>
              <w:t>S</w:t>
            </w:r>
            <w:r>
              <w:rPr>
                <w:rFonts w:hint="eastAsia" w:hAnsi="宋体"/>
                <w:color w:val="000000"/>
                <w:spacing w:val="-10"/>
                <w:sz w:val="21"/>
                <w:szCs w:val="21"/>
              </w:rPr>
              <w:t>治理，加快更换装载方式</w:t>
            </w:r>
          </w:p>
        </w:tc>
        <w:tc>
          <w:tcPr>
            <w:tcW w:w="1429" w:type="pct"/>
            <w:tcMar>
              <w:left w:w="28" w:type="dxa"/>
              <w:right w:w="28" w:type="dxa"/>
            </w:tcMar>
            <w:vAlign w:val="center"/>
          </w:tcPr>
          <w:p w14:paraId="35A794B1">
            <w:pPr>
              <w:spacing w:line="0" w:lineRule="atLeast"/>
              <w:rPr>
                <w:rFonts w:hAnsi="宋体"/>
                <w:color w:val="000000"/>
                <w:spacing w:val="-10"/>
                <w:sz w:val="21"/>
                <w:szCs w:val="21"/>
              </w:rPr>
            </w:pPr>
            <w:r>
              <w:rPr>
                <w:rFonts w:hint="eastAsia" w:hAnsi="宋体"/>
                <w:color w:val="000000"/>
                <w:spacing w:val="-10"/>
                <w:sz w:val="21"/>
                <w:szCs w:val="21"/>
              </w:rPr>
              <w:t>拟建工程不涉及VOC</w:t>
            </w:r>
            <w:r>
              <w:rPr>
                <w:rFonts w:hint="eastAsia" w:hAnsi="宋体"/>
                <w:color w:val="000000"/>
                <w:spacing w:val="-10"/>
                <w:sz w:val="21"/>
                <w:szCs w:val="21"/>
                <w:vertAlign w:val="subscript"/>
              </w:rPr>
              <w:t>S</w:t>
            </w:r>
            <w:r>
              <w:rPr>
                <w:rFonts w:hint="eastAsia" w:hAnsi="宋体"/>
                <w:color w:val="000000"/>
                <w:spacing w:val="-10"/>
                <w:sz w:val="21"/>
                <w:szCs w:val="21"/>
              </w:rPr>
              <w:t>排放</w:t>
            </w:r>
          </w:p>
        </w:tc>
        <w:tc>
          <w:tcPr>
            <w:tcW w:w="391" w:type="pct"/>
            <w:tcMar>
              <w:left w:w="28" w:type="dxa"/>
              <w:right w:w="28" w:type="dxa"/>
            </w:tcMar>
            <w:vAlign w:val="center"/>
          </w:tcPr>
          <w:p w14:paraId="55CD5049">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205C6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5" w:type="pct"/>
            <w:vMerge w:val="continue"/>
            <w:tcMar>
              <w:left w:w="28" w:type="dxa"/>
              <w:right w:w="28" w:type="dxa"/>
            </w:tcMar>
            <w:vAlign w:val="center"/>
          </w:tcPr>
          <w:p w14:paraId="22259A1E">
            <w:pPr>
              <w:spacing w:line="0" w:lineRule="atLeast"/>
              <w:jc w:val="center"/>
              <w:rPr>
                <w:rFonts w:hint="eastAsia" w:hAnsi="宋体"/>
                <w:color w:val="000000"/>
                <w:spacing w:val="-10"/>
                <w:sz w:val="21"/>
                <w:szCs w:val="21"/>
              </w:rPr>
            </w:pPr>
          </w:p>
        </w:tc>
        <w:tc>
          <w:tcPr>
            <w:tcW w:w="2181" w:type="pct"/>
            <w:tcMar>
              <w:left w:w="28" w:type="dxa"/>
              <w:right w:w="28" w:type="dxa"/>
            </w:tcMar>
            <w:vAlign w:val="center"/>
          </w:tcPr>
          <w:p w14:paraId="2EE14633">
            <w:pPr>
              <w:adjustRightInd w:val="0"/>
              <w:spacing w:line="0" w:lineRule="atLeast"/>
              <w:rPr>
                <w:rFonts w:hint="eastAsia" w:hAnsi="宋体"/>
                <w:color w:val="000000"/>
                <w:spacing w:val="-10"/>
                <w:sz w:val="21"/>
                <w:szCs w:val="21"/>
              </w:rPr>
            </w:pPr>
            <w:r>
              <w:rPr>
                <w:rFonts w:hint="eastAsia" w:hAnsi="宋体"/>
                <w:color w:val="000000"/>
                <w:spacing w:val="-10"/>
                <w:sz w:val="21"/>
                <w:szCs w:val="21"/>
              </w:rPr>
              <w:t>持续开展地下水环境状况调查评估，以傍河型地下水饮用水水源为重点，防范受污染河段对地下水造成污染。统筹区域地表水、地下水生态环境监管。加强化学品生产企业、工业聚集区、矿山开采区等污染源地表、地下协同防治与环境风险管控。划定地下水型饮用水水源补给区并强化保护措施，开展地下水污染防治重点区划定及污染风险管控。健全分级分类的地下水环境监测评价体系。实施水土环境风险协同防控。在地表水、地下水交互密切的典型地区开展污染综合防治试点。杜绝污水直接排入雨水管网，推进城镇污水管网全覆盖，落实土壤污染和地下水污染的协同防治，切实保障地下水生态环境安全</w:t>
            </w:r>
          </w:p>
        </w:tc>
        <w:tc>
          <w:tcPr>
            <w:tcW w:w="1432" w:type="pct"/>
            <w:tcMar>
              <w:left w:w="28" w:type="dxa"/>
              <w:right w:w="28" w:type="dxa"/>
            </w:tcMar>
            <w:vAlign w:val="center"/>
          </w:tcPr>
          <w:p w14:paraId="780AA1DB">
            <w:pPr>
              <w:spacing w:line="0" w:lineRule="atLeast"/>
              <w:rPr>
                <w:rFonts w:hint="eastAsia" w:hAnsi="宋体"/>
                <w:color w:val="000000"/>
                <w:spacing w:val="-16"/>
                <w:sz w:val="21"/>
                <w:szCs w:val="21"/>
              </w:rPr>
            </w:pPr>
            <w:r>
              <w:rPr>
                <w:rFonts w:hint="eastAsia" w:hAnsi="宋体"/>
                <w:color w:val="000000"/>
                <w:spacing w:val="-16"/>
                <w:sz w:val="21"/>
                <w:szCs w:val="21"/>
              </w:rPr>
              <w:t>拟建工程运营期无废水产生，拟建工程</w:t>
            </w:r>
            <w:r>
              <w:rPr>
                <w:rFonts w:hint="eastAsia" w:hAnsi="宋体" w:cs="宋体"/>
                <w:color w:val="000000"/>
                <w:spacing w:val="-16"/>
                <w:sz w:val="21"/>
                <w:szCs w:val="21"/>
              </w:rPr>
              <w:t>制定完善的地下水监测计划；</w:t>
            </w:r>
            <w:r>
              <w:rPr>
                <w:rFonts w:hint="eastAsia" w:hAnsi="宋体"/>
                <w:color w:val="000000"/>
                <w:spacing w:val="-16"/>
                <w:sz w:val="21"/>
                <w:szCs w:val="21"/>
              </w:rPr>
              <w:t>切实保障地下水生态环境安全</w:t>
            </w:r>
          </w:p>
        </w:tc>
        <w:tc>
          <w:tcPr>
            <w:tcW w:w="390" w:type="pct"/>
            <w:tcMar>
              <w:left w:w="28" w:type="dxa"/>
              <w:right w:w="28" w:type="dxa"/>
            </w:tcMar>
            <w:vAlign w:val="center"/>
          </w:tcPr>
          <w:p w14:paraId="4B90E39C">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636010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5" w:type="pct"/>
            <w:vMerge w:val="continue"/>
            <w:tcMar>
              <w:left w:w="28" w:type="dxa"/>
              <w:right w:w="28" w:type="dxa"/>
            </w:tcMar>
            <w:vAlign w:val="center"/>
          </w:tcPr>
          <w:p w14:paraId="77D455D6">
            <w:pPr>
              <w:spacing w:line="0" w:lineRule="atLeast"/>
              <w:jc w:val="center"/>
              <w:rPr>
                <w:rFonts w:hint="eastAsia" w:hAnsi="宋体"/>
                <w:color w:val="000000"/>
                <w:spacing w:val="-10"/>
                <w:sz w:val="21"/>
                <w:szCs w:val="21"/>
              </w:rPr>
            </w:pPr>
          </w:p>
        </w:tc>
        <w:tc>
          <w:tcPr>
            <w:tcW w:w="2181" w:type="pct"/>
            <w:tcMar>
              <w:left w:w="28" w:type="dxa"/>
              <w:right w:w="28" w:type="dxa"/>
            </w:tcMar>
            <w:vAlign w:val="center"/>
          </w:tcPr>
          <w:p w14:paraId="169E7E77">
            <w:pPr>
              <w:adjustRightInd w:val="0"/>
              <w:spacing w:line="260" w:lineRule="exact"/>
              <w:rPr>
                <w:rFonts w:hint="eastAsia" w:hAnsi="宋体"/>
                <w:color w:val="000000"/>
                <w:spacing w:val="-10"/>
                <w:sz w:val="21"/>
                <w:szCs w:val="21"/>
              </w:rPr>
            </w:pPr>
            <w:r>
              <w:rPr>
                <w:rFonts w:hint="eastAsia" w:hAnsi="宋体"/>
                <w:color w:val="000000"/>
                <w:spacing w:val="-10"/>
                <w:sz w:val="21"/>
                <w:szCs w:val="21"/>
              </w:rPr>
              <w:t>按照生态环境部统一部署，建立健全自然保护地生态环境监管制度。组织开展自然保护地人类活动遥感监测疑似问题实地核查，实现自然保护地类型全覆盖。加强自然保护地管理，严控自然保护地内各类开发建设活动</w:t>
            </w:r>
          </w:p>
        </w:tc>
        <w:tc>
          <w:tcPr>
            <w:tcW w:w="1432" w:type="pct"/>
            <w:tcMar>
              <w:left w:w="28" w:type="dxa"/>
              <w:right w:w="28" w:type="dxa"/>
            </w:tcMar>
            <w:vAlign w:val="center"/>
          </w:tcPr>
          <w:p w14:paraId="3D2A4E27">
            <w:pPr>
              <w:spacing w:line="260" w:lineRule="exact"/>
              <w:rPr>
                <w:rFonts w:hint="eastAsia" w:hAnsi="宋体"/>
                <w:color w:val="000000"/>
                <w:spacing w:val="-10"/>
                <w:sz w:val="21"/>
                <w:szCs w:val="21"/>
              </w:rPr>
            </w:pPr>
            <w:r>
              <w:rPr>
                <w:rFonts w:hint="eastAsia" w:hAnsi="宋体"/>
                <w:color w:val="000000"/>
                <w:spacing w:val="-10"/>
                <w:sz w:val="21"/>
                <w:szCs w:val="21"/>
              </w:rPr>
              <w:t>拟建工程不占用自然保护地</w:t>
            </w:r>
          </w:p>
        </w:tc>
        <w:tc>
          <w:tcPr>
            <w:tcW w:w="390" w:type="pct"/>
            <w:tcMar>
              <w:left w:w="28" w:type="dxa"/>
              <w:right w:w="28" w:type="dxa"/>
            </w:tcMar>
            <w:vAlign w:val="center"/>
          </w:tcPr>
          <w:p w14:paraId="621F4EBE">
            <w:pPr>
              <w:spacing w:line="260" w:lineRule="exact"/>
              <w:jc w:val="center"/>
              <w:rPr>
                <w:rFonts w:hAnsi="宋体"/>
                <w:color w:val="000000"/>
                <w:spacing w:val="-10"/>
                <w:sz w:val="21"/>
                <w:szCs w:val="21"/>
              </w:rPr>
            </w:pPr>
            <w:r>
              <w:rPr>
                <w:rFonts w:hint="eastAsia" w:hAnsi="宋体"/>
                <w:color w:val="000000"/>
                <w:spacing w:val="-10"/>
                <w:sz w:val="21"/>
                <w:szCs w:val="21"/>
              </w:rPr>
              <w:t>--</w:t>
            </w:r>
          </w:p>
        </w:tc>
      </w:tr>
      <w:tr w14:paraId="7C9F4A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5" w:type="pct"/>
            <w:vMerge w:val="continue"/>
            <w:tcMar>
              <w:left w:w="28" w:type="dxa"/>
              <w:right w:w="28" w:type="dxa"/>
            </w:tcMar>
            <w:vAlign w:val="center"/>
          </w:tcPr>
          <w:p w14:paraId="0F1ADC0E">
            <w:pPr>
              <w:spacing w:line="0" w:lineRule="atLeast"/>
              <w:jc w:val="center"/>
              <w:rPr>
                <w:rFonts w:hint="eastAsia" w:hAnsi="宋体"/>
                <w:color w:val="000000"/>
                <w:spacing w:val="-10"/>
                <w:sz w:val="21"/>
                <w:szCs w:val="21"/>
              </w:rPr>
            </w:pPr>
          </w:p>
        </w:tc>
        <w:tc>
          <w:tcPr>
            <w:tcW w:w="2181" w:type="pct"/>
            <w:tcMar>
              <w:left w:w="28" w:type="dxa"/>
              <w:right w:w="28" w:type="dxa"/>
            </w:tcMar>
            <w:vAlign w:val="center"/>
          </w:tcPr>
          <w:p w14:paraId="130A63BA">
            <w:pPr>
              <w:adjustRightInd w:val="0"/>
              <w:spacing w:line="260" w:lineRule="exact"/>
              <w:rPr>
                <w:rFonts w:hint="eastAsia" w:hAnsi="宋体"/>
                <w:color w:val="000000"/>
                <w:spacing w:val="-13"/>
                <w:sz w:val="21"/>
                <w:szCs w:val="21"/>
              </w:rPr>
            </w:pPr>
            <w:r>
              <w:rPr>
                <w:rFonts w:hint="eastAsia" w:hAnsi="宋体"/>
                <w:color w:val="000000"/>
                <w:spacing w:val="-13"/>
                <w:sz w:val="21"/>
                <w:szCs w:val="21"/>
              </w:rPr>
              <w:t>建立生态保护红线管控体系，明确管理责任，强化用途管制，实现一条红线管控重要生态空间，确保生态功能不降低，面积不减少，性质不改变。开展生态保护红线基础调查和人类活动遥感监测，及时发现、移交、查处各类生态破坏问题并监督保护修复情况</w:t>
            </w:r>
          </w:p>
        </w:tc>
        <w:tc>
          <w:tcPr>
            <w:tcW w:w="1432" w:type="pct"/>
            <w:tcMar>
              <w:left w:w="28" w:type="dxa"/>
              <w:right w:w="28" w:type="dxa"/>
            </w:tcMar>
            <w:vAlign w:val="center"/>
          </w:tcPr>
          <w:p w14:paraId="0BCD7B9F">
            <w:pPr>
              <w:spacing w:line="260" w:lineRule="exact"/>
              <w:rPr>
                <w:rFonts w:hint="eastAsia" w:hAnsi="宋体"/>
                <w:color w:val="000000"/>
                <w:spacing w:val="-10"/>
                <w:sz w:val="21"/>
                <w:szCs w:val="21"/>
              </w:rPr>
            </w:pPr>
            <w:r>
              <w:rPr>
                <w:rFonts w:hint="eastAsia" w:hAnsi="宋体"/>
                <w:color w:val="000000"/>
                <w:spacing w:val="-10"/>
                <w:sz w:val="21"/>
                <w:szCs w:val="21"/>
              </w:rPr>
              <w:t>拟建工程不占用及穿越生态保护红线，可确保生态功能不降低，面积不减少，性质不改变</w:t>
            </w:r>
          </w:p>
        </w:tc>
        <w:tc>
          <w:tcPr>
            <w:tcW w:w="390" w:type="pct"/>
            <w:tcMar>
              <w:left w:w="28" w:type="dxa"/>
              <w:right w:w="28" w:type="dxa"/>
            </w:tcMar>
            <w:vAlign w:val="center"/>
          </w:tcPr>
          <w:p w14:paraId="31DB120E">
            <w:pPr>
              <w:spacing w:line="260" w:lineRule="exact"/>
              <w:jc w:val="center"/>
              <w:rPr>
                <w:rFonts w:hint="eastAsia" w:hAnsi="宋体"/>
                <w:color w:val="000000"/>
                <w:spacing w:val="-10"/>
                <w:sz w:val="21"/>
                <w:szCs w:val="21"/>
              </w:rPr>
            </w:pPr>
            <w:r>
              <w:rPr>
                <w:rFonts w:hint="eastAsia" w:hAnsi="宋体"/>
                <w:color w:val="000000"/>
                <w:spacing w:val="-10"/>
                <w:sz w:val="21"/>
                <w:szCs w:val="21"/>
              </w:rPr>
              <w:t>符合</w:t>
            </w:r>
          </w:p>
        </w:tc>
      </w:tr>
    </w:tbl>
    <w:p w14:paraId="02E99824">
      <w:pPr>
        <w:spacing w:line="460" w:lineRule="exact"/>
        <w:ind w:firstLine="526" w:firstLineChars="200"/>
        <w:rPr>
          <w:rFonts w:ascii="黑体" w:hAnsi="黑体" w:eastAsia="黑体"/>
          <w:color w:val="000000"/>
          <w:szCs w:val="24"/>
        </w:rPr>
      </w:pPr>
      <w:r>
        <w:rPr>
          <w:rFonts w:hint="eastAsia" w:ascii="黑体" w:hAnsi="黑体" w:eastAsia="黑体"/>
          <w:color w:val="000000"/>
          <w:szCs w:val="24"/>
        </w:rPr>
        <w:t>续表3.5-1         相关规划符合性分析一览表</w:t>
      </w:r>
    </w:p>
    <w:tbl>
      <w:tblPr>
        <w:tblStyle w:val="48"/>
        <w:tblW w:w="49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302"/>
        <w:gridCol w:w="4335"/>
        <w:gridCol w:w="2645"/>
        <w:gridCol w:w="701"/>
      </w:tblGrid>
      <w:tr w14:paraId="5F8F4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tcMar>
              <w:left w:w="28" w:type="dxa"/>
              <w:right w:w="28" w:type="dxa"/>
            </w:tcMar>
            <w:vAlign w:val="center"/>
          </w:tcPr>
          <w:p w14:paraId="75EB88E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文件名称</w:t>
            </w:r>
          </w:p>
        </w:tc>
        <w:tc>
          <w:tcPr>
            <w:tcW w:w="2412" w:type="pct"/>
            <w:tcMar>
              <w:left w:w="28" w:type="dxa"/>
              <w:right w:w="28" w:type="dxa"/>
            </w:tcMar>
            <w:vAlign w:val="center"/>
          </w:tcPr>
          <w:p w14:paraId="624E7C9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471" w:type="pct"/>
            <w:tcMar>
              <w:left w:w="28" w:type="dxa"/>
              <w:right w:w="28" w:type="dxa"/>
            </w:tcMar>
            <w:vAlign w:val="center"/>
          </w:tcPr>
          <w:p w14:paraId="788C23C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90" w:type="pct"/>
            <w:tcMar>
              <w:left w:w="28" w:type="dxa"/>
              <w:right w:w="28" w:type="dxa"/>
            </w:tcMar>
            <w:vAlign w:val="center"/>
          </w:tcPr>
          <w:p w14:paraId="058BCC0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25A22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tcMar>
              <w:left w:w="28" w:type="dxa"/>
              <w:right w:w="28" w:type="dxa"/>
            </w:tcMar>
            <w:vAlign w:val="center"/>
          </w:tcPr>
          <w:p w14:paraId="1B33A29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《新疆生态环境保护“十四五”规划》</w:t>
            </w:r>
          </w:p>
        </w:tc>
        <w:tc>
          <w:tcPr>
            <w:tcW w:w="2412" w:type="pct"/>
            <w:tcMar>
              <w:left w:w="28" w:type="dxa"/>
              <w:right w:w="28" w:type="dxa"/>
            </w:tcMar>
            <w:vAlign w:val="center"/>
          </w:tcPr>
          <w:p w14:paraId="426A9D3A">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以石化、化工等行业为重点，加快实施VOC</w:t>
            </w:r>
            <w:r>
              <w:rPr>
                <w:rFonts w:hint="eastAsia" w:hAnsi="宋体" w:cs="宋体"/>
                <w:color w:val="000000"/>
                <w:spacing w:val="-10"/>
                <w:sz w:val="21"/>
                <w:szCs w:val="21"/>
                <w:vertAlign w:val="subscript"/>
              </w:rPr>
              <w:t>S</w:t>
            </w:r>
            <w:r>
              <w:rPr>
                <w:rFonts w:hint="eastAsia" w:hAnsi="宋体" w:cs="宋体"/>
                <w:color w:val="000000"/>
                <w:spacing w:val="-10"/>
                <w:sz w:val="21"/>
                <w:szCs w:val="21"/>
              </w:rPr>
              <w:t>治理工程建设。石化、化工行业全面推进储罐改造，使用高效、低泄漏的浮盘和呼吸阀，推进低泄漏设备和管线组件的更换，中石化塔河炼化有限责任公司对火车装卸设施开展改造，新建油气回收装置和VOC</w:t>
            </w:r>
            <w:r>
              <w:rPr>
                <w:rFonts w:hint="eastAsia" w:hAnsi="宋体" w:cs="宋体"/>
                <w:color w:val="000000"/>
                <w:spacing w:val="-10"/>
                <w:sz w:val="21"/>
                <w:szCs w:val="21"/>
                <w:vertAlign w:val="subscript"/>
              </w:rPr>
              <w:t>S</w:t>
            </w:r>
            <w:r>
              <w:rPr>
                <w:rFonts w:hint="eastAsia" w:hAnsi="宋体" w:cs="宋体"/>
                <w:color w:val="000000"/>
                <w:spacing w:val="-10"/>
                <w:sz w:val="21"/>
                <w:szCs w:val="21"/>
              </w:rPr>
              <w:t>在线监控设施；中石油、中石化、中曼石油等针对储罐、装载、污水集输储存处置和生产工艺过程等环节建设适宜高效的VOC</w:t>
            </w:r>
            <w:r>
              <w:rPr>
                <w:rFonts w:hint="eastAsia" w:hAnsi="宋体" w:cs="宋体"/>
                <w:color w:val="000000"/>
                <w:spacing w:val="-10"/>
                <w:sz w:val="21"/>
                <w:szCs w:val="21"/>
                <w:vertAlign w:val="subscript"/>
              </w:rPr>
              <w:t>S</w:t>
            </w:r>
            <w:r>
              <w:rPr>
                <w:rFonts w:hint="eastAsia" w:hAnsi="宋体" w:cs="宋体"/>
                <w:color w:val="000000"/>
                <w:spacing w:val="-10"/>
                <w:sz w:val="21"/>
                <w:szCs w:val="21"/>
              </w:rPr>
              <w:t>治理设施，对采油作业区采出水罐、工艺池、卸油台、晾晒池等开展VOC</w:t>
            </w:r>
            <w:r>
              <w:rPr>
                <w:rFonts w:hint="eastAsia" w:hAnsi="宋体" w:cs="宋体"/>
                <w:color w:val="000000"/>
                <w:spacing w:val="-10"/>
                <w:sz w:val="21"/>
                <w:szCs w:val="21"/>
                <w:vertAlign w:val="subscript"/>
              </w:rPr>
              <w:t>S</w:t>
            </w:r>
            <w:r>
              <w:rPr>
                <w:rFonts w:hint="eastAsia" w:hAnsi="宋体" w:cs="宋体"/>
                <w:color w:val="000000"/>
                <w:spacing w:val="-10"/>
                <w:sz w:val="21"/>
                <w:szCs w:val="21"/>
              </w:rPr>
              <w:t>治理，加快更换装载方式</w:t>
            </w:r>
          </w:p>
        </w:tc>
        <w:tc>
          <w:tcPr>
            <w:tcW w:w="1471" w:type="pct"/>
            <w:tcMar>
              <w:left w:w="28" w:type="dxa"/>
              <w:right w:w="28" w:type="dxa"/>
            </w:tcMar>
            <w:vAlign w:val="center"/>
          </w:tcPr>
          <w:p w14:paraId="7311B202">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拟建工程不涉及VOC</w:t>
            </w:r>
            <w:r>
              <w:rPr>
                <w:rFonts w:hint="eastAsia" w:hAnsi="宋体" w:cs="宋体"/>
                <w:color w:val="000000"/>
                <w:spacing w:val="-10"/>
                <w:sz w:val="21"/>
                <w:szCs w:val="21"/>
                <w:vertAlign w:val="subscript"/>
              </w:rPr>
              <w:t>S</w:t>
            </w:r>
            <w:r>
              <w:rPr>
                <w:rFonts w:hint="eastAsia" w:hAnsi="宋体" w:cs="宋体"/>
                <w:color w:val="000000"/>
                <w:spacing w:val="-10"/>
                <w:sz w:val="21"/>
                <w:szCs w:val="21"/>
              </w:rPr>
              <w:t>排放</w:t>
            </w:r>
          </w:p>
        </w:tc>
        <w:tc>
          <w:tcPr>
            <w:tcW w:w="390" w:type="pct"/>
            <w:tcMar>
              <w:left w:w="28" w:type="dxa"/>
              <w:right w:w="28" w:type="dxa"/>
            </w:tcMar>
            <w:vAlign w:val="center"/>
          </w:tcPr>
          <w:p w14:paraId="110D103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5AB9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restart"/>
            <w:tcMar>
              <w:left w:w="28" w:type="dxa"/>
              <w:right w:w="28" w:type="dxa"/>
            </w:tcMar>
            <w:vAlign w:val="center"/>
          </w:tcPr>
          <w:p w14:paraId="4458C79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《和田地区生态环境保护“十四五”规划》</w:t>
            </w:r>
          </w:p>
        </w:tc>
        <w:tc>
          <w:tcPr>
            <w:tcW w:w="2412" w:type="pct"/>
            <w:tcMar>
              <w:left w:w="28" w:type="dxa"/>
              <w:right w:w="28" w:type="dxa"/>
            </w:tcMar>
            <w:vAlign w:val="center"/>
          </w:tcPr>
          <w:p w14:paraId="5EDD8CDA">
            <w:pPr>
              <w:spacing w:line="0" w:lineRule="atLeast"/>
              <w:rPr>
                <w:rFonts w:hint="eastAsia" w:hAnsi="宋体" w:cs="宋体"/>
                <w:color w:val="000000"/>
                <w:spacing w:val="-10"/>
                <w:sz w:val="21"/>
                <w:szCs w:val="21"/>
              </w:rPr>
            </w:pPr>
            <w:r>
              <w:rPr>
                <w:rFonts w:hint="eastAsia" w:hAnsi="宋体" w:cs="宋体"/>
                <w:color w:val="000000"/>
                <w:spacing w:val="-10"/>
                <w:sz w:val="21"/>
                <w:szCs w:val="21"/>
              </w:rPr>
              <w:t>严格产业准入。严格执行国家绿色产业指导目录标准，严格落实《和田地区“三线一单”生态环境分区管控方案》，制订更严格的产业准入门槛，实施环境准入负面清单管理，严控“两高”项目盲目上马。各县市、各部门依法依规把好土地审批供应关、环保关、产业政策关和项目审批关。</w:t>
            </w:r>
          </w:p>
        </w:tc>
        <w:tc>
          <w:tcPr>
            <w:tcW w:w="1471" w:type="pct"/>
            <w:tcMar>
              <w:left w:w="28" w:type="dxa"/>
              <w:right w:w="28" w:type="dxa"/>
            </w:tcMar>
            <w:vAlign w:val="center"/>
          </w:tcPr>
          <w:p w14:paraId="63AE5622">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拟建工程符合《和田地区“三线一单”生态环境分区管控方案》中相关要求</w:t>
            </w:r>
          </w:p>
        </w:tc>
        <w:tc>
          <w:tcPr>
            <w:tcW w:w="390" w:type="pct"/>
            <w:tcMar>
              <w:left w:w="28" w:type="dxa"/>
              <w:right w:w="28" w:type="dxa"/>
            </w:tcMar>
            <w:vAlign w:val="center"/>
          </w:tcPr>
          <w:p w14:paraId="13644D0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D6F3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continue"/>
            <w:tcMar>
              <w:left w:w="28" w:type="dxa"/>
              <w:right w:w="28" w:type="dxa"/>
            </w:tcMar>
            <w:vAlign w:val="center"/>
          </w:tcPr>
          <w:p w14:paraId="0FFC9DF0">
            <w:pPr>
              <w:spacing w:line="0" w:lineRule="atLeast"/>
              <w:jc w:val="center"/>
              <w:rPr>
                <w:rFonts w:hint="eastAsia" w:hAnsi="宋体" w:cs="宋体"/>
                <w:color w:val="000000"/>
                <w:spacing w:val="-10"/>
                <w:sz w:val="21"/>
                <w:szCs w:val="21"/>
              </w:rPr>
            </w:pPr>
          </w:p>
        </w:tc>
        <w:tc>
          <w:tcPr>
            <w:tcW w:w="2412" w:type="pct"/>
            <w:tcMar>
              <w:left w:w="28" w:type="dxa"/>
              <w:right w:w="28" w:type="dxa"/>
            </w:tcMar>
            <w:vAlign w:val="center"/>
          </w:tcPr>
          <w:p w14:paraId="7DA2F6C4">
            <w:pPr>
              <w:spacing w:line="0" w:lineRule="atLeast"/>
              <w:rPr>
                <w:rFonts w:hint="eastAsia" w:hAnsi="宋体" w:cs="宋体"/>
                <w:color w:val="000000"/>
                <w:spacing w:val="-10"/>
                <w:sz w:val="21"/>
                <w:szCs w:val="21"/>
              </w:rPr>
            </w:pPr>
            <w:r>
              <w:rPr>
                <w:rFonts w:hint="eastAsia" w:hAnsi="宋体" w:cs="宋体"/>
                <w:color w:val="000000"/>
                <w:spacing w:val="-10"/>
                <w:sz w:val="21"/>
                <w:szCs w:val="21"/>
                <w:lang w:val="zh-CN"/>
              </w:rPr>
              <w:t>积极推进和田地区土壤污染防治行动计划，构建地区土壤环境质量监测网络，实现监测点位所有县市全覆盖，强化涉重金属污染防治，加强油气资源开发集中区域土壤环境风险管控，开展问题尾矿库治理。</w:t>
            </w:r>
          </w:p>
        </w:tc>
        <w:tc>
          <w:tcPr>
            <w:tcW w:w="1471" w:type="pct"/>
            <w:tcMar>
              <w:left w:w="28" w:type="dxa"/>
              <w:right w:w="28" w:type="dxa"/>
            </w:tcMar>
            <w:vAlign w:val="center"/>
          </w:tcPr>
          <w:p w14:paraId="4E8F8C21">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拟建工程属于塔里木油田油气开发项目，不属于“三高”项目，工程不涉及生态保护红线，工程的建设不会突破区域环境质量底线和自然资源利用上线</w:t>
            </w:r>
          </w:p>
        </w:tc>
        <w:tc>
          <w:tcPr>
            <w:tcW w:w="390" w:type="pct"/>
            <w:tcMar>
              <w:left w:w="28" w:type="dxa"/>
              <w:right w:w="28" w:type="dxa"/>
            </w:tcMar>
            <w:vAlign w:val="center"/>
          </w:tcPr>
          <w:p w14:paraId="4B9A03E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AB5C3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continue"/>
            <w:vAlign w:val="center"/>
          </w:tcPr>
          <w:p w14:paraId="7AAB932A">
            <w:pPr>
              <w:spacing w:line="0" w:lineRule="atLeast"/>
              <w:jc w:val="center"/>
              <w:rPr>
                <w:rFonts w:hint="eastAsia" w:hAnsi="宋体" w:cs="宋体"/>
                <w:color w:val="000000"/>
                <w:spacing w:val="0"/>
                <w:sz w:val="21"/>
                <w:szCs w:val="21"/>
              </w:rPr>
            </w:pPr>
          </w:p>
        </w:tc>
        <w:tc>
          <w:tcPr>
            <w:tcW w:w="2412" w:type="pct"/>
            <w:vAlign w:val="center"/>
          </w:tcPr>
          <w:p w14:paraId="6B2ED808">
            <w:pPr>
              <w:spacing w:line="0" w:lineRule="atLeast"/>
              <w:rPr>
                <w:rFonts w:hint="eastAsia" w:hAnsi="宋体" w:cs="宋体"/>
                <w:color w:val="000000"/>
                <w:spacing w:val="0"/>
                <w:sz w:val="21"/>
                <w:szCs w:val="21"/>
              </w:rPr>
            </w:pPr>
            <w:r>
              <w:rPr>
                <w:rFonts w:hint="eastAsia" w:hAnsi="宋体" w:cs="宋体"/>
                <w:color w:val="000000"/>
                <w:spacing w:val="0"/>
                <w:sz w:val="21"/>
                <w:szCs w:val="21"/>
              </w:rPr>
              <w:t>强化林草植被保护，预防土地沙化。将保护现有荒漠植被作为防沙治沙的首要任务，保护好沙化地区各类荒漠植被，对适宜封沙育林育草的地带，有计划地进行封禁保护，恢复林草植被，增强防风固沙能力。</w:t>
            </w:r>
          </w:p>
        </w:tc>
        <w:tc>
          <w:tcPr>
            <w:tcW w:w="1471" w:type="pct"/>
            <w:vAlign w:val="center"/>
          </w:tcPr>
          <w:p w14:paraId="5FBAA383">
            <w:pPr>
              <w:spacing w:line="0" w:lineRule="atLeast"/>
              <w:rPr>
                <w:rFonts w:hint="eastAsia" w:hAnsi="宋体" w:cs="宋体"/>
                <w:color w:val="000000"/>
                <w:spacing w:val="0"/>
                <w:sz w:val="21"/>
                <w:szCs w:val="21"/>
              </w:rPr>
            </w:pPr>
            <w:r>
              <w:rPr>
                <w:rFonts w:hint="eastAsia" w:hAnsi="宋体" w:cs="宋体"/>
                <w:color w:val="000000"/>
                <w:spacing w:val="0"/>
                <w:sz w:val="21"/>
                <w:szCs w:val="21"/>
              </w:rPr>
              <w:t>报告中已提出有效可行的防沙治沙措施</w:t>
            </w:r>
          </w:p>
        </w:tc>
        <w:tc>
          <w:tcPr>
            <w:tcW w:w="390" w:type="pct"/>
            <w:vAlign w:val="center"/>
          </w:tcPr>
          <w:p w14:paraId="70E3A471">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符合</w:t>
            </w:r>
          </w:p>
        </w:tc>
      </w:tr>
      <w:tr w14:paraId="62F09D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continue"/>
          </w:tcPr>
          <w:p w14:paraId="715AE304">
            <w:pPr>
              <w:spacing w:line="0" w:lineRule="atLeast"/>
              <w:jc w:val="center"/>
              <w:rPr>
                <w:rFonts w:hint="eastAsia" w:hAnsi="宋体" w:cs="宋体"/>
                <w:color w:val="000000"/>
                <w:spacing w:val="0"/>
                <w:sz w:val="21"/>
                <w:szCs w:val="21"/>
              </w:rPr>
            </w:pPr>
          </w:p>
        </w:tc>
        <w:tc>
          <w:tcPr>
            <w:tcW w:w="2412" w:type="pct"/>
            <w:vAlign w:val="center"/>
          </w:tcPr>
          <w:p w14:paraId="0BC401DD">
            <w:pPr>
              <w:spacing w:line="0" w:lineRule="atLeast"/>
              <w:rPr>
                <w:rFonts w:hint="eastAsia" w:hAnsi="宋体" w:cs="宋体"/>
                <w:color w:val="000000"/>
                <w:spacing w:val="0"/>
                <w:sz w:val="21"/>
                <w:szCs w:val="21"/>
              </w:rPr>
            </w:pPr>
            <w:r>
              <w:rPr>
                <w:rFonts w:hint="eastAsia" w:hAnsi="宋体" w:cs="宋体"/>
                <w:color w:val="000000"/>
                <w:spacing w:val="0"/>
                <w:sz w:val="21"/>
                <w:szCs w:val="21"/>
              </w:rPr>
              <w:t>加强对开发迹地的生态修复，实施矿区生态建设与修复工程，保障水源涵养与水土保持功能。严格实施矿产资源开发环境影响评价，建设绿色矿山</w:t>
            </w:r>
          </w:p>
        </w:tc>
        <w:tc>
          <w:tcPr>
            <w:tcW w:w="1471" w:type="pct"/>
            <w:vAlign w:val="center"/>
          </w:tcPr>
          <w:p w14:paraId="41490E92">
            <w:pPr>
              <w:spacing w:line="0" w:lineRule="atLeast"/>
              <w:rPr>
                <w:rFonts w:hint="eastAsia" w:hAnsi="宋体" w:cs="宋体"/>
                <w:color w:val="000000"/>
                <w:spacing w:val="0"/>
                <w:sz w:val="21"/>
                <w:szCs w:val="21"/>
              </w:rPr>
            </w:pPr>
            <w:r>
              <w:rPr>
                <w:rFonts w:hint="eastAsia" w:hAnsi="宋体" w:cs="宋体"/>
                <w:color w:val="000000"/>
                <w:spacing w:val="0"/>
                <w:sz w:val="21"/>
                <w:szCs w:val="21"/>
              </w:rPr>
              <w:t>拟建工程已提出施工期结束后，恢复管线临时占地，符合“边开采，边治理，边恢复”的原则</w:t>
            </w:r>
          </w:p>
        </w:tc>
        <w:tc>
          <w:tcPr>
            <w:tcW w:w="390" w:type="pct"/>
            <w:vAlign w:val="center"/>
          </w:tcPr>
          <w:p w14:paraId="2BBCAAA6">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符合</w:t>
            </w:r>
          </w:p>
        </w:tc>
      </w:tr>
      <w:tr w14:paraId="24EAC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continue"/>
          </w:tcPr>
          <w:p w14:paraId="3FEDC181">
            <w:pPr>
              <w:spacing w:line="0" w:lineRule="atLeast"/>
              <w:jc w:val="center"/>
              <w:rPr>
                <w:rFonts w:hint="eastAsia" w:hAnsi="宋体" w:cs="宋体"/>
                <w:color w:val="000000"/>
                <w:spacing w:val="0"/>
                <w:sz w:val="21"/>
                <w:szCs w:val="21"/>
              </w:rPr>
            </w:pPr>
          </w:p>
        </w:tc>
        <w:tc>
          <w:tcPr>
            <w:tcW w:w="2412" w:type="pct"/>
            <w:vAlign w:val="center"/>
          </w:tcPr>
          <w:p w14:paraId="78458DAD">
            <w:pPr>
              <w:spacing w:line="260" w:lineRule="exact"/>
              <w:rPr>
                <w:rFonts w:hint="eastAsia" w:hAnsi="宋体" w:cs="宋体"/>
                <w:color w:val="000000"/>
                <w:spacing w:val="0"/>
                <w:sz w:val="21"/>
                <w:szCs w:val="21"/>
              </w:rPr>
            </w:pPr>
            <w:r>
              <w:rPr>
                <w:rFonts w:hint="eastAsia" w:hAnsi="宋体" w:cs="宋体"/>
                <w:color w:val="000000"/>
                <w:spacing w:val="0"/>
                <w:sz w:val="21"/>
                <w:szCs w:val="21"/>
              </w:rPr>
              <w:t>完善环境风险应急响应体系。建立政府主导、部门协调、分级负责、属地为主、全社会参与的环境应急管理机制。制定完善环境突发事件应急预案，基本建成分级环境风险应急监测体系。强化环境应急救援能力建设，开展环境应急演练，提高环境风险应对能力。</w:t>
            </w:r>
          </w:p>
        </w:tc>
        <w:tc>
          <w:tcPr>
            <w:tcW w:w="1471" w:type="pct"/>
            <w:vAlign w:val="center"/>
          </w:tcPr>
          <w:p w14:paraId="1F234E6D">
            <w:pPr>
              <w:spacing w:line="260" w:lineRule="exact"/>
              <w:rPr>
                <w:rFonts w:hint="eastAsia" w:hAnsi="宋体" w:cs="宋体"/>
                <w:color w:val="000000"/>
                <w:spacing w:val="0"/>
                <w:sz w:val="21"/>
                <w:szCs w:val="21"/>
              </w:rPr>
            </w:pPr>
            <w:r>
              <w:rPr>
                <w:rFonts w:hint="eastAsia" w:hAnsi="宋体" w:cs="宋体"/>
                <w:color w:val="000000"/>
                <w:spacing w:val="0"/>
                <w:sz w:val="21"/>
                <w:szCs w:val="21"/>
              </w:rPr>
              <w:t>拟建工程已提出一系列环境风险防范措施及应急要求，本次建设内容纳入现有应急预案中，定期按照应急预案内容进行应急演练</w:t>
            </w:r>
          </w:p>
        </w:tc>
        <w:tc>
          <w:tcPr>
            <w:tcW w:w="390" w:type="pct"/>
            <w:vAlign w:val="center"/>
          </w:tcPr>
          <w:p w14:paraId="26D539A8">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符合</w:t>
            </w:r>
          </w:p>
        </w:tc>
      </w:tr>
      <w:tr w14:paraId="5333E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25" w:type="pct"/>
            <w:vMerge w:val="continue"/>
          </w:tcPr>
          <w:p w14:paraId="34A899B3">
            <w:pPr>
              <w:spacing w:line="0" w:lineRule="atLeast"/>
              <w:jc w:val="center"/>
              <w:rPr>
                <w:rFonts w:hint="eastAsia" w:hAnsi="宋体" w:cs="宋体"/>
                <w:color w:val="000000"/>
                <w:spacing w:val="0"/>
                <w:sz w:val="21"/>
                <w:szCs w:val="21"/>
              </w:rPr>
            </w:pPr>
          </w:p>
        </w:tc>
        <w:tc>
          <w:tcPr>
            <w:tcW w:w="2412" w:type="pct"/>
            <w:vAlign w:val="center"/>
          </w:tcPr>
          <w:p w14:paraId="18B5B943">
            <w:pPr>
              <w:spacing w:line="260" w:lineRule="exact"/>
              <w:rPr>
                <w:rFonts w:hint="eastAsia" w:hAnsi="宋体" w:cs="宋体"/>
                <w:color w:val="000000"/>
                <w:spacing w:val="0"/>
                <w:sz w:val="21"/>
                <w:szCs w:val="21"/>
              </w:rPr>
            </w:pPr>
            <w:r>
              <w:rPr>
                <w:rFonts w:hint="eastAsia" w:hAnsi="宋体" w:cs="宋体"/>
                <w:color w:val="000000"/>
                <w:spacing w:val="0"/>
                <w:sz w:val="21"/>
                <w:szCs w:val="21"/>
              </w:rPr>
              <w:t>加强对危险废物全过程监管。加强危险废物重点产生单位的日常监管。加强危险废物转移运输环节的监管。开展电子废物环境管理工作，运用自治区固体危险废物环境管理信息系统，实现危险废物申报登记和经营许可证网上审批，逐步推行危险废物转移网上审批和信息化管理。严格执行危险废物转移联单制度和危险废物道路运输经营许可证及从业人员资格证制度。</w:t>
            </w:r>
          </w:p>
        </w:tc>
        <w:tc>
          <w:tcPr>
            <w:tcW w:w="1471" w:type="pct"/>
            <w:vAlign w:val="center"/>
          </w:tcPr>
          <w:p w14:paraId="6B9AFFA4">
            <w:pPr>
              <w:spacing w:line="260" w:lineRule="exact"/>
              <w:rPr>
                <w:rFonts w:hint="eastAsia" w:hAnsi="宋体" w:cs="宋体"/>
                <w:color w:val="000000"/>
                <w:spacing w:val="0"/>
                <w:sz w:val="21"/>
                <w:szCs w:val="21"/>
              </w:rPr>
            </w:pPr>
            <w:r>
              <w:rPr>
                <w:rFonts w:hint="eastAsia" w:hAnsi="宋体" w:cs="宋体"/>
                <w:color w:val="000000"/>
                <w:spacing w:val="0"/>
                <w:sz w:val="21"/>
                <w:szCs w:val="21"/>
              </w:rPr>
              <w:t>拟建工程施工期产生的危险废物严格落实《危险废物环境管理指南 陆上石油天然气开采》（生态环境部公告 2021年 第74号）、《危险废物转移管理办法》（生态环境部令 第23号）中相关管理要求，运营期无固废产生</w:t>
            </w:r>
          </w:p>
        </w:tc>
        <w:tc>
          <w:tcPr>
            <w:tcW w:w="390" w:type="pct"/>
            <w:vAlign w:val="center"/>
          </w:tcPr>
          <w:p w14:paraId="7B4B9797">
            <w:pPr>
              <w:spacing w:line="0" w:lineRule="atLeast"/>
              <w:jc w:val="center"/>
              <w:rPr>
                <w:rFonts w:hint="eastAsia" w:hAnsi="宋体" w:cs="宋体"/>
                <w:color w:val="000000"/>
                <w:spacing w:val="0"/>
                <w:sz w:val="21"/>
                <w:szCs w:val="21"/>
              </w:rPr>
            </w:pPr>
            <w:r>
              <w:rPr>
                <w:rFonts w:hint="eastAsia" w:hAnsi="宋体" w:cs="宋体"/>
                <w:color w:val="000000"/>
                <w:spacing w:val="0"/>
                <w:sz w:val="21"/>
                <w:szCs w:val="21"/>
              </w:rPr>
              <w:t>符合</w:t>
            </w:r>
          </w:p>
        </w:tc>
      </w:tr>
    </w:tbl>
    <w:p w14:paraId="7E534392">
      <w:pPr>
        <w:spacing w:line="460" w:lineRule="exact"/>
        <w:ind w:firstLine="526" w:firstLineChars="200"/>
        <w:rPr>
          <w:rFonts w:ascii="黑体" w:hAnsi="黑体" w:eastAsia="黑体"/>
          <w:color w:val="000000"/>
          <w:szCs w:val="24"/>
        </w:rPr>
      </w:pPr>
      <w:r>
        <w:rPr>
          <w:rFonts w:hint="eastAsia" w:ascii="黑体" w:hAnsi="黑体" w:eastAsia="黑体"/>
          <w:color w:val="000000"/>
          <w:szCs w:val="24"/>
        </w:rPr>
        <w:t>续表3.5-1         相关规划符合性分析一览表</w:t>
      </w:r>
    </w:p>
    <w:tbl>
      <w:tblPr>
        <w:tblStyle w:val="48"/>
        <w:tblW w:w="49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002"/>
        <w:gridCol w:w="5742"/>
        <w:gridCol w:w="1538"/>
        <w:gridCol w:w="701"/>
      </w:tblGrid>
      <w:tr w14:paraId="2BD62A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pct"/>
            <w:tcMar>
              <w:left w:w="28" w:type="dxa"/>
              <w:right w:w="28" w:type="dxa"/>
            </w:tcMar>
            <w:vAlign w:val="center"/>
          </w:tcPr>
          <w:p w14:paraId="61B784F3">
            <w:pPr>
              <w:adjustRightInd w:val="0"/>
              <w:spacing w:line="0" w:lineRule="atLeast"/>
              <w:ind w:left="13" w:leftChars="5" w:right="13" w:rightChars="5"/>
              <w:jc w:val="center"/>
              <w:rPr>
                <w:rFonts w:hAnsi="宋体"/>
                <w:color w:val="000000"/>
                <w:spacing w:val="-10"/>
                <w:sz w:val="21"/>
                <w:szCs w:val="21"/>
              </w:rPr>
            </w:pPr>
            <w:r>
              <w:rPr>
                <w:rFonts w:hint="eastAsia" w:hAnsi="宋体"/>
                <w:color w:val="000000"/>
                <w:spacing w:val="-10"/>
                <w:sz w:val="21"/>
                <w:szCs w:val="21"/>
              </w:rPr>
              <w:t>文件名称</w:t>
            </w:r>
          </w:p>
        </w:tc>
        <w:tc>
          <w:tcPr>
            <w:tcW w:w="3195" w:type="pct"/>
            <w:tcMar>
              <w:left w:w="28" w:type="dxa"/>
              <w:right w:w="28" w:type="dxa"/>
            </w:tcMar>
            <w:vAlign w:val="center"/>
          </w:tcPr>
          <w:p w14:paraId="50B5C4B0">
            <w:pPr>
              <w:adjustRightInd w:val="0"/>
              <w:spacing w:line="0" w:lineRule="atLeast"/>
              <w:ind w:left="13" w:leftChars="5" w:right="13" w:rightChars="5"/>
              <w:jc w:val="center"/>
              <w:rPr>
                <w:rFonts w:hAnsi="宋体"/>
                <w:color w:val="000000"/>
                <w:spacing w:val="-10"/>
                <w:sz w:val="21"/>
                <w:szCs w:val="21"/>
              </w:rPr>
            </w:pPr>
            <w:r>
              <w:rPr>
                <w:rFonts w:hint="eastAsia" w:hAnsi="宋体"/>
                <w:color w:val="000000"/>
                <w:spacing w:val="-10"/>
                <w:sz w:val="21"/>
                <w:szCs w:val="21"/>
              </w:rPr>
              <w:t>文件要求</w:t>
            </w:r>
          </w:p>
        </w:tc>
        <w:tc>
          <w:tcPr>
            <w:tcW w:w="856" w:type="pct"/>
            <w:tcMar>
              <w:left w:w="28" w:type="dxa"/>
              <w:right w:w="28" w:type="dxa"/>
            </w:tcMar>
            <w:vAlign w:val="center"/>
          </w:tcPr>
          <w:p w14:paraId="3338F8E3">
            <w:pPr>
              <w:adjustRightInd w:val="0"/>
              <w:spacing w:line="0" w:lineRule="atLeast"/>
              <w:ind w:left="13" w:leftChars="5" w:right="13" w:rightChars="5"/>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390" w:type="pct"/>
            <w:tcMar>
              <w:left w:w="28" w:type="dxa"/>
              <w:right w:w="28" w:type="dxa"/>
            </w:tcMar>
            <w:vAlign w:val="center"/>
          </w:tcPr>
          <w:p w14:paraId="762482A7">
            <w:pPr>
              <w:adjustRightInd w:val="0"/>
              <w:spacing w:line="0" w:lineRule="atLeast"/>
              <w:ind w:left="13" w:leftChars="5" w:right="13" w:rightChars="5"/>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5BE131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pct"/>
            <w:tcMar>
              <w:left w:w="28" w:type="dxa"/>
              <w:right w:w="28" w:type="dxa"/>
            </w:tcMar>
            <w:vAlign w:val="center"/>
          </w:tcPr>
          <w:p w14:paraId="3E393F7A">
            <w:pPr>
              <w:adjustRightInd w:val="0"/>
              <w:spacing w:line="260" w:lineRule="exact"/>
              <w:ind w:left="13" w:leftChars="5" w:right="13" w:rightChars="5"/>
              <w:jc w:val="center"/>
              <w:rPr>
                <w:rFonts w:hint="eastAsia" w:hAnsi="宋体" w:cs="宋体"/>
                <w:color w:val="000000"/>
                <w:spacing w:val="-10"/>
                <w:sz w:val="21"/>
                <w:szCs w:val="21"/>
              </w:rPr>
            </w:pPr>
            <w:r>
              <w:rPr>
                <w:rFonts w:hint="eastAsia" w:hAnsi="宋体" w:cs="宋体"/>
                <w:color w:val="000000"/>
                <w:spacing w:val="-10"/>
                <w:sz w:val="21"/>
                <w:szCs w:val="21"/>
              </w:rPr>
              <w:t>《新疆维吾尔自治区油气发展“十四五”规划》</w:t>
            </w:r>
          </w:p>
        </w:tc>
        <w:tc>
          <w:tcPr>
            <w:tcW w:w="3195" w:type="pct"/>
            <w:tcMar>
              <w:left w:w="28" w:type="dxa"/>
              <w:right w:w="28" w:type="dxa"/>
            </w:tcMar>
            <w:vAlign w:val="center"/>
          </w:tcPr>
          <w:p w14:paraId="3A99CFB0">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 xml:space="preserve">加强油气产能建设。提高老油田采收率，加大塔里木盆地和老油区深层超深层、外围油气资源开发力度，减缓吐哈、准东、塔河等老油区产量递减。积极推动天山北坡万亿方大气区勘探开发，加快准噶尔盆地南缘、玛湖、吉木萨尔以及塔里木盆地顺北、库车博孜—大北、哈拉哈塘碳酸盐岩油藏等大型油气田建设，促进油气增储上产，实现资源良性接替。 </w:t>
            </w:r>
          </w:p>
        </w:tc>
        <w:tc>
          <w:tcPr>
            <w:tcW w:w="856" w:type="pct"/>
            <w:tcMar>
              <w:left w:w="28" w:type="dxa"/>
              <w:right w:w="28" w:type="dxa"/>
            </w:tcMar>
            <w:vAlign w:val="center"/>
          </w:tcPr>
          <w:p w14:paraId="7D281B6A">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拟建工程为塔里木盆地油气开采项目，促进油气增储上产</w:t>
            </w:r>
          </w:p>
        </w:tc>
        <w:tc>
          <w:tcPr>
            <w:tcW w:w="390" w:type="pct"/>
            <w:tcMar>
              <w:left w:w="28" w:type="dxa"/>
              <w:right w:w="28" w:type="dxa"/>
            </w:tcMar>
            <w:vAlign w:val="center"/>
          </w:tcPr>
          <w:p w14:paraId="56DEB605">
            <w:pPr>
              <w:adjustRightInd w:val="0"/>
              <w:spacing w:line="260" w:lineRule="exact"/>
              <w:ind w:left="13" w:leftChars="5" w:right="13" w:rightChars="5"/>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7928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pct"/>
            <w:vMerge w:val="restart"/>
            <w:tcMar>
              <w:left w:w="28" w:type="dxa"/>
              <w:right w:w="28" w:type="dxa"/>
            </w:tcMar>
            <w:vAlign w:val="center"/>
          </w:tcPr>
          <w:p w14:paraId="3BF7A2BE">
            <w:pPr>
              <w:adjustRightInd w:val="0"/>
              <w:spacing w:line="260" w:lineRule="exact"/>
              <w:ind w:left="13" w:leftChars="5" w:right="13" w:rightChars="5"/>
              <w:jc w:val="center"/>
              <w:rPr>
                <w:rFonts w:hint="eastAsia" w:hAnsi="宋体"/>
                <w:color w:val="000000"/>
                <w:spacing w:val="-10"/>
                <w:sz w:val="21"/>
                <w:szCs w:val="21"/>
              </w:rPr>
            </w:pPr>
            <w:r>
              <w:rPr>
                <w:rFonts w:hint="eastAsia" w:hAnsi="宋体" w:cs="宋体"/>
                <w:color w:val="000000"/>
                <w:spacing w:val="-10"/>
                <w:sz w:val="21"/>
                <w:szCs w:val="21"/>
              </w:rPr>
              <w:t>《阿克苏地区国土空间规划（2021年-2035年）》</w:t>
            </w:r>
          </w:p>
        </w:tc>
        <w:tc>
          <w:tcPr>
            <w:tcW w:w="3195" w:type="pct"/>
            <w:tcMar>
              <w:left w:w="28" w:type="dxa"/>
              <w:right w:w="28" w:type="dxa"/>
            </w:tcMar>
            <w:vAlign w:val="center"/>
          </w:tcPr>
          <w:p w14:paraId="228425DF">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严守生态保护红线。以资源环境承载力为硬约束结合“双评价”中生态保护极重要区评价，强调生态涵养，落实生态红线保护要求，切实做到应划尽划，应保尽保，实现一条生态保护红线管控重要生态空间。</w:t>
            </w:r>
          </w:p>
        </w:tc>
        <w:tc>
          <w:tcPr>
            <w:tcW w:w="856" w:type="pct"/>
            <w:tcMar>
              <w:left w:w="28" w:type="dxa"/>
              <w:right w:w="28" w:type="dxa"/>
            </w:tcMar>
            <w:vAlign w:val="center"/>
          </w:tcPr>
          <w:p w14:paraId="2C550576">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拟建工程距离生态保护红线最近约93.2km，不在生态保护红线范围内</w:t>
            </w:r>
          </w:p>
        </w:tc>
        <w:tc>
          <w:tcPr>
            <w:tcW w:w="390" w:type="pct"/>
            <w:tcMar>
              <w:left w:w="28" w:type="dxa"/>
              <w:right w:w="28" w:type="dxa"/>
            </w:tcMar>
            <w:vAlign w:val="center"/>
          </w:tcPr>
          <w:p w14:paraId="7CA084B2">
            <w:pPr>
              <w:adjustRightInd w:val="0"/>
              <w:spacing w:line="260" w:lineRule="exact"/>
              <w:ind w:left="13" w:leftChars="5" w:right="13" w:rightChars="5"/>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BA6F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pct"/>
            <w:vMerge w:val="continue"/>
            <w:tcMar>
              <w:left w:w="28" w:type="dxa"/>
              <w:right w:w="28" w:type="dxa"/>
            </w:tcMar>
            <w:vAlign w:val="center"/>
          </w:tcPr>
          <w:p w14:paraId="0A8B406D">
            <w:pPr>
              <w:adjustRightInd w:val="0"/>
              <w:spacing w:line="260" w:lineRule="exact"/>
              <w:ind w:left="13" w:leftChars="5" w:right="13" w:rightChars="5"/>
              <w:jc w:val="center"/>
              <w:rPr>
                <w:rFonts w:hint="eastAsia" w:hAnsi="宋体"/>
                <w:color w:val="000000"/>
                <w:spacing w:val="-10"/>
                <w:sz w:val="21"/>
                <w:szCs w:val="21"/>
              </w:rPr>
            </w:pPr>
          </w:p>
        </w:tc>
        <w:tc>
          <w:tcPr>
            <w:tcW w:w="3195" w:type="pct"/>
            <w:tcMar>
              <w:left w:w="28" w:type="dxa"/>
              <w:right w:w="28" w:type="dxa"/>
            </w:tcMar>
            <w:vAlign w:val="center"/>
          </w:tcPr>
          <w:p w14:paraId="2B9EE90C">
            <w:pPr>
              <w:adjustRightInd w:val="0"/>
              <w:spacing w:line="260" w:lineRule="exact"/>
              <w:ind w:left="13" w:leftChars="5" w:right="13" w:rightChars="5"/>
              <w:rPr>
                <w:rFonts w:hint="eastAsia" w:hAnsi="宋体"/>
                <w:color w:val="000000"/>
                <w:spacing w:val="-10"/>
                <w:sz w:val="21"/>
                <w:szCs w:val="21"/>
              </w:rPr>
            </w:pPr>
            <w:r>
              <w:rPr>
                <w:rFonts w:hint="eastAsia" w:hAnsi="宋体" w:cs="宋体"/>
                <w:color w:val="000000"/>
                <w:spacing w:val="-10"/>
                <w:sz w:val="21"/>
                <w:szCs w:val="21"/>
              </w:rPr>
              <w:t>加强矿产资源保护与利用落实国家级能源基地、规划矿区，保障战略能源安全。建成3 个油气能源资源基地，拜城-库车油气能源资源基地，塔里木盆地塔河油气资源基地，塔里木盆地塔中油气资源基地</w:t>
            </w:r>
          </w:p>
        </w:tc>
        <w:tc>
          <w:tcPr>
            <w:tcW w:w="856" w:type="pct"/>
            <w:tcMar>
              <w:left w:w="28" w:type="dxa"/>
              <w:right w:w="28" w:type="dxa"/>
            </w:tcMar>
            <w:vAlign w:val="center"/>
          </w:tcPr>
          <w:p w14:paraId="681E6AD3">
            <w:pPr>
              <w:adjustRightInd w:val="0"/>
              <w:spacing w:line="260" w:lineRule="exact"/>
              <w:ind w:left="13" w:leftChars="5" w:right="13" w:rightChars="5"/>
              <w:rPr>
                <w:rFonts w:hint="eastAsia" w:hAnsi="宋体"/>
                <w:color w:val="000000"/>
                <w:spacing w:val="-10"/>
                <w:sz w:val="21"/>
                <w:szCs w:val="21"/>
              </w:rPr>
            </w:pPr>
            <w:r>
              <w:rPr>
                <w:rFonts w:hint="eastAsia" w:hAnsi="宋体" w:cs="宋体"/>
                <w:color w:val="000000"/>
                <w:spacing w:val="-10"/>
                <w:sz w:val="21"/>
                <w:szCs w:val="21"/>
              </w:rPr>
              <w:t>拟建工程位于塔里木盆地油气资源基地，属于油气开采项目</w:t>
            </w:r>
          </w:p>
        </w:tc>
        <w:tc>
          <w:tcPr>
            <w:tcW w:w="390" w:type="pct"/>
            <w:tcMar>
              <w:left w:w="28" w:type="dxa"/>
              <w:right w:w="28" w:type="dxa"/>
            </w:tcMar>
            <w:vAlign w:val="center"/>
          </w:tcPr>
          <w:p w14:paraId="2258BEAB">
            <w:pPr>
              <w:adjustRightInd w:val="0"/>
              <w:spacing w:line="260" w:lineRule="exact"/>
              <w:ind w:left="13" w:leftChars="5" w:right="13" w:rightChars="5"/>
              <w:jc w:val="center"/>
              <w:rPr>
                <w:rFonts w:hint="eastAsia" w:hAnsi="宋体"/>
                <w:color w:val="000000"/>
                <w:spacing w:val="-10"/>
                <w:sz w:val="21"/>
                <w:szCs w:val="21"/>
              </w:rPr>
            </w:pPr>
            <w:r>
              <w:rPr>
                <w:rFonts w:hint="eastAsia" w:hAnsi="宋体" w:cs="宋体"/>
                <w:color w:val="000000"/>
                <w:spacing w:val="-10"/>
                <w:sz w:val="21"/>
                <w:szCs w:val="21"/>
              </w:rPr>
              <w:t>符合</w:t>
            </w:r>
          </w:p>
        </w:tc>
      </w:tr>
      <w:tr w14:paraId="48F23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122" w:hRule="atLeast"/>
          <w:jc w:val="center"/>
        </w:trPr>
        <w:tc>
          <w:tcPr>
            <w:tcW w:w="557" w:type="pct"/>
            <w:vMerge w:val="continue"/>
            <w:tcMar>
              <w:left w:w="28" w:type="dxa"/>
              <w:right w:w="28" w:type="dxa"/>
            </w:tcMar>
            <w:vAlign w:val="center"/>
          </w:tcPr>
          <w:p w14:paraId="18CBDBB2">
            <w:pPr>
              <w:adjustRightInd w:val="0"/>
              <w:spacing w:line="260" w:lineRule="exact"/>
              <w:ind w:left="13" w:leftChars="5" w:right="13" w:rightChars="5"/>
              <w:jc w:val="center"/>
              <w:rPr>
                <w:rFonts w:hint="eastAsia" w:hAnsi="宋体"/>
                <w:color w:val="000000"/>
                <w:spacing w:val="-10"/>
                <w:sz w:val="21"/>
                <w:szCs w:val="21"/>
              </w:rPr>
            </w:pPr>
          </w:p>
        </w:tc>
        <w:tc>
          <w:tcPr>
            <w:tcW w:w="3195" w:type="pct"/>
            <w:tcMar>
              <w:left w:w="28" w:type="dxa"/>
              <w:right w:w="28" w:type="dxa"/>
            </w:tcMar>
            <w:vAlign w:val="center"/>
          </w:tcPr>
          <w:p w14:paraId="6A54D0BD">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严保永久基本农田保护红线、严守生态保护红线、严控城镇开发边界。</w:t>
            </w:r>
          </w:p>
          <w:p w14:paraId="6649CC7B">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严保永久基本农田保护红线：坚决落实最严格的耕地保护制度，严守耕地保护红线，将达到质量要求的优质耕地依法划入永久基本农田，实施特殊保护。已经划定的永久基本农田全面梳理整改，有序推进永久基本农田划定成果核实，确保永久基本农田数量不减少、质量不降低、生态有改善。</w:t>
            </w:r>
          </w:p>
          <w:p w14:paraId="111ED683">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严守生态保护红线：以资源环境承载力为硬约束，结合“双评价”中生态保护极重要区评价，强调生态涵养，落实生态红线保护要求，切实做到应划尽划，应保尽保，实现一条生态保护红线管控重要生态空间。阿克苏地区生态红线主要分布于天山南脉、塔里木河上游沿岸、托什干河中下游沿岸。</w:t>
            </w:r>
          </w:p>
          <w:p w14:paraId="3804DB32">
            <w:pPr>
              <w:adjustRightInd w:val="0"/>
              <w:spacing w:line="260" w:lineRule="exact"/>
              <w:ind w:left="13" w:leftChars="5" w:right="13" w:rightChars="5"/>
              <w:rPr>
                <w:rFonts w:hint="eastAsia" w:hAnsi="宋体"/>
                <w:color w:val="000000"/>
                <w:spacing w:val="-10"/>
                <w:sz w:val="21"/>
                <w:szCs w:val="21"/>
              </w:rPr>
            </w:pPr>
            <w:r>
              <w:rPr>
                <w:rFonts w:hint="eastAsia" w:hAnsi="宋体" w:cs="宋体"/>
                <w:color w:val="000000"/>
                <w:spacing w:val="-10"/>
                <w:sz w:val="21"/>
                <w:szCs w:val="21"/>
              </w:rPr>
              <w:t>严控城镇开发边界：坚持节约优先、保护优先，严控增量、盘活存量，优化结构、提升效率，提高城镇建设用地集约化程度。在综合考虑城镇定位、发展方向和综合承载能力的基础上，科学研判城镇发展需求，优化城镇形态和布局，促进城镇有序、适度、紧凑发展，实现多中心、网络化、组团式、集约型的城乡国土空间格局</w:t>
            </w:r>
          </w:p>
        </w:tc>
        <w:tc>
          <w:tcPr>
            <w:tcW w:w="856" w:type="pct"/>
            <w:tcMar>
              <w:left w:w="28" w:type="dxa"/>
              <w:right w:w="28" w:type="dxa"/>
            </w:tcMar>
            <w:vAlign w:val="center"/>
          </w:tcPr>
          <w:p w14:paraId="3B8CDC57">
            <w:pPr>
              <w:adjustRightInd w:val="0"/>
              <w:spacing w:line="260" w:lineRule="exact"/>
              <w:ind w:left="13" w:leftChars="5" w:right="13" w:rightChars="5"/>
              <w:rPr>
                <w:rFonts w:hint="eastAsia" w:hAnsi="宋体" w:cs="宋体"/>
                <w:color w:val="000000"/>
                <w:spacing w:val="-10"/>
                <w:sz w:val="21"/>
                <w:szCs w:val="21"/>
              </w:rPr>
            </w:pPr>
            <w:r>
              <w:rPr>
                <w:rFonts w:hint="eastAsia" w:hAnsi="宋体" w:cs="宋体"/>
                <w:color w:val="000000"/>
                <w:spacing w:val="-10"/>
                <w:sz w:val="21"/>
                <w:szCs w:val="21"/>
              </w:rPr>
              <w:t>拟建工程未处于城镇开发边界及永久基本农田区，距离最近的生态保护红线约93.2km，不在生态保护红线范围内</w:t>
            </w:r>
          </w:p>
        </w:tc>
        <w:tc>
          <w:tcPr>
            <w:tcW w:w="390" w:type="pct"/>
            <w:tcMar>
              <w:left w:w="28" w:type="dxa"/>
              <w:right w:w="28" w:type="dxa"/>
            </w:tcMar>
            <w:vAlign w:val="center"/>
          </w:tcPr>
          <w:p w14:paraId="4D84C110">
            <w:pPr>
              <w:adjustRightInd w:val="0"/>
              <w:spacing w:line="260" w:lineRule="exact"/>
              <w:ind w:left="13" w:leftChars="5" w:right="13" w:rightChars="5"/>
              <w:jc w:val="center"/>
              <w:rPr>
                <w:rFonts w:hint="eastAsia" w:hAnsi="宋体" w:cs="宋体"/>
                <w:color w:val="000000"/>
                <w:spacing w:val="-20"/>
                <w:sz w:val="21"/>
                <w:szCs w:val="21"/>
              </w:rPr>
            </w:pPr>
            <w:r>
              <w:rPr>
                <w:rFonts w:hint="eastAsia" w:hAnsi="宋体" w:cs="宋体"/>
                <w:color w:val="000000"/>
                <w:spacing w:val="-20"/>
                <w:sz w:val="21"/>
                <w:szCs w:val="21"/>
              </w:rPr>
              <w:t>符合</w:t>
            </w:r>
          </w:p>
        </w:tc>
      </w:tr>
      <w:tr w14:paraId="6D084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557" w:type="pct"/>
            <w:tcMar>
              <w:left w:w="28" w:type="dxa"/>
              <w:right w:w="28" w:type="dxa"/>
            </w:tcMar>
            <w:vAlign w:val="center"/>
          </w:tcPr>
          <w:p w14:paraId="5F9DD12A">
            <w:pPr>
              <w:adjustRightInd w:val="0"/>
              <w:spacing w:line="0" w:lineRule="atLeast"/>
              <w:jc w:val="center"/>
              <w:rPr>
                <w:rFonts w:hint="eastAsia" w:hAnsi="宋体"/>
                <w:color w:val="000000"/>
                <w:spacing w:val="-10"/>
                <w:sz w:val="21"/>
                <w:szCs w:val="21"/>
              </w:rPr>
            </w:pPr>
            <w:r>
              <w:rPr>
                <w:rFonts w:hint="eastAsia" w:hAnsi="宋体" w:cs="宋体"/>
                <w:color w:val="000000"/>
                <w:spacing w:val="0"/>
                <w:sz w:val="21"/>
                <w:szCs w:val="21"/>
              </w:rPr>
              <w:t>《和田地区国土空间规划（2021年-2035年）》</w:t>
            </w:r>
          </w:p>
        </w:tc>
        <w:tc>
          <w:tcPr>
            <w:tcW w:w="3195" w:type="pct"/>
            <w:tcMar>
              <w:left w:w="28" w:type="dxa"/>
              <w:right w:w="28" w:type="dxa"/>
            </w:tcMar>
            <w:vAlign w:val="center"/>
          </w:tcPr>
          <w:p w14:paraId="0CA96451">
            <w:pPr>
              <w:adjustRightInd w:val="0"/>
              <w:spacing w:line="0" w:lineRule="atLeast"/>
              <w:rPr>
                <w:rFonts w:hint="eastAsia" w:hAnsi="宋体" w:cs="宋体"/>
                <w:color w:val="000000"/>
                <w:spacing w:val="0"/>
                <w:sz w:val="21"/>
                <w:szCs w:val="21"/>
              </w:rPr>
            </w:pPr>
            <w:r>
              <w:rPr>
                <w:rFonts w:hint="eastAsia" w:hAnsi="宋体" w:cs="宋体"/>
                <w:color w:val="000000"/>
                <w:spacing w:val="0"/>
                <w:sz w:val="21"/>
                <w:szCs w:val="21"/>
              </w:rPr>
              <w:t>统筹划定永久基本农田、生态保护红线、城镇开发边界三条控制线，作为调整经济结构、产业发展、推进城镇化不可逾越的红线。</w:t>
            </w:r>
          </w:p>
          <w:p w14:paraId="5B13BE2A">
            <w:pPr>
              <w:adjustRightInd w:val="0"/>
              <w:spacing w:line="0" w:lineRule="atLeast"/>
              <w:rPr>
                <w:rFonts w:hint="eastAsia" w:hAnsi="宋体" w:cs="宋体"/>
                <w:color w:val="000000"/>
                <w:spacing w:val="0"/>
                <w:sz w:val="21"/>
                <w:szCs w:val="21"/>
              </w:rPr>
            </w:pPr>
            <w:r>
              <w:rPr>
                <w:rFonts w:hint="eastAsia" w:hAnsi="宋体" w:cs="宋体"/>
                <w:color w:val="000000"/>
                <w:spacing w:val="0"/>
                <w:sz w:val="21"/>
                <w:szCs w:val="21"/>
              </w:rPr>
              <w:t>优先划定永久基本农田：落实最严格的耕地保护制度，保障粮食安全。严格落实永久基本农田保护任务，优化永久基本农田结构和布局，从严管控非农建设占用永久基本农田。</w:t>
            </w:r>
          </w:p>
          <w:p w14:paraId="45B05B50">
            <w:pPr>
              <w:adjustRightInd w:val="0"/>
              <w:spacing w:line="0" w:lineRule="atLeast"/>
              <w:rPr>
                <w:rFonts w:hint="eastAsia" w:hAnsi="宋体" w:cs="宋体"/>
                <w:color w:val="000000"/>
                <w:spacing w:val="0"/>
                <w:sz w:val="21"/>
                <w:szCs w:val="21"/>
              </w:rPr>
            </w:pPr>
            <w:r>
              <w:rPr>
                <w:rFonts w:hint="eastAsia" w:hAnsi="宋体" w:cs="宋体"/>
                <w:color w:val="000000"/>
                <w:spacing w:val="0"/>
                <w:sz w:val="21"/>
                <w:szCs w:val="21"/>
              </w:rPr>
              <w:t>严格落实生态保护红线：按照生态功能将生态空间范围内具有特殊重要生态功能、必须强制性严格保护的区域纳入生态保护红线，作为保障和维护国家生态安全的底线。</w:t>
            </w:r>
          </w:p>
          <w:p w14:paraId="10380D77">
            <w:pPr>
              <w:adjustRightInd w:val="0"/>
              <w:spacing w:line="0" w:lineRule="atLeast"/>
              <w:rPr>
                <w:rFonts w:hint="eastAsia" w:hAnsi="宋体" w:cs="宋体"/>
                <w:color w:val="000000"/>
                <w:spacing w:val="-10"/>
                <w:sz w:val="21"/>
                <w:szCs w:val="21"/>
              </w:rPr>
            </w:pPr>
            <w:r>
              <w:rPr>
                <w:rFonts w:hint="eastAsia" w:hAnsi="宋体" w:cs="宋体"/>
                <w:color w:val="000000"/>
                <w:spacing w:val="0"/>
                <w:sz w:val="21"/>
                <w:szCs w:val="21"/>
              </w:rPr>
              <w:t>科学划定城镇开发边界：按照集约适度、绿色发展要求将城镇现状建成区、优化发展区以及因城镇建设发展需要必须实行规划控制的区域纳入城镇开发边界内，完善城镇功能、提升空间品质。</w:t>
            </w:r>
          </w:p>
        </w:tc>
        <w:tc>
          <w:tcPr>
            <w:tcW w:w="856" w:type="pct"/>
            <w:tcMar>
              <w:left w:w="28" w:type="dxa"/>
              <w:right w:w="28" w:type="dxa"/>
            </w:tcMar>
            <w:vAlign w:val="center"/>
          </w:tcPr>
          <w:p w14:paraId="3D53B34E">
            <w:pPr>
              <w:adjustRightInd w:val="0"/>
              <w:spacing w:line="0" w:lineRule="atLeast"/>
              <w:rPr>
                <w:rFonts w:hint="eastAsia" w:hAnsi="宋体" w:cs="宋体"/>
                <w:color w:val="000000"/>
                <w:spacing w:val="-10"/>
                <w:sz w:val="21"/>
                <w:szCs w:val="21"/>
              </w:rPr>
            </w:pPr>
            <w:r>
              <w:rPr>
                <w:rFonts w:hint="eastAsia" w:hAnsi="宋体" w:cs="宋体"/>
                <w:color w:val="000000"/>
                <w:spacing w:val="0"/>
                <w:sz w:val="21"/>
                <w:szCs w:val="21"/>
              </w:rPr>
              <w:t>拟建工程占地范围内不涉及基本农田，未处于城镇开发边界，距离生态保护红线约93.2km，不在生态保护红线范围内</w:t>
            </w:r>
          </w:p>
        </w:tc>
        <w:tc>
          <w:tcPr>
            <w:tcW w:w="390" w:type="pct"/>
            <w:tcMar>
              <w:left w:w="28" w:type="dxa"/>
              <w:right w:w="28" w:type="dxa"/>
            </w:tcMar>
            <w:vAlign w:val="center"/>
          </w:tcPr>
          <w:p w14:paraId="5092195D">
            <w:pPr>
              <w:adjustRightInd w:val="0"/>
              <w:spacing w:line="0" w:lineRule="atLeast"/>
              <w:jc w:val="center"/>
              <w:rPr>
                <w:rFonts w:hint="eastAsia" w:hAnsi="宋体" w:cs="宋体"/>
                <w:color w:val="000000"/>
                <w:spacing w:val="-20"/>
                <w:sz w:val="21"/>
                <w:szCs w:val="21"/>
              </w:rPr>
            </w:pPr>
            <w:r>
              <w:rPr>
                <w:rFonts w:hint="eastAsia" w:hAnsi="宋体" w:cs="宋体"/>
                <w:color w:val="000000"/>
                <w:spacing w:val="0"/>
                <w:sz w:val="21"/>
                <w:szCs w:val="21"/>
              </w:rPr>
              <w:t>符合</w:t>
            </w:r>
          </w:p>
        </w:tc>
      </w:tr>
    </w:tbl>
    <w:p w14:paraId="4042FECD">
      <w:pPr>
        <w:spacing w:line="480" w:lineRule="exact"/>
        <w:ind w:firstLine="515" w:firstLineChars="196"/>
        <w:rPr>
          <w:rFonts w:ascii="黑体" w:hAnsi="黑体" w:eastAsia="黑体"/>
          <w:color w:val="000000"/>
          <w:szCs w:val="24"/>
        </w:rPr>
      </w:pPr>
      <w:r>
        <w:rPr>
          <w:rFonts w:hint="eastAsia" w:ascii="黑体" w:hAnsi="黑体" w:eastAsia="黑体"/>
          <w:color w:val="000000"/>
          <w:szCs w:val="24"/>
        </w:rPr>
        <w:t xml:space="preserve">表3.5-2  </w:t>
      </w:r>
      <w:r>
        <w:rPr>
          <w:rFonts w:hint="eastAsia" w:ascii="黑体" w:hAnsi="黑体" w:eastAsia="黑体" w:cs="黑体"/>
          <w:color w:val="000000"/>
          <w:szCs w:val="24"/>
        </w:rPr>
        <w:t>塔里木油田分公司“十四五”规划符合</w:t>
      </w:r>
      <w:r>
        <w:rPr>
          <w:rFonts w:hint="eastAsia" w:ascii="黑体" w:hAnsi="黑体" w:eastAsia="黑体"/>
          <w:color w:val="000000"/>
          <w:szCs w:val="24"/>
        </w:rPr>
        <w:t>性分析一览表</w:t>
      </w:r>
    </w:p>
    <w:tbl>
      <w:tblPr>
        <w:tblStyle w:val="48"/>
        <w:tblW w:w="500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093"/>
        <w:gridCol w:w="4938"/>
        <w:gridCol w:w="2301"/>
        <w:gridCol w:w="685"/>
      </w:tblGrid>
      <w:tr w14:paraId="3C5646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6" w:type="pct"/>
            <w:tcMar>
              <w:left w:w="28" w:type="dxa"/>
              <w:right w:w="28" w:type="dxa"/>
            </w:tcMar>
            <w:vAlign w:val="center"/>
          </w:tcPr>
          <w:p w14:paraId="5C507F15">
            <w:pPr>
              <w:spacing w:line="0" w:lineRule="atLeast"/>
              <w:jc w:val="center"/>
              <w:rPr>
                <w:rFonts w:hAnsi="宋体" w:cs="Calibri"/>
                <w:color w:val="000000"/>
                <w:spacing w:val="-10"/>
                <w:sz w:val="21"/>
                <w:szCs w:val="21"/>
              </w:rPr>
            </w:pPr>
            <w:r>
              <w:rPr>
                <w:rFonts w:hint="eastAsia" w:hAnsi="宋体" w:cs="Calibri"/>
                <w:color w:val="000000"/>
                <w:spacing w:val="-10"/>
                <w:sz w:val="21"/>
                <w:szCs w:val="21"/>
              </w:rPr>
              <w:t>文件名称</w:t>
            </w:r>
          </w:p>
        </w:tc>
        <w:tc>
          <w:tcPr>
            <w:tcW w:w="2738" w:type="pct"/>
            <w:tcMar>
              <w:left w:w="28" w:type="dxa"/>
              <w:right w:w="28" w:type="dxa"/>
            </w:tcMar>
            <w:vAlign w:val="center"/>
          </w:tcPr>
          <w:p w14:paraId="288B81A5">
            <w:pPr>
              <w:spacing w:line="0" w:lineRule="atLeast"/>
              <w:jc w:val="center"/>
              <w:rPr>
                <w:rFonts w:hAnsi="宋体" w:cs="Calibri"/>
                <w:color w:val="000000"/>
                <w:spacing w:val="-10"/>
                <w:sz w:val="21"/>
                <w:szCs w:val="21"/>
              </w:rPr>
            </w:pPr>
            <w:r>
              <w:rPr>
                <w:rFonts w:hint="eastAsia" w:hAnsi="宋体" w:cs="Calibri"/>
                <w:color w:val="000000"/>
                <w:spacing w:val="-10"/>
                <w:sz w:val="21"/>
                <w:szCs w:val="21"/>
              </w:rPr>
              <w:t>文件要求</w:t>
            </w:r>
          </w:p>
        </w:tc>
        <w:tc>
          <w:tcPr>
            <w:tcW w:w="1276" w:type="pct"/>
            <w:tcMar>
              <w:left w:w="28" w:type="dxa"/>
              <w:right w:w="28" w:type="dxa"/>
            </w:tcMar>
            <w:vAlign w:val="center"/>
          </w:tcPr>
          <w:p w14:paraId="53FC404B">
            <w:pPr>
              <w:spacing w:line="0" w:lineRule="atLeast"/>
              <w:jc w:val="center"/>
              <w:rPr>
                <w:rFonts w:hint="eastAsia" w:hAnsi="宋体" w:cs="Calibri"/>
                <w:color w:val="000000"/>
                <w:spacing w:val="-10"/>
                <w:sz w:val="21"/>
                <w:szCs w:val="21"/>
              </w:rPr>
            </w:pPr>
            <w:r>
              <w:rPr>
                <w:rFonts w:hint="eastAsia" w:hAnsi="宋体" w:cs="宋体"/>
                <w:color w:val="000000"/>
                <w:spacing w:val="-10"/>
                <w:sz w:val="21"/>
                <w:szCs w:val="21"/>
              </w:rPr>
              <w:t>拟建工程</w:t>
            </w:r>
          </w:p>
        </w:tc>
        <w:tc>
          <w:tcPr>
            <w:tcW w:w="380" w:type="pct"/>
            <w:tcMar>
              <w:left w:w="28" w:type="dxa"/>
              <w:right w:w="28" w:type="dxa"/>
            </w:tcMar>
            <w:vAlign w:val="center"/>
          </w:tcPr>
          <w:p w14:paraId="3045143F">
            <w:pPr>
              <w:spacing w:line="0" w:lineRule="atLeast"/>
              <w:jc w:val="center"/>
              <w:rPr>
                <w:rFonts w:hAnsi="宋体" w:cs="宋体"/>
                <w:color w:val="000000"/>
                <w:spacing w:val="-10"/>
                <w:sz w:val="21"/>
                <w:szCs w:val="21"/>
              </w:rPr>
            </w:pPr>
            <w:r>
              <w:rPr>
                <w:rFonts w:hint="eastAsia" w:hAnsi="宋体" w:cs="宋体"/>
                <w:color w:val="000000"/>
                <w:spacing w:val="-10"/>
                <w:sz w:val="21"/>
                <w:szCs w:val="21"/>
              </w:rPr>
              <w:t>符合性</w:t>
            </w:r>
          </w:p>
        </w:tc>
      </w:tr>
      <w:tr w14:paraId="1DA90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6" w:type="pct"/>
            <w:tcMar>
              <w:left w:w="28" w:type="dxa"/>
              <w:right w:w="28" w:type="dxa"/>
            </w:tcMar>
            <w:vAlign w:val="center"/>
          </w:tcPr>
          <w:p w14:paraId="7FE5B67F">
            <w:pPr>
              <w:adjustRightInd w:val="0"/>
              <w:spacing w:line="0" w:lineRule="atLeast"/>
              <w:jc w:val="center"/>
              <w:rPr>
                <w:rFonts w:hint="eastAsia" w:hAnsi="宋体" w:cs="宋体"/>
                <w:color w:val="000000"/>
                <w:spacing w:val="-10"/>
                <w:sz w:val="21"/>
                <w:szCs w:val="21"/>
              </w:rPr>
            </w:pPr>
            <w:r>
              <w:rPr>
                <w:rFonts w:hAnsi="宋体" w:cs="宋体"/>
                <w:color w:val="000000"/>
                <w:spacing w:val="-10"/>
                <w:sz w:val="21"/>
                <w:szCs w:val="21"/>
              </w:rPr>
              <w:t>《塔里木油田“十四五”发展</w:t>
            </w:r>
          </w:p>
          <w:p w14:paraId="0C5A1D7E">
            <w:pPr>
              <w:adjustRightInd w:val="0"/>
              <w:spacing w:line="0" w:lineRule="atLeast"/>
              <w:jc w:val="center"/>
              <w:rPr>
                <w:rFonts w:hAnsi="宋体" w:cs="宋体"/>
                <w:color w:val="000000"/>
                <w:spacing w:val="-10"/>
                <w:sz w:val="21"/>
                <w:szCs w:val="21"/>
              </w:rPr>
            </w:pPr>
            <w:r>
              <w:rPr>
                <w:rFonts w:hAnsi="宋体" w:cs="宋体"/>
                <w:color w:val="000000"/>
                <w:spacing w:val="-10"/>
                <w:sz w:val="21"/>
                <w:szCs w:val="21"/>
              </w:rPr>
              <w:t>规划</w:t>
            </w:r>
            <w:r>
              <w:rPr>
                <w:rFonts w:hAnsi="宋体" w:cs="宋体"/>
                <w:color w:val="000000"/>
                <w:spacing w:val="-10"/>
                <w:sz w:val="21"/>
                <w:szCs w:val="21"/>
                <w:lang w:val="zh-CN"/>
              </w:rPr>
              <w:t>》</w:t>
            </w:r>
          </w:p>
        </w:tc>
        <w:tc>
          <w:tcPr>
            <w:tcW w:w="2738" w:type="pct"/>
            <w:tcMar>
              <w:left w:w="28" w:type="dxa"/>
              <w:right w:w="28" w:type="dxa"/>
            </w:tcMar>
            <w:vAlign w:val="center"/>
          </w:tcPr>
          <w:p w14:paraId="7043DFF3">
            <w:pPr>
              <w:adjustRightInd w:val="0"/>
              <w:spacing w:line="0" w:lineRule="atLeast"/>
              <w:rPr>
                <w:rFonts w:hAnsi="宋体" w:cs="宋体"/>
                <w:color w:val="000000"/>
                <w:spacing w:val="-10"/>
                <w:sz w:val="21"/>
                <w:szCs w:val="21"/>
              </w:rPr>
            </w:pPr>
            <w:r>
              <w:rPr>
                <w:rFonts w:hint="eastAsia" w:hAnsi="宋体" w:cs="宋体"/>
                <w:color w:val="000000"/>
                <w:spacing w:val="-10"/>
                <w:sz w:val="21"/>
                <w:szCs w:val="21"/>
              </w:rPr>
              <w:t>“十四五”期间持续上产，着力推进“库车山前天然气、塔北-塔中原油”两大根据地，实施老油气田综合治理、新油气田效益建产和油气田精益生产，努力实现原油产量稳中上升和天然气快速上产。</w:t>
            </w:r>
          </w:p>
        </w:tc>
        <w:tc>
          <w:tcPr>
            <w:tcW w:w="1276" w:type="pct"/>
            <w:tcMar>
              <w:left w:w="28" w:type="dxa"/>
              <w:right w:w="28" w:type="dxa"/>
            </w:tcMar>
            <w:vAlign w:val="center"/>
          </w:tcPr>
          <w:p w14:paraId="3C4354DD">
            <w:pPr>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拟建工程为油气开采项目，可保证塔中Ⅰ号气田Ⅲ区持续稳产</w:t>
            </w:r>
          </w:p>
        </w:tc>
        <w:tc>
          <w:tcPr>
            <w:tcW w:w="380" w:type="pct"/>
            <w:tcMar>
              <w:left w:w="28" w:type="dxa"/>
              <w:right w:w="28" w:type="dxa"/>
            </w:tcMar>
            <w:vAlign w:val="center"/>
          </w:tcPr>
          <w:p w14:paraId="0057DD20">
            <w:pPr>
              <w:adjustRightInd w:val="0"/>
              <w:spacing w:line="0" w:lineRule="atLeast"/>
              <w:jc w:val="center"/>
              <w:rPr>
                <w:rFonts w:hAnsi="宋体" w:cs="Calibri"/>
                <w:color w:val="000000"/>
                <w:spacing w:val="-10"/>
                <w:sz w:val="21"/>
                <w:szCs w:val="21"/>
              </w:rPr>
            </w:pPr>
            <w:r>
              <w:rPr>
                <w:rFonts w:hint="eastAsia" w:hAnsi="宋体"/>
                <w:color w:val="000000"/>
                <w:spacing w:val="-10"/>
                <w:sz w:val="21"/>
                <w:szCs w:val="21"/>
              </w:rPr>
              <w:t>符合</w:t>
            </w:r>
          </w:p>
        </w:tc>
      </w:tr>
      <w:tr w14:paraId="0BB1D1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687" w:hRule="atLeast"/>
          <w:jc w:val="center"/>
        </w:trPr>
        <w:tc>
          <w:tcPr>
            <w:tcW w:w="606" w:type="pct"/>
            <w:tcMar>
              <w:left w:w="28" w:type="dxa"/>
              <w:right w:w="28" w:type="dxa"/>
            </w:tcMar>
            <w:vAlign w:val="center"/>
          </w:tcPr>
          <w:p w14:paraId="4AEDC44F">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《塔里木油田“十四五”发展规划环境影响报告书》及审查意见</w:t>
            </w:r>
          </w:p>
        </w:tc>
        <w:tc>
          <w:tcPr>
            <w:tcW w:w="2738" w:type="pct"/>
            <w:tcMar>
              <w:left w:w="28" w:type="dxa"/>
              <w:right w:w="28" w:type="dxa"/>
            </w:tcMar>
            <w:vAlign w:val="center"/>
          </w:tcPr>
          <w:p w14:paraId="1B7D1AFC">
            <w:pPr>
              <w:adjustRightInd w:val="0"/>
              <w:spacing w:line="0" w:lineRule="atLeast"/>
              <w:rPr>
                <w:rFonts w:hAnsi="宋体" w:cs="宋体"/>
                <w:color w:val="000000"/>
                <w:spacing w:val="-10"/>
                <w:sz w:val="21"/>
                <w:szCs w:val="21"/>
              </w:rPr>
            </w:pPr>
            <w:r>
              <w:rPr>
                <w:rFonts w:hint="eastAsia" w:hAnsi="宋体" w:cs="宋体"/>
                <w:color w:val="000000"/>
                <w:spacing w:val="-10"/>
                <w:sz w:val="21"/>
                <w:szCs w:val="21"/>
              </w:rPr>
              <w:t>（三）</w:t>
            </w:r>
            <w:r>
              <w:rPr>
                <w:rFonts w:hAnsi="宋体" w:cs="宋体"/>
                <w:color w:val="000000"/>
                <w:spacing w:val="-10"/>
                <w:sz w:val="21"/>
                <w:szCs w:val="21"/>
              </w:rPr>
              <w:t>严格生态环境保护</w:t>
            </w:r>
            <w:r>
              <w:rPr>
                <w:rFonts w:hint="eastAsia" w:hAnsi="宋体" w:cs="宋体"/>
                <w:color w:val="000000"/>
                <w:spacing w:val="-10"/>
                <w:sz w:val="21"/>
                <w:szCs w:val="21"/>
              </w:rPr>
              <w:t>，</w:t>
            </w:r>
            <w:r>
              <w:rPr>
                <w:rFonts w:hAnsi="宋体" w:cs="宋体"/>
                <w:color w:val="000000"/>
                <w:spacing w:val="-10"/>
                <w:sz w:val="21"/>
                <w:szCs w:val="21"/>
              </w:rPr>
              <w:t>强化各类污染物防治。针对规划实施可能出现的累积性、长期性生态环境问题</w:t>
            </w:r>
            <w:r>
              <w:rPr>
                <w:rFonts w:hint="eastAsia" w:hAnsi="宋体" w:cs="宋体"/>
                <w:color w:val="000000"/>
                <w:spacing w:val="-10"/>
                <w:sz w:val="21"/>
                <w:szCs w:val="21"/>
              </w:rPr>
              <w:t>，</w:t>
            </w:r>
            <w:r>
              <w:rPr>
                <w:rFonts w:hAnsi="宋体" w:cs="宋体"/>
                <w:color w:val="000000"/>
                <w:spacing w:val="-10"/>
                <w:sz w:val="21"/>
                <w:szCs w:val="21"/>
              </w:rPr>
              <w:t>采取积极有效的生态复垦和生态恢复措施</w:t>
            </w:r>
            <w:r>
              <w:rPr>
                <w:rFonts w:hint="eastAsia" w:hAnsi="宋体" w:cs="宋体"/>
                <w:color w:val="000000"/>
                <w:spacing w:val="-10"/>
                <w:sz w:val="21"/>
                <w:szCs w:val="21"/>
              </w:rPr>
              <w:t>，</w:t>
            </w:r>
            <w:r>
              <w:rPr>
                <w:rFonts w:hAnsi="宋体" w:cs="宋体"/>
                <w:color w:val="000000"/>
                <w:spacing w:val="-10"/>
                <w:sz w:val="21"/>
                <w:szCs w:val="21"/>
              </w:rPr>
              <w:t>确保实现《报告书》提出的各项生态恢复治理要求</w:t>
            </w:r>
            <w:r>
              <w:rPr>
                <w:rFonts w:hint="eastAsia" w:hAnsi="宋体" w:cs="宋体"/>
                <w:color w:val="000000"/>
                <w:spacing w:val="-10"/>
                <w:sz w:val="21"/>
                <w:szCs w:val="21"/>
              </w:rPr>
              <w:t>，</w:t>
            </w:r>
            <w:r>
              <w:rPr>
                <w:rFonts w:hAnsi="宋体" w:cs="宋体"/>
                <w:color w:val="000000"/>
                <w:spacing w:val="-10"/>
                <w:sz w:val="21"/>
                <w:szCs w:val="21"/>
              </w:rPr>
              <w:t>有效减缓规划区生态环境退化趋势。根据油气开采产业政策和生态环境保护政策要求</w:t>
            </w:r>
            <w:r>
              <w:rPr>
                <w:rFonts w:hint="eastAsia" w:hAnsi="宋体" w:cs="宋体"/>
                <w:color w:val="000000"/>
                <w:spacing w:val="-10"/>
                <w:sz w:val="21"/>
                <w:szCs w:val="21"/>
              </w:rPr>
              <w:t>，</w:t>
            </w:r>
            <w:r>
              <w:rPr>
                <w:rFonts w:hAnsi="宋体" w:cs="宋体"/>
                <w:color w:val="000000"/>
                <w:spacing w:val="-10"/>
                <w:sz w:val="21"/>
                <w:szCs w:val="21"/>
              </w:rPr>
              <w:t>严格落实资源环境指标要求</w:t>
            </w:r>
            <w:r>
              <w:rPr>
                <w:rFonts w:hint="eastAsia" w:hAnsi="宋体" w:cs="宋体"/>
                <w:color w:val="000000"/>
                <w:spacing w:val="-10"/>
                <w:sz w:val="21"/>
                <w:szCs w:val="21"/>
              </w:rPr>
              <w:t>，</w:t>
            </w:r>
            <w:r>
              <w:rPr>
                <w:rFonts w:hAnsi="宋体" w:cs="宋体"/>
                <w:color w:val="000000"/>
                <w:spacing w:val="-10"/>
                <w:sz w:val="21"/>
                <w:szCs w:val="21"/>
              </w:rPr>
              <w:t>进一步控制污染物排放以及能源消耗水平</w:t>
            </w:r>
            <w:r>
              <w:rPr>
                <w:rFonts w:hint="eastAsia" w:hAnsi="宋体" w:cs="宋体"/>
                <w:color w:val="000000"/>
                <w:spacing w:val="-10"/>
                <w:sz w:val="21"/>
                <w:szCs w:val="21"/>
              </w:rPr>
              <w:t>，</w:t>
            </w:r>
            <w:r>
              <w:rPr>
                <w:rFonts w:hAnsi="宋体" w:cs="宋体"/>
                <w:color w:val="000000"/>
                <w:spacing w:val="-10"/>
                <w:sz w:val="21"/>
                <w:szCs w:val="21"/>
              </w:rPr>
              <w:t>对油气开采产生的废弃油基泥浆、含油钻</w:t>
            </w:r>
            <w:r>
              <w:rPr>
                <w:rFonts w:hint="eastAsia" w:hAnsi="宋体" w:cs="宋体"/>
                <w:color w:val="000000"/>
                <w:spacing w:val="-10"/>
                <w:sz w:val="21"/>
                <w:szCs w:val="21"/>
              </w:rPr>
              <w:t>液</w:t>
            </w:r>
            <w:r>
              <w:rPr>
                <w:rFonts w:hAnsi="宋体" w:cs="宋体"/>
                <w:color w:val="000000"/>
                <w:spacing w:val="-10"/>
                <w:sz w:val="21"/>
                <w:szCs w:val="21"/>
              </w:rPr>
              <w:t>及其他固体废物</w:t>
            </w:r>
            <w:r>
              <w:rPr>
                <w:rFonts w:hint="eastAsia" w:hAnsi="宋体" w:cs="宋体"/>
                <w:color w:val="000000"/>
                <w:spacing w:val="-10"/>
                <w:sz w:val="21"/>
                <w:szCs w:val="21"/>
              </w:rPr>
              <w:t>，</w:t>
            </w:r>
            <w:r>
              <w:rPr>
                <w:rFonts w:hAnsi="宋体" w:cs="宋体"/>
                <w:color w:val="000000"/>
                <w:spacing w:val="-10"/>
                <w:sz w:val="21"/>
                <w:szCs w:val="21"/>
              </w:rPr>
              <w:t>提出减量化的源头控制措施、资源化的利用路径、无害化的处理要求</w:t>
            </w:r>
            <w:r>
              <w:rPr>
                <w:rFonts w:hint="eastAsia" w:hAnsi="宋体" w:cs="宋体"/>
                <w:color w:val="000000"/>
                <w:spacing w:val="-10"/>
                <w:sz w:val="21"/>
                <w:szCs w:val="21"/>
              </w:rPr>
              <w:t>，</w:t>
            </w:r>
            <w:r>
              <w:rPr>
                <w:rFonts w:hAnsi="宋体" w:cs="宋体"/>
                <w:color w:val="000000"/>
                <w:spacing w:val="-10"/>
                <w:sz w:val="21"/>
                <w:szCs w:val="21"/>
              </w:rPr>
              <w:t>按照国家和地方有关固体废物的管理规定进行处置</w:t>
            </w:r>
            <w:r>
              <w:rPr>
                <w:rFonts w:hint="eastAsia" w:hAnsi="宋体" w:cs="宋体"/>
                <w:color w:val="000000"/>
                <w:spacing w:val="-10"/>
                <w:sz w:val="21"/>
                <w:szCs w:val="21"/>
              </w:rPr>
              <w:t>，</w:t>
            </w:r>
            <w:r>
              <w:rPr>
                <w:rFonts w:hAnsi="宋体" w:cs="宋体"/>
                <w:color w:val="000000"/>
                <w:spacing w:val="-10"/>
                <w:sz w:val="21"/>
                <w:szCs w:val="21"/>
              </w:rPr>
              <w:t>提高废弃油基泥浆和含油钻屑及其处理产物的综合利用率。根据油气开采产业政策和生态环境保护政策要求</w:t>
            </w:r>
            <w:r>
              <w:rPr>
                <w:rFonts w:hint="eastAsia" w:hAnsi="宋体" w:cs="宋体"/>
                <w:color w:val="000000"/>
                <w:spacing w:val="-10"/>
                <w:sz w:val="21"/>
                <w:szCs w:val="21"/>
              </w:rPr>
              <w:t>，</w:t>
            </w:r>
            <w:r>
              <w:rPr>
                <w:rFonts w:hAnsi="宋体" w:cs="宋体"/>
                <w:color w:val="000000"/>
                <w:spacing w:val="-10"/>
                <w:sz w:val="21"/>
                <w:szCs w:val="21"/>
              </w:rPr>
              <w:t>严格落实资源环境指标要求</w:t>
            </w:r>
            <w:r>
              <w:rPr>
                <w:rFonts w:hint="eastAsia" w:hAnsi="宋体" w:cs="宋体"/>
                <w:color w:val="000000"/>
                <w:spacing w:val="-10"/>
                <w:sz w:val="21"/>
                <w:szCs w:val="21"/>
              </w:rPr>
              <w:t>，</w:t>
            </w:r>
            <w:r>
              <w:rPr>
                <w:rFonts w:hAnsi="宋体" w:cs="宋体"/>
                <w:color w:val="000000"/>
                <w:spacing w:val="-10"/>
                <w:sz w:val="21"/>
                <w:szCs w:val="21"/>
              </w:rPr>
              <w:t>进一步控制污染物排放以及能源消耗水平。油气开采、输送、储存、净化等过程及非正常工况应加强挥发性有机物等污染物排放控制</w:t>
            </w:r>
            <w:r>
              <w:rPr>
                <w:rFonts w:hint="eastAsia" w:hAnsi="宋体" w:cs="宋体"/>
                <w:color w:val="000000"/>
                <w:spacing w:val="-10"/>
                <w:sz w:val="21"/>
                <w:szCs w:val="21"/>
              </w:rPr>
              <w:t>，</w:t>
            </w:r>
            <w:r>
              <w:rPr>
                <w:rFonts w:hAnsi="宋体" w:cs="宋体"/>
                <w:color w:val="000000"/>
                <w:spacing w:val="-10"/>
                <w:sz w:val="21"/>
                <w:szCs w:val="21"/>
              </w:rPr>
              <w:t>确保满足区域环境空气质量要求。加强开采废水污染控制</w:t>
            </w:r>
            <w:r>
              <w:rPr>
                <w:rFonts w:hint="eastAsia" w:hAnsi="宋体" w:cs="宋体"/>
                <w:color w:val="000000"/>
                <w:spacing w:val="-10"/>
                <w:sz w:val="21"/>
                <w:szCs w:val="21"/>
              </w:rPr>
              <w:t>，</w:t>
            </w:r>
            <w:r>
              <w:rPr>
                <w:rFonts w:hAnsi="宋体" w:cs="宋体"/>
                <w:color w:val="000000"/>
                <w:spacing w:val="-10"/>
                <w:sz w:val="21"/>
                <w:szCs w:val="21"/>
              </w:rPr>
              <w:t>涉及回注的应经处理满足《碎屑岩油藏注水水质推荐指标及分析方法》</w:t>
            </w:r>
            <w:r>
              <w:rPr>
                <w:rFonts w:hint="eastAsia" w:hAnsi="宋体" w:cs="宋体"/>
                <w:color w:val="000000"/>
                <w:spacing w:val="-10"/>
                <w:sz w:val="21"/>
                <w:szCs w:val="21"/>
              </w:rPr>
              <w:t>（</w:t>
            </w:r>
            <w:r>
              <w:rPr>
                <w:rFonts w:hAnsi="宋体" w:cs="宋体"/>
                <w:color w:val="000000"/>
                <w:spacing w:val="-10"/>
                <w:sz w:val="21"/>
                <w:szCs w:val="21"/>
              </w:rPr>
              <w:t>SY/T5329</w:t>
            </w:r>
            <w:r>
              <w:rPr>
                <w:rFonts w:hint="eastAsia" w:hAnsi="宋体" w:cs="宋体"/>
                <w:color w:val="000000"/>
                <w:spacing w:val="-10"/>
                <w:sz w:val="21"/>
                <w:szCs w:val="21"/>
              </w:rPr>
              <w:t>）</w:t>
            </w:r>
            <w:r>
              <w:rPr>
                <w:rFonts w:hAnsi="宋体" w:cs="宋体"/>
                <w:color w:val="000000"/>
                <w:spacing w:val="-10"/>
                <w:sz w:val="21"/>
                <w:szCs w:val="21"/>
              </w:rPr>
              <w:t>等相关标准要求</w:t>
            </w:r>
            <w:r>
              <w:rPr>
                <w:rFonts w:hint="eastAsia" w:hAnsi="宋体" w:cs="宋体"/>
                <w:color w:val="000000"/>
                <w:spacing w:val="-10"/>
                <w:sz w:val="21"/>
                <w:szCs w:val="21"/>
              </w:rPr>
              <w:t>，</w:t>
            </w:r>
            <w:r>
              <w:rPr>
                <w:rFonts w:hAnsi="宋体" w:cs="宋体"/>
                <w:color w:val="000000"/>
                <w:spacing w:val="-10"/>
                <w:sz w:val="21"/>
                <w:szCs w:val="21"/>
              </w:rPr>
              <w:t>采取切实可行的地下水污染防治和监控措施</w:t>
            </w:r>
            <w:r>
              <w:rPr>
                <w:rFonts w:hint="eastAsia" w:hAnsi="宋体" w:cs="宋体"/>
                <w:color w:val="000000"/>
                <w:spacing w:val="-10"/>
                <w:sz w:val="21"/>
                <w:szCs w:val="21"/>
              </w:rPr>
              <w:t>，</w:t>
            </w:r>
            <w:r>
              <w:rPr>
                <w:rFonts w:hAnsi="宋体" w:cs="宋体"/>
                <w:color w:val="000000"/>
                <w:spacing w:val="-10"/>
                <w:sz w:val="21"/>
                <w:szCs w:val="21"/>
              </w:rPr>
              <w:t>防止造成地下水污染。油气开采过程中产生的固体废物应当遵循减量化、资源化、无害化原则</w:t>
            </w:r>
            <w:r>
              <w:rPr>
                <w:rFonts w:hint="eastAsia" w:hAnsi="宋体" w:cs="宋体"/>
                <w:color w:val="000000"/>
                <w:spacing w:val="-10"/>
                <w:sz w:val="21"/>
                <w:szCs w:val="21"/>
              </w:rPr>
              <w:t>，</w:t>
            </w:r>
            <w:r>
              <w:rPr>
                <w:rFonts w:hAnsi="宋体" w:cs="宋体"/>
                <w:color w:val="000000"/>
                <w:spacing w:val="-10"/>
                <w:sz w:val="21"/>
                <w:szCs w:val="21"/>
              </w:rPr>
              <w:t>合规处置。加强伴生气、落地油、采出水等回收利用</w:t>
            </w:r>
            <w:r>
              <w:rPr>
                <w:rFonts w:hint="eastAsia" w:hAnsi="宋体" w:cs="宋体"/>
                <w:color w:val="000000"/>
                <w:spacing w:val="-10"/>
                <w:sz w:val="21"/>
                <w:szCs w:val="21"/>
              </w:rPr>
              <w:t>，</w:t>
            </w:r>
            <w:r>
              <w:rPr>
                <w:rFonts w:hAnsi="宋体" w:cs="宋体"/>
                <w:color w:val="000000"/>
                <w:spacing w:val="-10"/>
                <w:sz w:val="21"/>
                <w:szCs w:val="21"/>
              </w:rPr>
              <w:t>提高综合利用水平。</w:t>
            </w:r>
          </w:p>
          <w:p w14:paraId="41F77551">
            <w:pPr>
              <w:adjustRightInd w:val="0"/>
              <w:spacing w:line="0" w:lineRule="atLeast"/>
              <w:rPr>
                <w:rFonts w:hAnsi="宋体" w:cs="Calibri"/>
                <w:color w:val="000000"/>
                <w:spacing w:val="-10"/>
                <w:sz w:val="21"/>
                <w:szCs w:val="21"/>
              </w:rPr>
            </w:pPr>
            <w:r>
              <w:rPr>
                <w:rFonts w:hint="eastAsia" w:hAnsi="宋体" w:cs="宋体"/>
                <w:color w:val="000000"/>
                <w:spacing w:val="-10"/>
                <w:sz w:val="21"/>
                <w:szCs w:val="21"/>
              </w:rPr>
              <w:t>（</w:t>
            </w:r>
            <w:r>
              <w:rPr>
                <w:rFonts w:hAnsi="宋体" w:cs="宋体"/>
                <w:color w:val="000000"/>
                <w:spacing w:val="-10"/>
                <w:sz w:val="21"/>
                <w:szCs w:val="21"/>
              </w:rPr>
              <w:t>四</w:t>
            </w:r>
            <w:r>
              <w:rPr>
                <w:rFonts w:hint="eastAsia" w:hAnsi="宋体" w:cs="宋体"/>
                <w:color w:val="000000"/>
                <w:spacing w:val="-10"/>
                <w:sz w:val="21"/>
                <w:szCs w:val="21"/>
              </w:rPr>
              <w:t>）</w:t>
            </w:r>
            <w:r>
              <w:rPr>
                <w:rFonts w:hAnsi="宋体" w:cs="宋体"/>
                <w:color w:val="000000"/>
                <w:spacing w:val="-10"/>
                <w:sz w:val="21"/>
                <w:szCs w:val="21"/>
              </w:rPr>
              <w:t>加强生态环境系统治理</w:t>
            </w:r>
            <w:r>
              <w:rPr>
                <w:rFonts w:hint="eastAsia" w:hAnsi="宋体" w:cs="宋体"/>
                <w:color w:val="000000"/>
                <w:spacing w:val="-10"/>
                <w:sz w:val="21"/>
                <w:szCs w:val="21"/>
              </w:rPr>
              <w:t>，</w:t>
            </w:r>
            <w:r>
              <w:rPr>
                <w:rFonts w:hAnsi="宋体" w:cs="宋体"/>
                <w:color w:val="000000"/>
                <w:spacing w:val="-10"/>
                <w:sz w:val="21"/>
                <w:szCs w:val="21"/>
              </w:rPr>
              <w:t>维护生态安全。坚持节约优先、保护优先、自然恢复为主</w:t>
            </w:r>
            <w:r>
              <w:rPr>
                <w:rFonts w:hint="eastAsia" w:hAnsi="宋体" w:cs="宋体"/>
                <w:color w:val="000000"/>
                <w:spacing w:val="-10"/>
                <w:sz w:val="21"/>
                <w:szCs w:val="21"/>
              </w:rPr>
              <w:t>，</w:t>
            </w:r>
            <w:r>
              <w:rPr>
                <w:rFonts w:hAnsi="宋体" w:cs="宋体"/>
                <w:color w:val="000000"/>
                <w:spacing w:val="-10"/>
                <w:sz w:val="21"/>
                <w:szCs w:val="21"/>
              </w:rPr>
              <w:t>统筹推进山水林田湖草沙一体化保护和系统治理</w:t>
            </w:r>
            <w:r>
              <w:rPr>
                <w:rFonts w:hint="eastAsia" w:hAnsi="宋体" w:cs="宋体"/>
                <w:color w:val="000000"/>
                <w:spacing w:val="-10"/>
                <w:sz w:val="21"/>
                <w:szCs w:val="21"/>
              </w:rPr>
              <w:t>，</w:t>
            </w:r>
            <w:r>
              <w:rPr>
                <w:rFonts w:hAnsi="宋体" w:cs="宋体"/>
                <w:color w:val="000000"/>
                <w:spacing w:val="-10"/>
                <w:sz w:val="21"/>
                <w:szCs w:val="21"/>
              </w:rPr>
              <w:t>守住自然生态安全边界。严格控制油气田开发扰动范围</w:t>
            </w:r>
            <w:r>
              <w:rPr>
                <w:rFonts w:hint="eastAsia" w:hAnsi="宋体" w:cs="宋体"/>
                <w:color w:val="000000"/>
                <w:spacing w:val="-10"/>
                <w:sz w:val="21"/>
                <w:szCs w:val="21"/>
              </w:rPr>
              <w:t>，</w:t>
            </w:r>
            <w:r>
              <w:rPr>
                <w:rFonts w:hAnsi="宋体" w:cs="宋体"/>
                <w:color w:val="000000"/>
                <w:spacing w:val="-10"/>
                <w:sz w:val="21"/>
                <w:szCs w:val="21"/>
              </w:rPr>
              <w:t>加大生态治理力度</w:t>
            </w:r>
            <w:r>
              <w:rPr>
                <w:rFonts w:hint="eastAsia" w:hAnsi="宋体" w:cs="宋体"/>
                <w:color w:val="000000"/>
                <w:spacing w:val="-10"/>
                <w:sz w:val="21"/>
                <w:szCs w:val="21"/>
              </w:rPr>
              <w:t>，</w:t>
            </w:r>
            <w:r>
              <w:rPr>
                <w:rFonts w:hAnsi="宋体" w:cs="宋体"/>
                <w:color w:val="000000"/>
                <w:spacing w:val="-10"/>
                <w:sz w:val="21"/>
                <w:szCs w:val="21"/>
              </w:rPr>
              <w:t>结合油气开采绿色矿山建设等相关要求</w:t>
            </w:r>
            <w:r>
              <w:rPr>
                <w:rFonts w:hint="eastAsia" w:hAnsi="宋体" w:cs="宋体"/>
                <w:color w:val="000000"/>
                <w:spacing w:val="-10"/>
                <w:sz w:val="21"/>
                <w:szCs w:val="21"/>
              </w:rPr>
              <w:t>，</w:t>
            </w:r>
            <w:r>
              <w:rPr>
                <w:rFonts w:hAnsi="宋体" w:cs="宋体"/>
                <w:color w:val="000000"/>
                <w:spacing w:val="-10"/>
                <w:sz w:val="21"/>
                <w:szCs w:val="21"/>
              </w:rPr>
              <w:t>落实各项生态环境保护措施</w:t>
            </w:r>
            <w:r>
              <w:rPr>
                <w:rFonts w:hint="eastAsia" w:hAnsi="宋体" w:cs="宋体"/>
                <w:color w:val="000000"/>
                <w:spacing w:val="-10"/>
                <w:sz w:val="21"/>
                <w:szCs w:val="21"/>
              </w:rPr>
              <w:t>，</w:t>
            </w:r>
            <w:r>
              <w:rPr>
                <w:rFonts w:hAnsi="宋体" w:cs="宋体"/>
                <w:color w:val="000000"/>
                <w:spacing w:val="-10"/>
                <w:sz w:val="21"/>
                <w:szCs w:val="21"/>
              </w:rPr>
              <w:t>保障区域生态功能不退化</w:t>
            </w:r>
            <w:r>
              <w:rPr>
                <w:rFonts w:hint="eastAsia" w:hAnsi="宋体" w:cs="宋体"/>
                <w:color w:val="000000"/>
                <w:spacing w:val="-10"/>
                <w:sz w:val="21"/>
                <w:szCs w:val="21"/>
              </w:rPr>
              <w:t>，</w:t>
            </w:r>
            <w:r>
              <w:rPr>
                <w:rFonts w:hAnsi="宋体" w:cs="宋体"/>
                <w:color w:val="000000"/>
                <w:spacing w:val="-10"/>
                <w:sz w:val="21"/>
                <w:szCs w:val="21"/>
              </w:rPr>
              <w:t>油气开发应同步制定并落实生态保护和修复方案</w:t>
            </w:r>
            <w:r>
              <w:rPr>
                <w:rFonts w:hint="eastAsia" w:hAnsi="宋体" w:cs="宋体"/>
                <w:color w:val="000000"/>
                <w:spacing w:val="-10"/>
                <w:sz w:val="21"/>
                <w:szCs w:val="21"/>
              </w:rPr>
              <w:t>，</w:t>
            </w:r>
            <w:r>
              <w:rPr>
                <w:rFonts w:hAnsi="宋体" w:cs="宋体"/>
                <w:color w:val="000000"/>
                <w:spacing w:val="-10"/>
                <w:sz w:val="21"/>
                <w:szCs w:val="21"/>
              </w:rPr>
              <w:t>综合考虑防沙治沙等相关要求</w:t>
            </w:r>
            <w:r>
              <w:rPr>
                <w:rFonts w:hint="eastAsia" w:hAnsi="宋体" w:cs="宋体"/>
                <w:color w:val="000000"/>
                <w:spacing w:val="-10"/>
                <w:sz w:val="21"/>
                <w:szCs w:val="21"/>
              </w:rPr>
              <w:t>，</w:t>
            </w:r>
            <w:r>
              <w:rPr>
                <w:rFonts w:hAnsi="宋体" w:cs="宋体"/>
                <w:color w:val="000000"/>
                <w:spacing w:val="-10"/>
                <w:sz w:val="21"/>
                <w:szCs w:val="21"/>
              </w:rPr>
              <w:t>因地制宜开展生态恢复治理工作</w:t>
            </w:r>
          </w:p>
        </w:tc>
        <w:tc>
          <w:tcPr>
            <w:tcW w:w="1276" w:type="pct"/>
            <w:tcMar>
              <w:left w:w="28" w:type="dxa"/>
              <w:right w:w="28" w:type="dxa"/>
            </w:tcMar>
            <w:vAlign w:val="center"/>
          </w:tcPr>
          <w:p w14:paraId="35681106">
            <w:pPr>
              <w:adjustRightInd w:val="0"/>
              <w:spacing w:line="0" w:lineRule="atLeast"/>
              <w:rPr>
                <w:rFonts w:hAnsi="宋体" w:cs="宋体"/>
                <w:color w:val="000000"/>
                <w:spacing w:val="-10"/>
                <w:sz w:val="21"/>
                <w:szCs w:val="21"/>
              </w:rPr>
            </w:pPr>
            <w:r>
              <w:rPr>
                <w:rFonts w:hint="eastAsia" w:hAnsi="宋体" w:cs="宋体"/>
                <w:color w:val="000000"/>
                <w:spacing w:val="-10"/>
                <w:sz w:val="21"/>
                <w:szCs w:val="21"/>
              </w:rPr>
              <w:t>拟建工程运营期间无废气、废水、固废产生,施工期间严格控制开发扰动范围，加大生态治理力度</w:t>
            </w:r>
            <w:r>
              <w:rPr>
                <w:rFonts w:hAnsi="宋体" w:cs="宋体"/>
                <w:color w:val="000000"/>
                <w:spacing w:val="-10"/>
                <w:sz w:val="21"/>
                <w:szCs w:val="21"/>
              </w:rPr>
              <w:t>落实各项生态环境保护措施</w:t>
            </w:r>
            <w:r>
              <w:rPr>
                <w:rFonts w:hint="eastAsia" w:hAnsi="宋体" w:cs="宋体"/>
                <w:color w:val="000000"/>
                <w:spacing w:val="-10"/>
                <w:sz w:val="21"/>
                <w:szCs w:val="21"/>
              </w:rPr>
              <w:t>，</w:t>
            </w:r>
            <w:r>
              <w:rPr>
                <w:rFonts w:hAnsi="宋体" w:cs="宋体"/>
                <w:color w:val="000000"/>
                <w:spacing w:val="-10"/>
                <w:sz w:val="21"/>
                <w:szCs w:val="21"/>
              </w:rPr>
              <w:t>保障区域生态功能不退化</w:t>
            </w:r>
          </w:p>
        </w:tc>
        <w:tc>
          <w:tcPr>
            <w:tcW w:w="380" w:type="pct"/>
            <w:tcMar>
              <w:left w:w="28" w:type="dxa"/>
              <w:right w:w="28" w:type="dxa"/>
            </w:tcMar>
            <w:vAlign w:val="center"/>
          </w:tcPr>
          <w:p w14:paraId="6E6F2244">
            <w:pPr>
              <w:adjustRightInd w:val="0"/>
              <w:spacing w:line="0" w:lineRule="atLeast"/>
              <w:jc w:val="center"/>
              <w:rPr>
                <w:rFonts w:hAnsi="宋体" w:cs="Calibri"/>
                <w:color w:val="000000"/>
                <w:spacing w:val="-10"/>
                <w:sz w:val="21"/>
                <w:szCs w:val="21"/>
              </w:rPr>
            </w:pPr>
            <w:r>
              <w:rPr>
                <w:rFonts w:hint="eastAsia" w:hAnsi="宋体"/>
                <w:color w:val="000000"/>
                <w:spacing w:val="-10"/>
                <w:sz w:val="21"/>
                <w:szCs w:val="21"/>
              </w:rPr>
              <w:t>符合</w:t>
            </w:r>
          </w:p>
        </w:tc>
      </w:tr>
    </w:tbl>
    <w:p w14:paraId="42009AAD">
      <w:pPr>
        <w:spacing w:before="240" w:line="480" w:lineRule="exact"/>
        <w:ind w:firstLine="526" w:firstLineChars="200"/>
        <w:rPr>
          <w:rFonts w:hint="eastAsia" w:hAnsi="宋体" w:cs="宋体"/>
          <w:color w:val="000000"/>
          <w:szCs w:val="24"/>
          <w:lang w:bidi="ar"/>
        </w:rPr>
      </w:pPr>
      <w:r>
        <w:rPr>
          <w:rFonts w:hint="eastAsia" w:hAnsi="宋体" w:cs="宋体"/>
          <w:color w:val="000000"/>
          <w:szCs w:val="24"/>
        </w:rPr>
        <w:t>综上所述，拟建工程符合《新疆维吾尔自治区国民经济和社会发展第十四个五年规划和2035年远景目标纲要》《阿克苏地区国民经济和社会发展第十四个五年规划和2035年远景目标纲要》</w:t>
      </w:r>
      <w:r>
        <w:rPr>
          <w:rFonts w:hint="eastAsia" w:hAnsi="宋体" w:cs="宋体"/>
          <w:color w:val="000000"/>
          <w:lang w:bidi="ar"/>
        </w:rPr>
        <w:t>《和田地区国民经济和社会发展第十四个五年规划和2035年远景目标纲要》</w:t>
      </w:r>
      <w:r>
        <w:rPr>
          <w:rFonts w:hint="eastAsia" w:hAnsi="宋体" w:cs="宋体"/>
          <w:color w:val="000000"/>
          <w:szCs w:val="24"/>
        </w:rPr>
        <w:t>《新疆生态环境保护“十四五”规划》《阿克苏地区生态环境保护“十四五”规划》</w:t>
      </w:r>
      <w:r>
        <w:rPr>
          <w:rFonts w:hint="eastAsia" w:hAnsi="宋体" w:cs="宋体"/>
          <w:color w:val="000000"/>
          <w:lang w:bidi="ar"/>
        </w:rPr>
        <w:t>《和田地区生态环境保护“十四五”规划》</w:t>
      </w:r>
      <w:r>
        <w:rPr>
          <w:rFonts w:hint="eastAsia" w:hAnsi="宋体" w:cs="宋体"/>
          <w:color w:val="000000"/>
          <w:szCs w:val="24"/>
        </w:rPr>
        <w:t>《塔里木油田“十四五”发展规划》等相关规划要求。</w:t>
      </w:r>
    </w:p>
    <w:p w14:paraId="6C575E14">
      <w:pPr>
        <w:pStyle w:val="47"/>
        <w:spacing w:after="0" w:line="480" w:lineRule="exact"/>
        <w:ind w:left="0" w:leftChars="0" w:firstLine="0"/>
        <w:outlineLvl w:val="3"/>
        <w:rPr>
          <w:rFonts w:hint="eastAsia" w:hAnsi="宋体"/>
          <w:color w:val="000000"/>
          <w:spacing w:val="5"/>
          <w:szCs w:val="24"/>
        </w:rPr>
      </w:pPr>
      <w:r>
        <w:rPr>
          <w:rFonts w:hint="eastAsia" w:hAnsi="宋体"/>
          <w:color w:val="000000"/>
          <w:spacing w:val="5"/>
          <w:szCs w:val="24"/>
        </w:rPr>
        <w:t>3.5.2.3 相关</w:t>
      </w:r>
      <w:r>
        <w:rPr>
          <w:rFonts w:hint="eastAsia" w:hAnsi="宋体" w:cs="宋体"/>
          <w:color w:val="000000"/>
          <w:spacing w:val="5"/>
          <w:szCs w:val="24"/>
        </w:rPr>
        <w:t>法规、政策</w:t>
      </w:r>
      <w:r>
        <w:rPr>
          <w:rFonts w:hint="eastAsia" w:hAnsi="宋体"/>
          <w:color w:val="000000"/>
          <w:spacing w:val="5"/>
          <w:szCs w:val="24"/>
        </w:rPr>
        <w:t>文件符合性分析</w:t>
      </w:r>
    </w:p>
    <w:p w14:paraId="146F216D">
      <w:pPr>
        <w:pStyle w:val="47"/>
        <w:spacing w:after="0" w:line="480" w:lineRule="exact"/>
        <w:ind w:left="0" w:leftChars="0" w:firstLine="526" w:firstLineChars="200"/>
        <w:rPr>
          <w:rFonts w:hAnsi="宋体"/>
          <w:color w:val="000000"/>
          <w:spacing w:val="5"/>
          <w:szCs w:val="24"/>
        </w:rPr>
      </w:pPr>
      <w:r>
        <w:rPr>
          <w:rFonts w:hint="eastAsia" w:hAnsi="宋体"/>
          <w:color w:val="000000"/>
          <w:spacing w:val="5"/>
          <w:szCs w:val="24"/>
        </w:rPr>
        <w:t>拟建工程与相关</w:t>
      </w:r>
      <w:r>
        <w:rPr>
          <w:rFonts w:hint="eastAsia" w:hAnsi="宋体" w:cs="宋体"/>
          <w:color w:val="000000"/>
          <w:spacing w:val="5"/>
          <w:szCs w:val="24"/>
        </w:rPr>
        <w:t>法规、政策</w:t>
      </w:r>
      <w:r>
        <w:rPr>
          <w:rFonts w:hint="eastAsia" w:hAnsi="宋体"/>
          <w:color w:val="000000"/>
          <w:spacing w:val="5"/>
          <w:szCs w:val="24"/>
        </w:rPr>
        <w:t>文件符合性分析见表3.5-3。</w:t>
      </w:r>
    </w:p>
    <w:p w14:paraId="148009A6">
      <w:pPr>
        <w:spacing w:line="480" w:lineRule="exact"/>
        <w:ind w:firstLine="526" w:firstLineChars="200"/>
        <w:rPr>
          <w:rFonts w:ascii="黑体" w:hAnsi="黑体" w:eastAsia="黑体"/>
          <w:color w:val="000000"/>
          <w:szCs w:val="24"/>
        </w:rPr>
      </w:pPr>
      <w:r>
        <w:rPr>
          <w:rFonts w:hint="eastAsia" w:ascii="黑体" w:hAnsi="黑体" w:eastAsia="黑体"/>
          <w:color w:val="000000"/>
          <w:szCs w:val="24"/>
        </w:rPr>
        <w:t>表3.5-3        相关文件符合性分析一览表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701"/>
        <w:gridCol w:w="3683"/>
        <w:gridCol w:w="2917"/>
        <w:gridCol w:w="736"/>
      </w:tblGrid>
      <w:tr w14:paraId="5EDC57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41" w:type="pct"/>
            <w:tcMar>
              <w:left w:w="28" w:type="dxa"/>
              <w:right w:w="28" w:type="dxa"/>
            </w:tcMar>
            <w:vAlign w:val="center"/>
          </w:tcPr>
          <w:p w14:paraId="71A69E7F">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2038" w:type="pct"/>
            <w:tcMar>
              <w:left w:w="28" w:type="dxa"/>
              <w:right w:w="28" w:type="dxa"/>
            </w:tcMar>
            <w:vAlign w:val="center"/>
          </w:tcPr>
          <w:p w14:paraId="64108E86">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614" w:type="pct"/>
            <w:tcMar>
              <w:left w:w="28" w:type="dxa"/>
              <w:right w:w="28" w:type="dxa"/>
            </w:tcMar>
            <w:vAlign w:val="center"/>
          </w:tcPr>
          <w:p w14:paraId="4DEE4539">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407" w:type="pct"/>
            <w:tcMar>
              <w:left w:w="28" w:type="dxa"/>
              <w:right w:w="28" w:type="dxa"/>
            </w:tcMar>
            <w:vAlign w:val="center"/>
          </w:tcPr>
          <w:p w14:paraId="693311D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519C6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258" w:hRule="atLeast"/>
          <w:jc w:val="center"/>
        </w:trPr>
        <w:tc>
          <w:tcPr>
            <w:tcW w:w="941" w:type="pct"/>
            <w:tcMar>
              <w:left w:w="28" w:type="dxa"/>
              <w:right w:w="28" w:type="dxa"/>
            </w:tcMar>
            <w:vAlign w:val="center"/>
          </w:tcPr>
          <w:p w14:paraId="4A921B28">
            <w:pPr>
              <w:spacing w:line="0" w:lineRule="atLeast"/>
              <w:jc w:val="center"/>
              <w:rPr>
                <w:rFonts w:hint="eastAsia" w:hAnsi="宋体" w:cs="宋体"/>
                <w:color w:val="000000"/>
                <w:spacing w:val="-10"/>
                <w:sz w:val="21"/>
                <w:szCs w:val="21"/>
              </w:rPr>
            </w:pPr>
            <w:r>
              <w:rPr>
                <w:rFonts w:hint="eastAsia" w:hAnsi="宋体"/>
                <w:color w:val="000000"/>
                <w:spacing w:val="-10"/>
                <w:sz w:val="21"/>
                <w:szCs w:val="21"/>
              </w:rPr>
              <w:t>《转发&lt;关于进一步加强石油天然气行业环境影响评价的通知&gt;的通知》（新环环评发〔2020〕142号）</w:t>
            </w:r>
          </w:p>
        </w:tc>
        <w:tc>
          <w:tcPr>
            <w:tcW w:w="2038" w:type="pct"/>
            <w:tcMar>
              <w:left w:w="28" w:type="dxa"/>
              <w:right w:w="28" w:type="dxa"/>
            </w:tcMar>
            <w:vAlign w:val="center"/>
          </w:tcPr>
          <w:p w14:paraId="0ADDB4B4">
            <w:pPr>
              <w:spacing w:line="0" w:lineRule="atLeast"/>
              <w:rPr>
                <w:rFonts w:hint="eastAsia" w:hAnsi="宋体" w:cs="宋体"/>
                <w:color w:val="000000"/>
                <w:spacing w:val="-10"/>
                <w:sz w:val="21"/>
                <w:szCs w:val="21"/>
              </w:rPr>
            </w:pPr>
            <w:r>
              <w:rPr>
                <w:rFonts w:hint="eastAsia" w:hAnsi="宋体"/>
                <w:color w:val="000000"/>
                <w:spacing w:val="-10"/>
                <w:sz w:val="21"/>
                <w:szCs w:val="21"/>
              </w:rPr>
              <w:t>加快推进油气发展（开发）相关规划编制，并依法开展规划环境影响评价。对已批准的油气发展（开发）规划在实施范围、适用期限、规模、结构和布局等方面进行重大调整或修订的，应当依法重新或补充进行环境影响评价。油气开发规划实施满5年的应当及时开展规划环境影响跟踪评价</w:t>
            </w:r>
          </w:p>
        </w:tc>
        <w:tc>
          <w:tcPr>
            <w:tcW w:w="1614" w:type="pct"/>
            <w:tcMar>
              <w:left w:w="28" w:type="dxa"/>
              <w:right w:w="28" w:type="dxa"/>
            </w:tcMar>
            <w:vAlign w:val="center"/>
          </w:tcPr>
          <w:p w14:paraId="618711DE">
            <w:pPr>
              <w:spacing w:line="0" w:lineRule="atLeast"/>
              <w:rPr>
                <w:rFonts w:hint="eastAsia" w:hAnsi="宋体" w:cs="宋体"/>
                <w:color w:val="000000"/>
                <w:spacing w:val="-10"/>
                <w:sz w:val="21"/>
                <w:szCs w:val="21"/>
              </w:rPr>
            </w:pPr>
            <w:r>
              <w:rPr>
                <w:rFonts w:hint="eastAsia" w:hAnsi="宋体"/>
                <w:color w:val="000000"/>
                <w:spacing w:val="-10"/>
                <w:sz w:val="21"/>
                <w:szCs w:val="21"/>
              </w:rPr>
              <w:t>塔里木油田分公司已开展《塔里木油田“十四五”发展规划</w:t>
            </w:r>
            <w:r>
              <w:rPr>
                <w:rFonts w:hint="eastAsia" w:hAnsi="宋体"/>
                <w:color w:val="000000"/>
                <w:spacing w:val="-10"/>
                <w:sz w:val="21"/>
                <w:szCs w:val="21"/>
                <w:lang w:val="zh-CN"/>
              </w:rPr>
              <w:t>》</w:t>
            </w:r>
          </w:p>
        </w:tc>
        <w:tc>
          <w:tcPr>
            <w:tcW w:w="407" w:type="pct"/>
            <w:tcMar>
              <w:left w:w="28" w:type="dxa"/>
              <w:right w:w="28" w:type="dxa"/>
            </w:tcMar>
            <w:vAlign w:val="center"/>
          </w:tcPr>
          <w:p w14:paraId="0D316E16">
            <w:pPr>
              <w:spacing w:line="0" w:lineRule="atLeast"/>
              <w:jc w:val="center"/>
              <w:rPr>
                <w:rFonts w:hint="eastAsia" w:hAnsi="宋体" w:cs="宋体"/>
                <w:color w:val="000000"/>
                <w:spacing w:val="-10"/>
                <w:sz w:val="21"/>
                <w:szCs w:val="21"/>
              </w:rPr>
            </w:pPr>
            <w:r>
              <w:rPr>
                <w:rFonts w:hint="eastAsia" w:hAnsi="宋体"/>
                <w:color w:val="000000"/>
                <w:spacing w:val="-10"/>
                <w:sz w:val="21"/>
                <w:szCs w:val="21"/>
              </w:rPr>
              <w:t>符合</w:t>
            </w:r>
          </w:p>
        </w:tc>
      </w:tr>
      <w:tr w14:paraId="739188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509" w:hRule="atLeast"/>
          <w:jc w:val="center"/>
        </w:trPr>
        <w:tc>
          <w:tcPr>
            <w:tcW w:w="941" w:type="pct"/>
            <w:vMerge w:val="restart"/>
            <w:tcMar>
              <w:left w:w="28" w:type="dxa"/>
              <w:right w:w="28" w:type="dxa"/>
            </w:tcMar>
            <w:vAlign w:val="center"/>
          </w:tcPr>
          <w:p w14:paraId="7BF2F383">
            <w:pPr>
              <w:spacing w:line="0" w:lineRule="atLeast"/>
              <w:jc w:val="center"/>
              <w:rPr>
                <w:rFonts w:hint="eastAsia" w:hAnsi="宋体"/>
                <w:color w:val="000000"/>
                <w:spacing w:val="-10"/>
                <w:sz w:val="21"/>
                <w:szCs w:val="21"/>
              </w:rPr>
            </w:pPr>
            <w:r>
              <w:rPr>
                <w:rFonts w:hint="eastAsia" w:hAnsi="宋体"/>
                <w:color w:val="000000"/>
                <w:spacing w:val="-10"/>
                <w:sz w:val="21"/>
                <w:szCs w:val="21"/>
              </w:rPr>
              <w:t>《关于进一步加强石油天然气行业环境影响评价管理的通知》（环办环评函〔2019〕910号）</w:t>
            </w:r>
          </w:p>
        </w:tc>
        <w:tc>
          <w:tcPr>
            <w:tcW w:w="2038" w:type="pct"/>
            <w:tcMar>
              <w:left w:w="28" w:type="dxa"/>
              <w:right w:w="28" w:type="dxa"/>
            </w:tcMar>
            <w:vAlign w:val="center"/>
          </w:tcPr>
          <w:p w14:paraId="727ECF32">
            <w:pPr>
              <w:spacing w:line="0" w:lineRule="atLeast"/>
              <w:rPr>
                <w:rFonts w:hint="eastAsia" w:hAnsi="宋体" w:cs="宋体"/>
                <w:color w:val="000000"/>
                <w:spacing w:val="-10"/>
                <w:sz w:val="21"/>
                <w:szCs w:val="21"/>
                <w:shd w:val="clear" w:color="auto" w:fill="FFFFFF"/>
              </w:rPr>
            </w:pPr>
            <w:r>
              <w:rPr>
                <w:rFonts w:hint="eastAsia" w:hAnsi="宋体" w:cs="宋体"/>
                <w:color w:val="000000"/>
                <w:spacing w:val="-10"/>
                <w:sz w:val="21"/>
                <w:szCs w:val="21"/>
                <w:shd w:val="clear" w:color="auto" w:fill="FFFFFF"/>
              </w:rPr>
              <w:t>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614" w:type="pct"/>
            <w:tcMar>
              <w:left w:w="28" w:type="dxa"/>
              <w:right w:w="28" w:type="dxa"/>
            </w:tcMar>
            <w:vAlign w:val="center"/>
          </w:tcPr>
          <w:p w14:paraId="71FD1B38">
            <w:pPr>
              <w:spacing w:line="0" w:lineRule="atLeast"/>
              <w:rPr>
                <w:rFonts w:hAnsi="宋体"/>
                <w:color w:val="000000"/>
                <w:spacing w:val="-10"/>
                <w:sz w:val="21"/>
                <w:szCs w:val="21"/>
              </w:rPr>
            </w:pPr>
            <w:r>
              <w:rPr>
                <w:rFonts w:hint="eastAsia" w:hAnsi="宋体"/>
                <w:color w:val="000000"/>
                <w:spacing w:val="-10"/>
                <w:sz w:val="21"/>
                <w:szCs w:val="21"/>
              </w:rPr>
              <w:t>拟建工程已在报告中提出有效的生态环境保护和环境风险防范措施，并在报告中对现有区块开发情况及存在的问题进行回顾性评价，同时针对废水、固废处置的依托进行了可行性论证</w:t>
            </w:r>
          </w:p>
        </w:tc>
        <w:tc>
          <w:tcPr>
            <w:tcW w:w="407" w:type="pct"/>
            <w:tcMar>
              <w:left w:w="28" w:type="dxa"/>
              <w:right w:w="28" w:type="dxa"/>
            </w:tcMar>
            <w:vAlign w:val="center"/>
          </w:tcPr>
          <w:p w14:paraId="27DFC5B2">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568F52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41" w:type="pct"/>
            <w:vMerge w:val="continue"/>
            <w:tcMar>
              <w:left w:w="28" w:type="dxa"/>
              <w:right w:w="28" w:type="dxa"/>
            </w:tcMar>
            <w:vAlign w:val="center"/>
          </w:tcPr>
          <w:p w14:paraId="0BB55289">
            <w:pPr>
              <w:spacing w:line="0" w:lineRule="atLeast"/>
              <w:jc w:val="center"/>
              <w:rPr>
                <w:rFonts w:hint="eastAsia" w:hAnsi="宋体"/>
                <w:color w:val="000000"/>
                <w:spacing w:val="-10"/>
                <w:sz w:val="21"/>
                <w:szCs w:val="21"/>
              </w:rPr>
            </w:pPr>
          </w:p>
        </w:tc>
        <w:tc>
          <w:tcPr>
            <w:tcW w:w="2038" w:type="pct"/>
            <w:tcMar>
              <w:left w:w="28" w:type="dxa"/>
              <w:right w:w="28" w:type="dxa"/>
            </w:tcMar>
            <w:vAlign w:val="center"/>
          </w:tcPr>
          <w:p w14:paraId="4B3B2173">
            <w:pPr>
              <w:spacing w:line="0" w:lineRule="atLeast"/>
              <w:rPr>
                <w:rFonts w:hint="eastAsia" w:hAnsi="宋体" w:cs="宋体"/>
                <w:color w:val="000000"/>
                <w:spacing w:val="-10"/>
                <w:sz w:val="21"/>
                <w:szCs w:val="21"/>
                <w:shd w:val="clear" w:color="auto" w:fill="FFFFFF"/>
              </w:rPr>
            </w:pPr>
            <w:r>
              <w:rPr>
                <w:rFonts w:hint="eastAsia" w:hAnsi="宋体" w:cs="宋体"/>
                <w:color w:val="000000"/>
                <w:spacing w:val="-10"/>
                <w:sz w:val="21"/>
                <w:szCs w:val="21"/>
                <w:shd w:val="clear" w:color="auto" w:fill="FFFFFF"/>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保护措施</w:t>
            </w:r>
          </w:p>
        </w:tc>
        <w:tc>
          <w:tcPr>
            <w:tcW w:w="1614" w:type="pct"/>
            <w:tcMar>
              <w:left w:w="28" w:type="dxa"/>
              <w:right w:w="28" w:type="dxa"/>
            </w:tcMar>
            <w:vAlign w:val="center"/>
          </w:tcPr>
          <w:p w14:paraId="52CFE50A">
            <w:pPr>
              <w:spacing w:line="0" w:lineRule="atLeast"/>
              <w:rPr>
                <w:rFonts w:hint="eastAsia" w:hAnsi="宋体"/>
                <w:color w:val="000000"/>
                <w:spacing w:val="-10"/>
                <w:sz w:val="21"/>
                <w:szCs w:val="21"/>
              </w:rPr>
            </w:pPr>
            <w:r>
              <w:rPr>
                <w:rFonts w:hint="eastAsia" w:hAnsi="宋体" w:cs="宋体"/>
                <w:color w:val="000000"/>
                <w:spacing w:val="-10"/>
                <w:sz w:val="21"/>
                <w:szCs w:val="21"/>
              </w:rPr>
              <w:t>拟建工程报告中已提出施工过程中严格控制作业带，减少施工占地的措施，要求施工结束后及时进行恢复清理，落实报告中提出的生态保护措施，避免对区域生态环境造成影响</w:t>
            </w:r>
          </w:p>
        </w:tc>
        <w:tc>
          <w:tcPr>
            <w:tcW w:w="407" w:type="pct"/>
            <w:tcMar>
              <w:left w:w="28" w:type="dxa"/>
              <w:right w:w="28" w:type="dxa"/>
            </w:tcMar>
            <w:vAlign w:val="center"/>
          </w:tcPr>
          <w:p w14:paraId="6D1A1399">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50AEAE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41" w:type="pct"/>
            <w:vMerge w:val="continue"/>
            <w:tcMar>
              <w:left w:w="28" w:type="dxa"/>
              <w:right w:w="28" w:type="dxa"/>
            </w:tcMar>
            <w:vAlign w:val="center"/>
          </w:tcPr>
          <w:p w14:paraId="25D04B6B">
            <w:pPr>
              <w:spacing w:line="0" w:lineRule="atLeast"/>
              <w:jc w:val="center"/>
              <w:rPr>
                <w:rFonts w:hint="eastAsia" w:hAnsi="宋体"/>
                <w:color w:val="000000"/>
                <w:spacing w:val="-10"/>
                <w:sz w:val="21"/>
                <w:szCs w:val="21"/>
              </w:rPr>
            </w:pPr>
          </w:p>
        </w:tc>
        <w:tc>
          <w:tcPr>
            <w:tcW w:w="2038" w:type="pct"/>
            <w:tcMar>
              <w:left w:w="28" w:type="dxa"/>
              <w:right w:w="28" w:type="dxa"/>
            </w:tcMar>
            <w:vAlign w:val="center"/>
          </w:tcPr>
          <w:p w14:paraId="7A0FFEAA">
            <w:pPr>
              <w:spacing w:line="0" w:lineRule="atLeast"/>
              <w:rPr>
                <w:rFonts w:hint="eastAsia" w:hAnsi="宋体" w:cs="宋体"/>
                <w:color w:val="000000"/>
                <w:spacing w:val="-10"/>
                <w:sz w:val="21"/>
                <w:szCs w:val="21"/>
                <w:shd w:val="clear" w:color="auto" w:fill="FFFFFF"/>
              </w:rPr>
            </w:pPr>
            <w:r>
              <w:rPr>
                <w:rFonts w:hint="eastAsia" w:hAnsi="宋体" w:cs="宋体"/>
                <w:color w:val="000000"/>
                <w:spacing w:val="-10"/>
                <w:sz w:val="21"/>
                <w:szCs w:val="21"/>
                <w:shd w:val="clear" w:color="auto" w:fill="FFFFFF"/>
              </w:rPr>
              <w:t>油气长输管道及油气田内部集输管道应当优先避让环境敏感区，并从穿越位置、穿越方式、施工场地设置、管线工艺设计、环境风险防范等方面进行深入论证。高度关注项目安全事故带来的环境风险，尽量远离沿线居民</w:t>
            </w:r>
          </w:p>
        </w:tc>
        <w:tc>
          <w:tcPr>
            <w:tcW w:w="1614" w:type="pct"/>
            <w:tcMar>
              <w:left w:w="28" w:type="dxa"/>
              <w:right w:w="28" w:type="dxa"/>
            </w:tcMar>
            <w:vAlign w:val="center"/>
          </w:tcPr>
          <w:p w14:paraId="66680AC8">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拟建工程敷设管线未穿越红线，不在生态保护红线范围内，在采取严格完善的环境风险防范措施和应急措施后，环境风险可防控</w:t>
            </w:r>
          </w:p>
        </w:tc>
        <w:tc>
          <w:tcPr>
            <w:tcW w:w="407" w:type="pct"/>
            <w:tcMar>
              <w:left w:w="28" w:type="dxa"/>
              <w:right w:w="28" w:type="dxa"/>
            </w:tcMar>
            <w:vAlign w:val="center"/>
          </w:tcPr>
          <w:p w14:paraId="69D87BC1">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33B06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41" w:type="pct"/>
            <w:vMerge w:val="continue"/>
            <w:tcMar>
              <w:left w:w="28" w:type="dxa"/>
              <w:right w:w="28" w:type="dxa"/>
            </w:tcMar>
            <w:vAlign w:val="center"/>
          </w:tcPr>
          <w:p w14:paraId="57AE1336">
            <w:pPr>
              <w:spacing w:line="0" w:lineRule="atLeast"/>
              <w:jc w:val="center"/>
              <w:rPr>
                <w:rFonts w:hint="eastAsia" w:hAnsi="宋体"/>
                <w:color w:val="000000"/>
                <w:spacing w:val="-10"/>
                <w:sz w:val="21"/>
                <w:szCs w:val="21"/>
              </w:rPr>
            </w:pPr>
          </w:p>
        </w:tc>
        <w:tc>
          <w:tcPr>
            <w:tcW w:w="2038" w:type="pct"/>
            <w:tcMar>
              <w:left w:w="28" w:type="dxa"/>
              <w:right w:w="28" w:type="dxa"/>
            </w:tcMar>
            <w:vAlign w:val="center"/>
          </w:tcPr>
          <w:p w14:paraId="79D02995">
            <w:pPr>
              <w:adjustRightInd w:val="0"/>
              <w:spacing w:line="0" w:lineRule="atLeast"/>
              <w:rPr>
                <w:rFonts w:hint="eastAsia" w:hAnsi="宋体" w:cs="宋体"/>
                <w:color w:val="000000"/>
                <w:spacing w:val="-10"/>
                <w:sz w:val="21"/>
                <w:szCs w:val="21"/>
                <w:shd w:val="clear" w:color="auto" w:fill="FFFFFF"/>
              </w:rPr>
            </w:pPr>
            <w:r>
              <w:rPr>
                <w:rFonts w:hint="eastAsia" w:hAnsi="宋体" w:cs="宋体"/>
                <w:color w:val="000000"/>
                <w:spacing w:val="-10"/>
                <w:sz w:val="21"/>
                <w:szCs w:val="21"/>
              </w:rPr>
              <w:t>油气企业应当加强风险防控，按规定编制突发环境事件应急预案，报所在地生态环境主管部门备案</w:t>
            </w:r>
          </w:p>
        </w:tc>
        <w:tc>
          <w:tcPr>
            <w:tcW w:w="1614" w:type="pct"/>
            <w:tcMar>
              <w:left w:w="28" w:type="dxa"/>
              <w:right w:w="28" w:type="dxa"/>
            </w:tcMar>
            <w:vAlign w:val="center"/>
          </w:tcPr>
          <w:p w14:paraId="3C2069A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塔中采油气管理区制定有《塔里木油田公司塔中采油气管理区塔中第三联合站突发环境事件应急预案》（备案编号653200-2025-271-L），后续应根据拟建工程生产过程存在的风险事故类型，完善现有的突发环境事件应急预案</w:t>
            </w:r>
          </w:p>
        </w:tc>
        <w:tc>
          <w:tcPr>
            <w:tcW w:w="407" w:type="pct"/>
            <w:tcMar>
              <w:left w:w="28" w:type="dxa"/>
              <w:right w:w="28" w:type="dxa"/>
            </w:tcMar>
            <w:vAlign w:val="center"/>
          </w:tcPr>
          <w:p w14:paraId="7B2F209D">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bl>
    <w:p w14:paraId="2F6CB88E">
      <w:pPr>
        <w:ind w:firstLine="515" w:firstLineChars="196"/>
        <w:rPr>
          <w:rFonts w:ascii="黑体" w:hAnsi="黑体" w:eastAsia="黑体"/>
          <w:color w:val="000000"/>
          <w:szCs w:val="24"/>
        </w:rPr>
      </w:pPr>
      <w:r>
        <w:br w:type="page"/>
      </w:r>
      <w:r>
        <w:rPr>
          <w:rFonts w:hint="eastAsia" w:ascii="黑体" w:hAnsi="黑体" w:eastAsia="黑体"/>
          <w:color w:val="000000"/>
          <w:szCs w:val="24"/>
        </w:rPr>
        <w:t>续表3.5-3        相关文件符合性分析一览表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486"/>
        <w:gridCol w:w="3436"/>
        <w:gridCol w:w="3396"/>
        <w:gridCol w:w="719"/>
      </w:tblGrid>
      <w:tr w14:paraId="3E5C04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tcMar>
              <w:left w:w="28" w:type="dxa"/>
              <w:right w:w="28" w:type="dxa"/>
            </w:tcMar>
            <w:vAlign w:val="center"/>
          </w:tcPr>
          <w:p w14:paraId="7A7F09BF">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1901" w:type="pct"/>
            <w:tcMar>
              <w:left w:w="28" w:type="dxa"/>
              <w:right w:w="28" w:type="dxa"/>
            </w:tcMar>
            <w:vAlign w:val="center"/>
          </w:tcPr>
          <w:p w14:paraId="2FD48C20">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879" w:type="pct"/>
            <w:tcMar>
              <w:left w:w="28" w:type="dxa"/>
              <w:right w:w="28" w:type="dxa"/>
            </w:tcMar>
            <w:vAlign w:val="center"/>
          </w:tcPr>
          <w:p w14:paraId="216C25DD">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398" w:type="pct"/>
            <w:tcMar>
              <w:left w:w="28" w:type="dxa"/>
              <w:right w:w="28" w:type="dxa"/>
            </w:tcMar>
            <w:vAlign w:val="center"/>
          </w:tcPr>
          <w:p w14:paraId="0392882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2BF8E2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tcMar>
              <w:left w:w="28" w:type="dxa"/>
              <w:right w:w="28" w:type="dxa"/>
            </w:tcMar>
            <w:vAlign w:val="center"/>
          </w:tcPr>
          <w:p w14:paraId="68136D1B">
            <w:pPr>
              <w:spacing w:line="0" w:lineRule="atLeast"/>
              <w:jc w:val="center"/>
              <w:rPr>
                <w:rFonts w:hint="eastAsia" w:hAnsi="宋体"/>
                <w:color w:val="000000"/>
                <w:spacing w:val="-10"/>
                <w:sz w:val="21"/>
                <w:szCs w:val="21"/>
                <w:lang w:val="zh-CN"/>
              </w:rPr>
            </w:pPr>
            <w:r>
              <w:rPr>
                <w:rFonts w:hint="eastAsia" w:hAnsi="宋体"/>
                <w:color w:val="000000"/>
                <w:spacing w:val="-10"/>
                <w:sz w:val="21"/>
                <w:szCs w:val="21"/>
                <w:lang w:val="zh-CN"/>
              </w:rPr>
              <w:t>《陆上石油天然气开采业绿色矿山建设规范》（DZ/T0317</w:t>
            </w:r>
          </w:p>
          <w:p w14:paraId="716894D5">
            <w:pPr>
              <w:spacing w:line="0" w:lineRule="atLeast"/>
              <w:jc w:val="center"/>
              <w:rPr>
                <w:rFonts w:hint="eastAsia" w:hAnsi="宋体" w:cs="宋体"/>
                <w:color w:val="000000"/>
                <w:spacing w:val="-10"/>
                <w:sz w:val="21"/>
                <w:szCs w:val="21"/>
              </w:rPr>
            </w:pPr>
            <w:r>
              <w:rPr>
                <w:rFonts w:hint="eastAsia" w:hAnsi="宋体"/>
                <w:color w:val="000000"/>
                <w:spacing w:val="-10"/>
                <w:sz w:val="21"/>
                <w:szCs w:val="21"/>
                <w:lang w:val="zh-CN"/>
              </w:rPr>
              <w:t>-2018）</w:t>
            </w:r>
          </w:p>
        </w:tc>
        <w:tc>
          <w:tcPr>
            <w:tcW w:w="1901" w:type="pct"/>
            <w:tcMar>
              <w:left w:w="28" w:type="dxa"/>
              <w:right w:w="28" w:type="dxa"/>
            </w:tcMar>
            <w:vAlign w:val="center"/>
          </w:tcPr>
          <w:p w14:paraId="128ED7B5">
            <w:pPr>
              <w:spacing w:line="260" w:lineRule="exact"/>
              <w:rPr>
                <w:rFonts w:hint="eastAsia" w:hAnsi="宋体" w:cs="宋体"/>
                <w:color w:val="000000"/>
                <w:spacing w:val="-10"/>
                <w:sz w:val="21"/>
                <w:szCs w:val="21"/>
              </w:rPr>
            </w:pPr>
            <w:r>
              <w:rPr>
                <w:rFonts w:hint="eastAsia" w:hAnsi="宋体"/>
                <w:color w:val="000000"/>
                <w:spacing w:val="-10"/>
                <w:sz w:val="21"/>
                <w:szCs w:val="21"/>
              </w:rPr>
              <w:t>因矿制宜选择开采工艺和装备，符合清洁生产要求。应贯彻“边开采，边治理，边恢复”的原则，及时治理恢复矿区地质环境，复垦矿区压占和损毁土地</w:t>
            </w:r>
          </w:p>
        </w:tc>
        <w:tc>
          <w:tcPr>
            <w:tcW w:w="1879" w:type="pct"/>
            <w:tcMar>
              <w:left w:w="28" w:type="dxa"/>
              <w:right w:w="28" w:type="dxa"/>
            </w:tcMar>
            <w:vAlign w:val="center"/>
          </w:tcPr>
          <w:p w14:paraId="16D0AACE">
            <w:pPr>
              <w:spacing w:line="0" w:lineRule="atLeast"/>
              <w:rPr>
                <w:rFonts w:hint="eastAsia" w:hAnsi="宋体"/>
                <w:color w:val="000000"/>
                <w:spacing w:val="-10"/>
                <w:sz w:val="21"/>
                <w:szCs w:val="21"/>
              </w:rPr>
            </w:pPr>
            <w:r>
              <w:rPr>
                <w:rFonts w:hint="eastAsia" w:hAnsi="宋体"/>
                <w:color w:val="000000"/>
                <w:spacing w:val="-10"/>
                <w:sz w:val="21"/>
                <w:szCs w:val="21"/>
              </w:rPr>
              <w:t>项目提出施工期结束后，恢复管线临时占地，符合“边开采，边治理，边恢复”的原则</w:t>
            </w:r>
          </w:p>
        </w:tc>
        <w:tc>
          <w:tcPr>
            <w:tcW w:w="398" w:type="pct"/>
            <w:tcMar>
              <w:left w:w="28" w:type="dxa"/>
              <w:right w:w="28" w:type="dxa"/>
            </w:tcMar>
            <w:vAlign w:val="center"/>
          </w:tcPr>
          <w:p w14:paraId="2FA96E4B">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3C90BE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restart"/>
            <w:tcMar>
              <w:left w:w="28" w:type="dxa"/>
              <w:right w:w="28" w:type="dxa"/>
            </w:tcMar>
            <w:vAlign w:val="center"/>
          </w:tcPr>
          <w:p w14:paraId="199C1BF5">
            <w:pPr>
              <w:spacing w:line="0" w:lineRule="atLeast"/>
              <w:jc w:val="center"/>
              <w:rPr>
                <w:rFonts w:hint="eastAsia" w:hAnsi="宋体"/>
                <w:color w:val="000000"/>
                <w:spacing w:val="-10"/>
                <w:sz w:val="21"/>
                <w:szCs w:val="21"/>
                <w:lang w:val="zh-CN"/>
              </w:rPr>
            </w:pPr>
            <w:r>
              <w:rPr>
                <w:rFonts w:hint="eastAsia" w:hAnsi="宋体"/>
                <w:color w:val="000000"/>
                <w:spacing w:val="-10"/>
                <w:sz w:val="21"/>
                <w:szCs w:val="21"/>
                <w:lang w:val="zh-CN"/>
              </w:rPr>
              <w:t>《陆上石油天然气开采业绿色矿山建设规范》（DZ/T0317</w:t>
            </w:r>
          </w:p>
          <w:p w14:paraId="4836DD0B">
            <w:pPr>
              <w:spacing w:line="0" w:lineRule="atLeast"/>
              <w:jc w:val="center"/>
              <w:rPr>
                <w:rFonts w:hint="eastAsia" w:hAnsi="宋体" w:cs="宋体"/>
                <w:color w:val="000000"/>
                <w:spacing w:val="-10"/>
                <w:sz w:val="21"/>
                <w:szCs w:val="21"/>
              </w:rPr>
            </w:pPr>
            <w:r>
              <w:rPr>
                <w:rFonts w:hint="eastAsia" w:hAnsi="宋体"/>
                <w:color w:val="000000"/>
                <w:spacing w:val="-10"/>
                <w:sz w:val="21"/>
                <w:szCs w:val="21"/>
                <w:lang w:val="zh-CN"/>
              </w:rPr>
              <w:t>-2018）</w:t>
            </w:r>
          </w:p>
        </w:tc>
        <w:tc>
          <w:tcPr>
            <w:tcW w:w="1901" w:type="pct"/>
            <w:tcMar>
              <w:left w:w="28" w:type="dxa"/>
              <w:right w:w="28" w:type="dxa"/>
            </w:tcMar>
            <w:vAlign w:val="center"/>
          </w:tcPr>
          <w:p w14:paraId="46B2B7C8">
            <w:pPr>
              <w:spacing w:line="260" w:lineRule="exact"/>
              <w:rPr>
                <w:rFonts w:hint="eastAsia" w:hAnsi="宋体" w:cs="宋体"/>
                <w:color w:val="000000"/>
                <w:spacing w:val="-10"/>
                <w:sz w:val="21"/>
                <w:szCs w:val="21"/>
              </w:rPr>
            </w:pPr>
            <w:r>
              <w:rPr>
                <w:rFonts w:hint="eastAsia" w:hAnsi="宋体"/>
                <w:color w:val="000000"/>
                <w:spacing w:val="-10"/>
                <w:sz w:val="21"/>
                <w:szCs w:val="21"/>
              </w:rPr>
              <w:t>应遵循矿区油气资源赋存状况、生态环境特征等条件，科学合理地确定开发方案，选择与油气藏类型相适应的先进开采技术和工艺，推广使用成熟、先进的技术装备，严禁使用国家明文规定的限制和淘汰的技术工艺及装备</w:t>
            </w:r>
          </w:p>
        </w:tc>
        <w:tc>
          <w:tcPr>
            <w:tcW w:w="1879" w:type="pct"/>
            <w:tcMar>
              <w:left w:w="28" w:type="dxa"/>
              <w:right w:w="28" w:type="dxa"/>
            </w:tcMar>
            <w:vAlign w:val="center"/>
          </w:tcPr>
          <w:p w14:paraId="51549E01">
            <w:pPr>
              <w:spacing w:line="0" w:lineRule="atLeast"/>
              <w:rPr>
                <w:rFonts w:hint="eastAsia" w:hAnsi="宋体"/>
                <w:color w:val="000000"/>
                <w:spacing w:val="-10"/>
                <w:sz w:val="21"/>
                <w:szCs w:val="21"/>
              </w:rPr>
            </w:pPr>
            <w:r>
              <w:rPr>
                <w:rFonts w:hint="eastAsia" w:hAnsi="宋体"/>
                <w:color w:val="000000"/>
                <w:spacing w:val="-10"/>
                <w:sz w:val="21"/>
                <w:szCs w:val="21"/>
              </w:rPr>
              <w:t>拟建工程开发方案设计考虑了塔中Ⅰ号气田Ⅲ区油气资源赋存状况、生态环境特征等条件，所选用的技术和工艺均成熟、先进</w:t>
            </w:r>
          </w:p>
        </w:tc>
        <w:tc>
          <w:tcPr>
            <w:tcW w:w="398" w:type="pct"/>
            <w:tcMar>
              <w:left w:w="28" w:type="dxa"/>
              <w:right w:w="28" w:type="dxa"/>
            </w:tcMar>
            <w:vAlign w:val="center"/>
          </w:tcPr>
          <w:p w14:paraId="707F30EC">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09344A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62A9AB28">
            <w:pPr>
              <w:spacing w:line="0" w:lineRule="atLeast"/>
              <w:jc w:val="center"/>
              <w:rPr>
                <w:rFonts w:hint="eastAsia" w:hAnsi="宋体"/>
                <w:color w:val="000000"/>
                <w:spacing w:val="-10"/>
                <w:sz w:val="21"/>
                <w:szCs w:val="21"/>
                <w:lang w:val="zh-CN"/>
              </w:rPr>
            </w:pPr>
          </w:p>
        </w:tc>
        <w:tc>
          <w:tcPr>
            <w:tcW w:w="1901" w:type="pct"/>
            <w:tcMar>
              <w:left w:w="28" w:type="dxa"/>
              <w:right w:w="28" w:type="dxa"/>
            </w:tcMar>
            <w:vAlign w:val="center"/>
          </w:tcPr>
          <w:p w14:paraId="3807D722">
            <w:pPr>
              <w:spacing w:line="0" w:lineRule="atLeast"/>
              <w:rPr>
                <w:rFonts w:hint="eastAsia" w:hAnsi="宋体" w:cs="宋体"/>
                <w:color w:val="000000"/>
                <w:spacing w:val="-10"/>
                <w:sz w:val="21"/>
                <w:szCs w:val="21"/>
              </w:rPr>
            </w:pPr>
            <w:r>
              <w:rPr>
                <w:rFonts w:hint="eastAsia" w:hAnsi="宋体"/>
                <w:color w:val="000000"/>
                <w:spacing w:val="-10"/>
                <w:sz w:val="21"/>
                <w:szCs w:val="21"/>
              </w:rPr>
              <w:t>集约节约利用土地资源，土地利用符合用地指标政策。合理确定站址、场址、管网、路网建设占地规模</w:t>
            </w:r>
          </w:p>
        </w:tc>
        <w:tc>
          <w:tcPr>
            <w:tcW w:w="1879" w:type="pct"/>
            <w:tcMar>
              <w:left w:w="28" w:type="dxa"/>
              <w:right w:w="28" w:type="dxa"/>
            </w:tcMar>
            <w:vAlign w:val="center"/>
          </w:tcPr>
          <w:p w14:paraId="55B8A2D4">
            <w:pPr>
              <w:spacing w:line="0" w:lineRule="atLeast"/>
              <w:rPr>
                <w:rFonts w:hint="eastAsia" w:hAnsi="宋体"/>
                <w:color w:val="000000"/>
                <w:spacing w:val="-10"/>
                <w:sz w:val="21"/>
                <w:szCs w:val="21"/>
              </w:rPr>
            </w:pPr>
            <w:r>
              <w:rPr>
                <w:rFonts w:hint="eastAsia" w:hAnsi="宋体"/>
                <w:color w:val="000000"/>
                <w:spacing w:val="-10"/>
                <w:sz w:val="21"/>
                <w:szCs w:val="21"/>
              </w:rPr>
              <w:t>项目管线临时占地规模均从土地资源节约方面考虑，尽可能缩小占地面积和作业带宽度</w:t>
            </w:r>
          </w:p>
        </w:tc>
        <w:tc>
          <w:tcPr>
            <w:tcW w:w="398" w:type="pct"/>
            <w:tcMar>
              <w:left w:w="28" w:type="dxa"/>
              <w:right w:w="28" w:type="dxa"/>
            </w:tcMar>
            <w:vAlign w:val="center"/>
          </w:tcPr>
          <w:p w14:paraId="7AB124EC">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337F87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restart"/>
            <w:tcMar>
              <w:left w:w="28" w:type="dxa"/>
              <w:right w:w="28" w:type="dxa"/>
            </w:tcMar>
            <w:vAlign w:val="center"/>
          </w:tcPr>
          <w:p w14:paraId="033380C0">
            <w:pPr>
              <w:spacing w:line="0" w:lineRule="atLeast"/>
              <w:jc w:val="center"/>
              <w:rPr>
                <w:rFonts w:hint="eastAsia" w:hAnsi="宋体"/>
                <w:color w:val="000000"/>
                <w:spacing w:val="-10"/>
                <w:sz w:val="21"/>
                <w:szCs w:val="21"/>
              </w:rPr>
            </w:pPr>
            <w:r>
              <w:rPr>
                <w:rFonts w:hint="eastAsia" w:hAnsi="宋体"/>
                <w:color w:val="000000"/>
                <w:spacing w:val="-10"/>
                <w:sz w:val="21"/>
                <w:szCs w:val="21"/>
              </w:rPr>
              <w:t>《关于加强沙区建设项目环境影响评价工作的通知》（新环环评发〔2020〕</w:t>
            </w:r>
          </w:p>
          <w:p w14:paraId="1E1288A1">
            <w:pPr>
              <w:spacing w:line="0" w:lineRule="atLeast"/>
              <w:jc w:val="center"/>
              <w:rPr>
                <w:rFonts w:hint="eastAsia" w:hAnsi="宋体"/>
                <w:color w:val="000000"/>
                <w:spacing w:val="-10"/>
                <w:sz w:val="21"/>
                <w:szCs w:val="21"/>
              </w:rPr>
            </w:pPr>
            <w:r>
              <w:rPr>
                <w:rFonts w:hint="eastAsia" w:hAnsi="宋体"/>
                <w:color w:val="000000"/>
                <w:spacing w:val="-10"/>
                <w:sz w:val="21"/>
                <w:szCs w:val="21"/>
              </w:rPr>
              <w:t>138号）</w:t>
            </w:r>
          </w:p>
        </w:tc>
        <w:tc>
          <w:tcPr>
            <w:tcW w:w="1901" w:type="pct"/>
            <w:tcMar>
              <w:left w:w="28" w:type="dxa"/>
              <w:right w:w="28" w:type="dxa"/>
            </w:tcMar>
            <w:vAlign w:val="center"/>
          </w:tcPr>
          <w:p w14:paraId="00FFFC07">
            <w:pPr>
              <w:spacing w:line="0" w:lineRule="atLeast"/>
              <w:rPr>
                <w:rFonts w:hint="eastAsia" w:hAnsi="宋体"/>
                <w:color w:val="000000"/>
                <w:spacing w:val="-10"/>
                <w:sz w:val="21"/>
                <w:szCs w:val="21"/>
              </w:rPr>
            </w:pPr>
            <w:r>
              <w:rPr>
                <w:rFonts w:hint="eastAsia" w:hAnsi="宋体"/>
                <w:color w:val="000000"/>
                <w:spacing w:val="-10"/>
                <w:sz w:val="21"/>
                <w:szCs w:val="21"/>
              </w:rPr>
              <w:t>对于受理的涉及沙区的建设项目环评文件，严格按照《环境影响评价技术导则生态影响）》要求，强化建设项目的环境可行性、环境影响分析预测评估的可靠性和防沙治沙生态环境保护措施的可行性、有效性评估</w:t>
            </w:r>
          </w:p>
        </w:tc>
        <w:tc>
          <w:tcPr>
            <w:tcW w:w="1879" w:type="pct"/>
            <w:tcMar>
              <w:left w:w="28" w:type="dxa"/>
              <w:right w:w="28" w:type="dxa"/>
            </w:tcMar>
            <w:vAlign w:val="center"/>
          </w:tcPr>
          <w:p w14:paraId="69603205">
            <w:pPr>
              <w:spacing w:line="0" w:lineRule="atLeast"/>
              <w:rPr>
                <w:rFonts w:hAnsi="宋体"/>
                <w:color w:val="000000"/>
                <w:spacing w:val="-10"/>
                <w:sz w:val="21"/>
                <w:szCs w:val="21"/>
              </w:rPr>
            </w:pPr>
            <w:r>
              <w:rPr>
                <w:rFonts w:hint="eastAsia" w:hAnsi="宋体"/>
                <w:color w:val="000000"/>
                <w:spacing w:val="-10"/>
                <w:sz w:val="21"/>
                <w:szCs w:val="21"/>
              </w:rPr>
              <w:t>报告中已提出有效可行的防沙治沙措施，具体见“6.1.1.10章节”</w:t>
            </w:r>
          </w:p>
        </w:tc>
        <w:tc>
          <w:tcPr>
            <w:tcW w:w="398" w:type="pct"/>
            <w:tcMar>
              <w:left w:w="28" w:type="dxa"/>
              <w:right w:w="28" w:type="dxa"/>
            </w:tcMar>
            <w:vAlign w:val="center"/>
          </w:tcPr>
          <w:p w14:paraId="4EA82F11">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22BB0E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3DACFE5E">
            <w:pPr>
              <w:spacing w:line="0" w:lineRule="atLeast"/>
              <w:jc w:val="center"/>
              <w:rPr>
                <w:rFonts w:hint="eastAsia" w:hAnsi="宋体"/>
                <w:color w:val="000000"/>
                <w:spacing w:val="-10"/>
                <w:sz w:val="21"/>
                <w:szCs w:val="21"/>
                <w:lang w:val="zh-CN"/>
              </w:rPr>
            </w:pPr>
          </w:p>
        </w:tc>
        <w:tc>
          <w:tcPr>
            <w:tcW w:w="1901" w:type="pct"/>
            <w:tcMar>
              <w:left w:w="28" w:type="dxa"/>
              <w:right w:w="28" w:type="dxa"/>
            </w:tcMar>
            <w:vAlign w:val="center"/>
          </w:tcPr>
          <w:p w14:paraId="649F025B">
            <w:pPr>
              <w:spacing w:line="0" w:lineRule="atLeast"/>
              <w:rPr>
                <w:rFonts w:hint="eastAsia" w:hAnsi="宋体"/>
                <w:color w:val="000000"/>
                <w:spacing w:val="-10"/>
                <w:sz w:val="21"/>
                <w:szCs w:val="21"/>
              </w:rPr>
            </w:pPr>
            <w:r>
              <w:rPr>
                <w:rFonts w:hint="eastAsia" w:hAnsi="宋体"/>
                <w:color w:val="000000"/>
                <w:spacing w:val="-10"/>
                <w:sz w:val="21"/>
                <w:szCs w:val="21"/>
              </w:rPr>
              <w:t>对于位于沙化土地封禁保护区范围内或者超过生态环境承载能力或对沙区生态环境可能造成重大影响的建设项目，不予批准其环评文件，从源头预防环境污染和生态破坏</w:t>
            </w:r>
          </w:p>
        </w:tc>
        <w:tc>
          <w:tcPr>
            <w:tcW w:w="1879" w:type="pct"/>
            <w:tcMar>
              <w:left w:w="28" w:type="dxa"/>
              <w:right w:w="28" w:type="dxa"/>
            </w:tcMar>
            <w:vAlign w:val="center"/>
          </w:tcPr>
          <w:p w14:paraId="712509AB">
            <w:pPr>
              <w:spacing w:line="0" w:lineRule="atLeast"/>
              <w:rPr>
                <w:rFonts w:hint="eastAsia" w:hAnsi="宋体"/>
                <w:color w:val="000000"/>
                <w:spacing w:val="-10"/>
                <w:sz w:val="21"/>
                <w:szCs w:val="21"/>
              </w:rPr>
            </w:pPr>
            <w:r>
              <w:rPr>
                <w:rFonts w:hint="eastAsia" w:hAnsi="宋体"/>
                <w:color w:val="000000"/>
                <w:spacing w:val="-10"/>
                <w:sz w:val="21"/>
                <w:szCs w:val="21"/>
              </w:rPr>
              <w:t>拟建工程不在沙化土地封禁保护区范围内，不属于对沙区生态环境可能造成重大影响的建设项目，项目在采取有效的生态保护、避让、减缓等措施，不会超过区域生态环境承载能力</w:t>
            </w:r>
          </w:p>
        </w:tc>
        <w:tc>
          <w:tcPr>
            <w:tcW w:w="398" w:type="pct"/>
            <w:tcMar>
              <w:left w:w="28" w:type="dxa"/>
              <w:right w:w="28" w:type="dxa"/>
            </w:tcMar>
            <w:vAlign w:val="center"/>
          </w:tcPr>
          <w:p w14:paraId="0E7080F2">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336E21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restart"/>
            <w:tcMar>
              <w:left w:w="28" w:type="dxa"/>
              <w:right w:w="28" w:type="dxa"/>
            </w:tcMar>
            <w:vAlign w:val="center"/>
          </w:tcPr>
          <w:p w14:paraId="4F478F4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《石油天然气开采业污染防治技术政策》</w:t>
            </w:r>
          </w:p>
          <w:p w14:paraId="24140B97">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（公告 2012年 第18号）</w:t>
            </w:r>
          </w:p>
        </w:tc>
        <w:tc>
          <w:tcPr>
            <w:tcW w:w="1901" w:type="pct"/>
            <w:tcMar>
              <w:left w:w="28" w:type="dxa"/>
              <w:right w:w="28" w:type="dxa"/>
            </w:tcMar>
            <w:vAlign w:val="center"/>
          </w:tcPr>
          <w:p w14:paraId="4ED7AA0C">
            <w:pPr>
              <w:adjustRightInd w:val="0"/>
              <w:spacing w:line="0" w:lineRule="atLeast"/>
              <w:rPr>
                <w:rFonts w:hint="eastAsia" w:hAnsi="宋体"/>
                <w:color w:val="000000"/>
                <w:spacing w:val="-10"/>
                <w:sz w:val="21"/>
                <w:szCs w:val="21"/>
              </w:rPr>
            </w:pPr>
            <w:r>
              <w:rPr>
                <w:rFonts w:hint="eastAsia" w:hAnsi="宋体" w:cs="宋体"/>
                <w:color w:val="000000"/>
                <w:spacing w:val="-10"/>
                <w:sz w:val="21"/>
                <w:szCs w:val="21"/>
              </w:rPr>
              <w:t>要遏制重大、杜绝特别重大环境污染和生态破坏事故的发生。要逐步实现对行业排放的石油类污染物进行总量控制</w:t>
            </w:r>
          </w:p>
        </w:tc>
        <w:tc>
          <w:tcPr>
            <w:tcW w:w="1879" w:type="pct"/>
            <w:tcMar>
              <w:left w:w="28" w:type="dxa"/>
              <w:right w:w="28" w:type="dxa"/>
            </w:tcMar>
            <w:vAlign w:val="center"/>
          </w:tcPr>
          <w:p w14:paraId="54105BAA">
            <w:pPr>
              <w:adjustRightInd w:val="0"/>
              <w:spacing w:line="260" w:lineRule="exact"/>
              <w:rPr>
                <w:rFonts w:hAnsi="宋体"/>
                <w:color w:val="000000"/>
                <w:spacing w:val="-10"/>
                <w:sz w:val="21"/>
                <w:szCs w:val="21"/>
              </w:rPr>
            </w:pPr>
            <w:r>
              <w:rPr>
                <w:rFonts w:hint="eastAsia" w:hAnsi="宋体"/>
                <w:color w:val="000000"/>
                <w:spacing w:val="-10"/>
                <w:sz w:val="21"/>
                <w:szCs w:val="21"/>
              </w:rPr>
              <w:t>拟建工程营运期间无废水产生；无石油类污染物排放</w:t>
            </w:r>
          </w:p>
        </w:tc>
        <w:tc>
          <w:tcPr>
            <w:tcW w:w="398" w:type="pct"/>
            <w:tcMar>
              <w:left w:w="28" w:type="dxa"/>
              <w:right w:w="28" w:type="dxa"/>
            </w:tcMar>
            <w:vAlign w:val="center"/>
          </w:tcPr>
          <w:p w14:paraId="6E805028">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3D4FC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0D461577">
            <w:pPr>
              <w:spacing w:line="0" w:lineRule="atLeast"/>
              <w:jc w:val="center"/>
              <w:rPr>
                <w:rFonts w:hint="eastAsia" w:hAnsi="宋体"/>
                <w:color w:val="000000"/>
                <w:spacing w:val="-10"/>
                <w:sz w:val="21"/>
                <w:szCs w:val="21"/>
              </w:rPr>
            </w:pPr>
          </w:p>
        </w:tc>
        <w:tc>
          <w:tcPr>
            <w:tcW w:w="1901" w:type="pct"/>
            <w:tcMar>
              <w:left w:w="28" w:type="dxa"/>
              <w:right w:w="28" w:type="dxa"/>
            </w:tcMar>
            <w:vAlign w:val="center"/>
          </w:tcPr>
          <w:p w14:paraId="397674AE">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油气田建设应总体规划，优化布局，整体开发，减少占地和油气损失，实现油气和废物的集中收集、处理处置。</w:t>
            </w:r>
          </w:p>
        </w:tc>
        <w:tc>
          <w:tcPr>
            <w:tcW w:w="1879" w:type="pct"/>
            <w:tcMar>
              <w:left w:w="28" w:type="dxa"/>
              <w:right w:w="28" w:type="dxa"/>
            </w:tcMar>
            <w:vAlign w:val="center"/>
          </w:tcPr>
          <w:p w14:paraId="7F4CA2A6">
            <w:pPr>
              <w:adjustRightInd w:val="0"/>
              <w:spacing w:line="260" w:lineRule="exact"/>
              <w:rPr>
                <w:rFonts w:hAnsi="宋体"/>
                <w:color w:val="000000"/>
                <w:spacing w:val="-10"/>
                <w:sz w:val="21"/>
                <w:szCs w:val="21"/>
              </w:rPr>
            </w:pPr>
            <w:r>
              <w:rPr>
                <w:rFonts w:hint="eastAsia" w:hAnsi="宋体"/>
                <w:color w:val="000000"/>
                <w:spacing w:val="-10"/>
                <w:sz w:val="21"/>
                <w:szCs w:val="21"/>
              </w:rPr>
              <w:t>拟建工程建设布局合理，已在设计阶段合理选址，合理利用区域现有道路，减少项目占地；运营期无固废产生</w:t>
            </w:r>
          </w:p>
        </w:tc>
        <w:tc>
          <w:tcPr>
            <w:tcW w:w="398" w:type="pct"/>
            <w:tcMar>
              <w:left w:w="28" w:type="dxa"/>
              <w:right w:w="28" w:type="dxa"/>
            </w:tcMar>
            <w:vAlign w:val="center"/>
          </w:tcPr>
          <w:p w14:paraId="61122D5F">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2D5F3F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2EE03D35">
            <w:pPr>
              <w:spacing w:line="0" w:lineRule="atLeast"/>
              <w:jc w:val="center"/>
              <w:rPr>
                <w:rFonts w:hint="eastAsia" w:hAnsi="宋体"/>
                <w:color w:val="000000"/>
                <w:spacing w:val="-10"/>
                <w:sz w:val="21"/>
                <w:szCs w:val="21"/>
              </w:rPr>
            </w:pPr>
          </w:p>
        </w:tc>
        <w:tc>
          <w:tcPr>
            <w:tcW w:w="1901" w:type="pct"/>
            <w:tcMar>
              <w:left w:w="28" w:type="dxa"/>
              <w:right w:w="28" w:type="dxa"/>
            </w:tcMar>
            <w:vAlign w:val="center"/>
          </w:tcPr>
          <w:p w14:paraId="2C1BFC40">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在油气集输过程中，应采用密闭流程，减少烃类气体排放</w:t>
            </w:r>
          </w:p>
        </w:tc>
        <w:tc>
          <w:tcPr>
            <w:tcW w:w="1879" w:type="pct"/>
            <w:tcMar>
              <w:left w:w="28" w:type="dxa"/>
              <w:right w:w="28" w:type="dxa"/>
            </w:tcMar>
            <w:vAlign w:val="center"/>
          </w:tcPr>
          <w:p w14:paraId="32A89C80">
            <w:pPr>
              <w:spacing w:line="0" w:lineRule="atLeast"/>
              <w:rPr>
                <w:rFonts w:hint="eastAsia" w:hAnsi="宋体"/>
                <w:color w:val="000000"/>
                <w:spacing w:val="-10"/>
                <w:sz w:val="21"/>
                <w:szCs w:val="21"/>
              </w:rPr>
            </w:pPr>
            <w:r>
              <w:rPr>
                <w:rFonts w:hint="eastAsia" w:hAnsi="宋体"/>
                <w:color w:val="000000"/>
                <w:spacing w:val="-10"/>
                <w:sz w:val="21"/>
                <w:szCs w:val="21"/>
              </w:rPr>
              <w:t>拟建工程营运期间无废气产生，不涉及烃类气体排放</w:t>
            </w:r>
          </w:p>
        </w:tc>
        <w:tc>
          <w:tcPr>
            <w:tcW w:w="398" w:type="pct"/>
            <w:tcMar>
              <w:left w:w="28" w:type="dxa"/>
              <w:right w:w="28" w:type="dxa"/>
            </w:tcMar>
            <w:vAlign w:val="center"/>
          </w:tcPr>
          <w:p w14:paraId="37E05F11">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42CC06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11D5E0AE">
            <w:pPr>
              <w:spacing w:line="0" w:lineRule="atLeast"/>
              <w:jc w:val="center"/>
              <w:rPr>
                <w:rFonts w:hint="eastAsia" w:hAnsi="宋体"/>
                <w:color w:val="000000"/>
                <w:spacing w:val="-10"/>
                <w:sz w:val="21"/>
                <w:szCs w:val="21"/>
              </w:rPr>
            </w:pPr>
          </w:p>
        </w:tc>
        <w:tc>
          <w:tcPr>
            <w:tcW w:w="1901" w:type="pct"/>
            <w:tcMar>
              <w:left w:w="28" w:type="dxa"/>
              <w:right w:w="28" w:type="dxa"/>
            </w:tcMar>
            <w:vAlign w:val="center"/>
          </w:tcPr>
          <w:p w14:paraId="110C6E67">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在油气开发过程中，应采取措施减轻生态影响并及时用适地植物进行植被恢复</w:t>
            </w:r>
          </w:p>
        </w:tc>
        <w:tc>
          <w:tcPr>
            <w:tcW w:w="1879" w:type="pct"/>
            <w:tcMar>
              <w:left w:w="28" w:type="dxa"/>
              <w:right w:w="28" w:type="dxa"/>
            </w:tcMar>
            <w:vAlign w:val="center"/>
          </w:tcPr>
          <w:p w14:paraId="0123F749">
            <w:pPr>
              <w:spacing w:line="0" w:lineRule="atLeast"/>
              <w:rPr>
                <w:rFonts w:hint="eastAsia" w:hAnsi="宋体"/>
                <w:color w:val="000000"/>
                <w:spacing w:val="-10"/>
                <w:sz w:val="21"/>
                <w:szCs w:val="21"/>
              </w:rPr>
            </w:pPr>
            <w:r>
              <w:rPr>
                <w:rFonts w:hint="eastAsia" w:hAnsi="宋体"/>
                <w:color w:val="000000"/>
                <w:spacing w:val="-10"/>
                <w:sz w:val="21"/>
                <w:szCs w:val="21"/>
              </w:rPr>
              <w:t>本评价已提出生态影响减缓措施</w:t>
            </w:r>
          </w:p>
        </w:tc>
        <w:tc>
          <w:tcPr>
            <w:tcW w:w="398" w:type="pct"/>
            <w:tcMar>
              <w:left w:w="28" w:type="dxa"/>
              <w:right w:w="28" w:type="dxa"/>
            </w:tcMar>
            <w:vAlign w:val="center"/>
          </w:tcPr>
          <w:p w14:paraId="1A8778E2">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5A1F74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restart"/>
            <w:tcMar>
              <w:left w:w="28" w:type="dxa"/>
              <w:right w:w="28" w:type="dxa"/>
            </w:tcMar>
            <w:vAlign w:val="center"/>
          </w:tcPr>
          <w:p w14:paraId="7CDAE0BD">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《石油天然气开采业污染防治技术政策》（公告 2012年 第18号）</w:t>
            </w:r>
          </w:p>
        </w:tc>
        <w:tc>
          <w:tcPr>
            <w:tcW w:w="1901" w:type="pct"/>
            <w:tcMar>
              <w:left w:w="28" w:type="dxa"/>
              <w:right w:w="28" w:type="dxa"/>
            </w:tcMar>
            <w:vAlign w:val="center"/>
          </w:tcPr>
          <w:p w14:paraId="3BFCE786">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位于湿地自然保护区和鸟类迁徙通道上的油田、油井，若有较大的生态影响，应将电线、采油管线地下敷设。在油田作业区，应采取措施，保护零散自然湿地</w:t>
            </w:r>
          </w:p>
        </w:tc>
        <w:tc>
          <w:tcPr>
            <w:tcW w:w="1879" w:type="pct"/>
            <w:tcMar>
              <w:left w:w="28" w:type="dxa"/>
              <w:right w:w="28" w:type="dxa"/>
            </w:tcMar>
            <w:vAlign w:val="center"/>
          </w:tcPr>
          <w:p w14:paraId="746899D0">
            <w:pPr>
              <w:spacing w:line="0" w:lineRule="atLeast"/>
              <w:rPr>
                <w:rFonts w:hint="eastAsia" w:hAnsi="宋体"/>
                <w:color w:val="000000"/>
                <w:spacing w:val="-10"/>
                <w:sz w:val="21"/>
                <w:szCs w:val="21"/>
              </w:rPr>
            </w:pPr>
            <w:r>
              <w:rPr>
                <w:rFonts w:hint="eastAsia" w:hAnsi="宋体"/>
                <w:color w:val="000000"/>
                <w:spacing w:val="-10"/>
                <w:sz w:val="21"/>
                <w:szCs w:val="21"/>
              </w:rPr>
              <w:t>拟建工程不占用湿地自然保护区和鸟类迁徙通道</w:t>
            </w:r>
          </w:p>
        </w:tc>
        <w:tc>
          <w:tcPr>
            <w:tcW w:w="398" w:type="pct"/>
            <w:tcMar>
              <w:left w:w="28" w:type="dxa"/>
              <w:right w:w="28" w:type="dxa"/>
            </w:tcMar>
            <w:vAlign w:val="center"/>
          </w:tcPr>
          <w:p w14:paraId="38E3D560">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018EF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822" w:type="pct"/>
            <w:vMerge w:val="continue"/>
            <w:tcMar>
              <w:left w:w="28" w:type="dxa"/>
              <w:right w:w="28" w:type="dxa"/>
            </w:tcMar>
            <w:vAlign w:val="center"/>
          </w:tcPr>
          <w:p w14:paraId="1EBB2BA4">
            <w:pPr>
              <w:spacing w:line="0" w:lineRule="atLeast"/>
              <w:jc w:val="center"/>
              <w:rPr>
                <w:rFonts w:hint="eastAsia" w:hAnsi="宋体"/>
                <w:color w:val="000000"/>
                <w:spacing w:val="-10"/>
                <w:sz w:val="21"/>
                <w:szCs w:val="21"/>
              </w:rPr>
            </w:pPr>
          </w:p>
        </w:tc>
        <w:tc>
          <w:tcPr>
            <w:tcW w:w="1901" w:type="pct"/>
            <w:tcMar>
              <w:left w:w="28" w:type="dxa"/>
              <w:right w:w="28" w:type="dxa"/>
            </w:tcMar>
            <w:vAlign w:val="center"/>
          </w:tcPr>
          <w:p w14:paraId="408B31C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在钻井和井下作业过程中，鼓励污油、污水进入生产流程循环利用，未进入生产流程的污油、污水应采用固液分离、废水处理一体化装置等处理后达标外排</w:t>
            </w:r>
          </w:p>
        </w:tc>
        <w:tc>
          <w:tcPr>
            <w:tcW w:w="1879" w:type="pct"/>
            <w:tcMar>
              <w:left w:w="28" w:type="dxa"/>
              <w:right w:w="28" w:type="dxa"/>
            </w:tcMar>
            <w:vAlign w:val="center"/>
          </w:tcPr>
          <w:p w14:paraId="35650620">
            <w:pPr>
              <w:spacing w:line="0" w:lineRule="atLeast"/>
              <w:rPr>
                <w:rFonts w:hint="eastAsia" w:hAnsi="宋体"/>
                <w:color w:val="000000"/>
                <w:spacing w:val="-10"/>
                <w:sz w:val="21"/>
                <w:szCs w:val="21"/>
              </w:rPr>
            </w:pPr>
            <w:r>
              <w:rPr>
                <w:rFonts w:hint="eastAsia" w:hAnsi="宋体"/>
                <w:color w:val="000000"/>
                <w:spacing w:val="-10"/>
                <w:sz w:val="21"/>
                <w:szCs w:val="21"/>
              </w:rPr>
              <w:t>拟建工程不涉及</w:t>
            </w:r>
          </w:p>
        </w:tc>
        <w:tc>
          <w:tcPr>
            <w:tcW w:w="398" w:type="pct"/>
            <w:tcMar>
              <w:left w:w="28" w:type="dxa"/>
              <w:right w:w="28" w:type="dxa"/>
            </w:tcMar>
            <w:vAlign w:val="center"/>
          </w:tcPr>
          <w:p w14:paraId="7472CDA6">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bl>
    <w:p w14:paraId="2EEFD9AE">
      <w:pPr>
        <w:spacing w:line="480" w:lineRule="exact"/>
        <w:ind w:firstLine="526" w:firstLineChars="200"/>
        <w:rPr>
          <w:rFonts w:ascii="黑体" w:hAnsi="黑体" w:eastAsia="黑体"/>
          <w:color w:val="000000"/>
          <w:szCs w:val="24"/>
        </w:rPr>
      </w:pPr>
      <w:r>
        <w:rPr>
          <w:rFonts w:ascii="黑体" w:hAnsi="黑体" w:eastAsia="黑体"/>
          <w:color w:val="000000"/>
          <w:szCs w:val="24"/>
        </w:rPr>
        <w:br w:type="page"/>
      </w:r>
      <w:r>
        <w:rPr>
          <w:rFonts w:hint="eastAsia" w:ascii="黑体" w:hAnsi="黑体" w:eastAsia="黑体"/>
          <w:color w:val="000000"/>
          <w:szCs w:val="24"/>
        </w:rPr>
        <w:t>续表3.5-3        相关文件符合性分析一览表</w:t>
      </w:r>
    </w:p>
    <w:tbl>
      <w:tblPr>
        <w:tblStyle w:val="48"/>
        <w:tblW w:w="501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360"/>
        <w:gridCol w:w="898"/>
        <w:gridCol w:w="2921"/>
        <w:gridCol w:w="3138"/>
        <w:gridCol w:w="721"/>
      </w:tblGrid>
      <w:tr w14:paraId="414344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52" w:type="pct"/>
            <w:tcMar>
              <w:left w:w="28" w:type="dxa"/>
              <w:right w:w="28" w:type="dxa"/>
            </w:tcMar>
            <w:vAlign w:val="center"/>
          </w:tcPr>
          <w:p w14:paraId="7F238A12">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2113" w:type="pct"/>
            <w:gridSpan w:val="2"/>
            <w:tcMar>
              <w:left w:w="28" w:type="dxa"/>
              <w:right w:w="28" w:type="dxa"/>
            </w:tcMar>
            <w:vAlign w:val="center"/>
          </w:tcPr>
          <w:p w14:paraId="55D11174">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736" w:type="pct"/>
            <w:tcMar>
              <w:left w:w="28" w:type="dxa"/>
              <w:right w:w="28" w:type="dxa"/>
            </w:tcMar>
            <w:vAlign w:val="center"/>
          </w:tcPr>
          <w:p w14:paraId="3CC583E2">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399" w:type="pct"/>
            <w:tcMar>
              <w:left w:w="28" w:type="dxa"/>
              <w:right w:w="28" w:type="dxa"/>
            </w:tcMar>
            <w:vAlign w:val="center"/>
          </w:tcPr>
          <w:p w14:paraId="0845F2B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76AC91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53" w:hRule="atLeast"/>
          <w:jc w:val="center"/>
        </w:trPr>
        <w:tc>
          <w:tcPr>
            <w:tcW w:w="752" w:type="pct"/>
            <w:vMerge w:val="restart"/>
            <w:tcMar>
              <w:left w:w="28" w:type="dxa"/>
              <w:right w:w="28" w:type="dxa"/>
            </w:tcMar>
            <w:vAlign w:val="center"/>
          </w:tcPr>
          <w:p w14:paraId="171C4018">
            <w:pPr>
              <w:spacing w:line="0" w:lineRule="atLeast"/>
              <w:jc w:val="center"/>
              <w:rPr>
                <w:rFonts w:hint="eastAsia" w:hAnsi="宋体"/>
                <w:color w:val="000000"/>
                <w:spacing w:val="-10"/>
                <w:sz w:val="21"/>
                <w:szCs w:val="21"/>
              </w:rPr>
            </w:pPr>
            <w:r>
              <w:rPr>
                <w:rFonts w:hint="eastAsia" w:hAnsi="宋体"/>
                <w:color w:val="000000"/>
                <w:spacing w:val="-10"/>
                <w:sz w:val="21"/>
                <w:szCs w:val="21"/>
              </w:rPr>
              <w:t>《关于规范临时用地管理的通知》（自然资规〔2021〕</w:t>
            </w:r>
          </w:p>
          <w:p w14:paraId="47991FB2">
            <w:pPr>
              <w:spacing w:line="0" w:lineRule="atLeast"/>
              <w:jc w:val="center"/>
              <w:rPr>
                <w:rFonts w:hint="eastAsia" w:hAnsi="宋体"/>
                <w:color w:val="000000"/>
                <w:spacing w:val="-10"/>
                <w:sz w:val="21"/>
                <w:szCs w:val="21"/>
              </w:rPr>
            </w:pPr>
            <w:r>
              <w:rPr>
                <w:rFonts w:hint="eastAsia" w:hAnsi="宋体"/>
                <w:color w:val="000000"/>
                <w:spacing w:val="-10"/>
                <w:sz w:val="21"/>
                <w:szCs w:val="21"/>
              </w:rPr>
              <w:t>2号）</w:t>
            </w:r>
          </w:p>
        </w:tc>
        <w:tc>
          <w:tcPr>
            <w:tcW w:w="2113" w:type="pct"/>
            <w:gridSpan w:val="2"/>
            <w:tcMar>
              <w:left w:w="28" w:type="dxa"/>
              <w:right w:w="28" w:type="dxa"/>
            </w:tcMar>
            <w:vAlign w:val="center"/>
          </w:tcPr>
          <w:p w14:paraId="52A2A69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建设项目施工、地质勘查使用临时用地时应坚持“用多少、批多少、占多少、恢复多少”，尽量不占或者少占耕地</w:t>
            </w:r>
          </w:p>
        </w:tc>
        <w:tc>
          <w:tcPr>
            <w:tcW w:w="1736" w:type="pct"/>
            <w:tcMar>
              <w:left w:w="28" w:type="dxa"/>
              <w:right w:w="28" w:type="dxa"/>
            </w:tcMar>
            <w:vAlign w:val="center"/>
          </w:tcPr>
          <w:p w14:paraId="4B3E8F39">
            <w:pPr>
              <w:adjustRightInd w:val="0"/>
              <w:spacing w:line="0" w:lineRule="atLeast"/>
              <w:rPr>
                <w:rFonts w:hAnsi="宋体"/>
                <w:color w:val="000000"/>
                <w:spacing w:val="-10"/>
                <w:sz w:val="21"/>
                <w:szCs w:val="21"/>
              </w:rPr>
            </w:pPr>
            <w:r>
              <w:rPr>
                <w:rFonts w:hint="eastAsia" w:hAnsi="宋体"/>
                <w:color w:val="000000"/>
                <w:spacing w:val="-10"/>
                <w:sz w:val="21"/>
                <w:szCs w:val="21"/>
              </w:rPr>
              <w:t>拟建工程</w:t>
            </w:r>
            <w:r>
              <w:rPr>
                <w:rFonts w:hint="eastAsia" w:hAnsi="宋体" w:cs="宋体"/>
                <w:color w:val="000000"/>
                <w:spacing w:val="-10"/>
                <w:sz w:val="21"/>
                <w:szCs w:val="21"/>
              </w:rPr>
              <w:t>临时用地严格落实“用多少、批多少、占多少、恢复多少”，不占用耕地</w:t>
            </w:r>
          </w:p>
        </w:tc>
        <w:tc>
          <w:tcPr>
            <w:tcW w:w="399" w:type="pct"/>
            <w:tcMar>
              <w:left w:w="28" w:type="dxa"/>
              <w:right w:w="28" w:type="dxa"/>
            </w:tcMar>
            <w:vAlign w:val="center"/>
          </w:tcPr>
          <w:p w14:paraId="6E30D52D">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4C82E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98" w:hRule="atLeast"/>
          <w:jc w:val="center"/>
        </w:trPr>
        <w:tc>
          <w:tcPr>
            <w:tcW w:w="752" w:type="pct"/>
            <w:vMerge w:val="continue"/>
            <w:tcMar>
              <w:left w:w="28" w:type="dxa"/>
              <w:right w:w="28" w:type="dxa"/>
            </w:tcMar>
            <w:vAlign w:val="center"/>
          </w:tcPr>
          <w:p w14:paraId="73362E1F">
            <w:pPr>
              <w:spacing w:line="0" w:lineRule="atLeast"/>
              <w:jc w:val="center"/>
              <w:rPr>
                <w:rFonts w:hint="eastAsia" w:hAnsi="宋体"/>
                <w:color w:val="000000"/>
                <w:spacing w:val="-10"/>
                <w:sz w:val="21"/>
                <w:szCs w:val="21"/>
              </w:rPr>
            </w:pPr>
          </w:p>
        </w:tc>
        <w:tc>
          <w:tcPr>
            <w:tcW w:w="2113" w:type="pct"/>
            <w:gridSpan w:val="2"/>
            <w:tcMar>
              <w:left w:w="28" w:type="dxa"/>
              <w:right w:w="28" w:type="dxa"/>
            </w:tcMar>
            <w:vAlign w:val="center"/>
          </w:tcPr>
          <w:p w14:paraId="59B05F41">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油气资源探采合一开发涉及的钻井及配套设施建设用地，可先以临时用地方式批准使用，勘探结束转入生产使用的，办理建设用地审批手续</w:t>
            </w:r>
          </w:p>
        </w:tc>
        <w:tc>
          <w:tcPr>
            <w:tcW w:w="1736" w:type="pct"/>
            <w:tcMar>
              <w:left w:w="28" w:type="dxa"/>
              <w:right w:w="28" w:type="dxa"/>
            </w:tcMar>
            <w:vAlign w:val="center"/>
          </w:tcPr>
          <w:p w14:paraId="53926E84">
            <w:pPr>
              <w:adjustRightInd w:val="0"/>
              <w:spacing w:line="0" w:lineRule="atLeast"/>
              <w:rPr>
                <w:rFonts w:hint="eastAsia" w:hAnsi="宋体"/>
                <w:color w:val="000000"/>
                <w:spacing w:val="-10"/>
                <w:sz w:val="21"/>
                <w:szCs w:val="21"/>
              </w:rPr>
            </w:pPr>
            <w:r>
              <w:rPr>
                <w:rFonts w:hint="eastAsia" w:hAnsi="宋体"/>
                <w:color w:val="000000"/>
                <w:spacing w:val="-10"/>
                <w:sz w:val="21"/>
                <w:szCs w:val="21"/>
              </w:rPr>
              <w:t>严格按照有关规定办理建设用地审批手续</w:t>
            </w:r>
          </w:p>
        </w:tc>
        <w:tc>
          <w:tcPr>
            <w:tcW w:w="399" w:type="pct"/>
            <w:tcMar>
              <w:left w:w="28" w:type="dxa"/>
              <w:right w:w="28" w:type="dxa"/>
            </w:tcMar>
            <w:vAlign w:val="center"/>
          </w:tcPr>
          <w:p w14:paraId="685D2012">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69525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02" w:hRule="atLeast"/>
          <w:jc w:val="center"/>
        </w:trPr>
        <w:tc>
          <w:tcPr>
            <w:tcW w:w="752" w:type="pct"/>
            <w:vMerge w:val="restart"/>
            <w:tcMar>
              <w:left w:w="28" w:type="dxa"/>
              <w:right w:w="28" w:type="dxa"/>
            </w:tcMar>
            <w:vAlign w:val="center"/>
          </w:tcPr>
          <w:p w14:paraId="19C39255">
            <w:pPr>
              <w:spacing w:line="0" w:lineRule="atLeast"/>
              <w:jc w:val="center"/>
              <w:rPr>
                <w:rFonts w:hint="eastAsia" w:hAnsi="宋体"/>
                <w:color w:val="000000"/>
                <w:spacing w:val="-10"/>
                <w:sz w:val="21"/>
                <w:szCs w:val="21"/>
              </w:rPr>
            </w:pPr>
            <w:r>
              <w:rPr>
                <w:rFonts w:hint="eastAsia" w:hAnsi="宋体"/>
                <w:color w:val="000000"/>
                <w:spacing w:val="-10"/>
                <w:sz w:val="21"/>
                <w:szCs w:val="21"/>
              </w:rPr>
              <w:t>《新疆维吾尔自治区重点行业生态环境准入条件</w:t>
            </w:r>
          </w:p>
          <w:p w14:paraId="7F43B6A3">
            <w:pPr>
              <w:spacing w:line="0" w:lineRule="atLeast"/>
              <w:jc w:val="center"/>
              <w:rPr>
                <w:rFonts w:hint="eastAsia" w:hAnsi="宋体"/>
                <w:color w:val="000000"/>
                <w:spacing w:val="-10"/>
                <w:sz w:val="21"/>
                <w:szCs w:val="21"/>
              </w:rPr>
            </w:pPr>
            <w:r>
              <w:rPr>
                <w:rFonts w:hint="eastAsia" w:hAnsi="宋体"/>
                <w:color w:val="000000"/>
                <w:spacing w:val="-10"/>
                <w:sz w:val="21"/>
                <w:szCs w:val="21"/>
              </w:rPr>
              <w:t>（2024年）》</w:t>
            </w:r>
          </w:p>
        </w:tc>
        <w:tc>
          <w:tcPr>
            <w:tcW w:w="497" w:type="pct"/>
            <w:vMerge w:val="restart"/>
            <w:tcMar>
              <w:left w:w="28" w:type="dxa"/>
              <w:right w:w="28" w:type="dxa"/>
            </w:tcMar>
            <w:vAlign w:val="center"/>
          </w:tcPr>
          <w:p w14:paraId="15E04369">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选址与空间布局</w:t>
            </w:r>
          </w:p>
        </w:tc>
        <w:tc>
          <w:tcPr>
            <w:tcW w:w="1616" w:type="pct"/>
            <w:tcMar>
              <w:left w:w="28" w:type="dxa"/>
              <w:right w:w="28" w:type="dxa"/>
            </w:tcMar>
            <w:vAlign w:val="center"/>
          </w:tcPr>
          <w:p w14:paraId="6F2D9E47">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1.石油、天然气开发项目的选址与布局应符合自治区或油气企业相关油气开发专项规划及规划环评要求，原则上应当以区块为单位开展环境影响评价工作。</w:t>
            </w:r>
          </w:p>
        </w:tc>
        <w:tc>
          <w:tcPr>
            <w:tcW w:w="1736" w:type="pct"/>
            <w:tcMar>
              <w:left w:w="28" w:type="dxa"/>
              <w:right w:w="28" w:type="dxa"/>
            </w:tcMar>
            <w:vAlign w:val="center"/>
          </w:tcPr>
          <w:p w14:paraId="1CDC94FE">
            <w:pPr>
              <w:adjustRightInd w:val="0"/>
              <w:spacing w:line="0" w:lineRule="atLeast"/>
              <w:rPr>
                <w:rFonts w:hAnsi="宋体"/>
                <w:color w:val="000000"/>
                <w:spacing w:val="-10"/>
                <w:sz w:val="21"/>
                <w:szCs w:val="21"/>
              </w:rPr>
            </w:pPr>
            <w:r>
              <w:rPr>
                <w:rFonts w:hint="eastAsia" w:hAnsi="宋体"/>
                <w:color w:val="000000"/>
                <w:spacing w:val="-10"/>
                <w:sz w:val="21"/>
                <w:szCs w:val="21"/>
              </w:rPr>
              <w:t>项目符合《塔里木油田“十四五”发展规划》及规划环评要求，项目为现有塔中Ⅰ号气田Ⅲ区改扩建项目</w:t>
            </w:r>
          </w:p>
        </w:tc>
        <w:tc>
          <w:tcPr>
            <w:tcW w:w="399" w:type="pct"/>
            <w:tcMar>
              <w:left w:w="28" w:type="dxa"/>
              <w:right w:w="28" w:type="dxa"/>
            </w:tcMar>
            <w:vAlign w:val="center"/>
          </w:tcPr>
          <w:p w14:paraId="63AF45AD">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122A5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551" w:hRule="atLeast"/>
          <w:jc w:val="center"/>
        </w:trPr>
        <w:tc>
          <w:tcPr>
            <w:tcW w:w="752" w:type="pct"/>
            <w:vMerge w:val="continue"/>
            <w:tcMar>
              <w:left w:w="28" w:type="dxa"/>
              <w:right w:w="28" w:type="dxa"/>
            </w:tcMar>
            <w:vAlign w:val="center"/>
          </w:tcPr>
          <w:p w14:paraId="083EDE34">
            <w:pPr>
              <w:spacing w:line="0" w:lineRule="atLeast"/>
              <w:jc w:val="center"/>
              <w:rPr>
                <w:rFonts w:hint="eastAsia" w:hAnsi="宋体"/>
                <w:color w:val="000000"/>
                <w:spacing w:val="-10"/>
                <w:sz w:val="21"/>
                <w:szCs w:val="21"/>
              </w:rPr>
            </w:pPr>
          </w:p>
        </w:tc>
        <w:tc>
          <w:tcPr>
            <w:tcW w:w="497" w:type="pct"/>
            <w:vMerge w:val="continue"/>
            <w:tcMar>
              <w:left w:w="28" w:type="dxa"/>
              <w:right w:w="28" w:type="dxa"/>
            </w:tcMar>
            <w:vAlign w:val="center"/>
          </w:tcPr>
          <w:p w14:paraId="08B1C00B">
            <w:pPr>
              <w:spacing w:line="0" w:lineRule="atLeast"/>
              <w:jc w:val="center"/>
              <w:rPr>
                <w:rFonts w:hint="eastAsia" w:hAnsi="宋体"/>
                <w:color w:val="000000"/>
                <w:spacing w:val="-10"/>
                <w:sz w:val="21"/>
                <w:szCs w:val="21"/>
              </w:rPr>
            </w:pPr>
          </w:p>
        </w:tc>
        <w:tc>
          <w:tcPr>
            <w:tcW w:w="1616" w:type="pct"/>
            <w:tcMar>
              <w:left w:w="28" w:type="dxa"/>
              <w:right w:w="28" w:type="dxa"/>
            </w:tcMar>
            <w:vAlign w:val="center"/>
          </w:tcPr>
          <w:p w14:paraId="69DA6A3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2.在符合产业政策、满足区域生态环境空气质量改善和污染物总量控制要求的前提下，经环境影响比选论证后，适宜在矿区开展的页岩油、页岩气开采、加工一体化项目可在矿区内就地选址。</w:t>
            </w:r>
          </w:p>
        </w:tc>
        <w:tc>
          <w:tcPr>
            <w:tcW w:w="1736" w:type="pct"/>
            <w:tcMar>
              <w:left w:w="28" w:type="dxa"/>
              <w:right w:w="28" w:type="dxa"/>
            </w:tcMar>
            <w:vAlign w:val="center"/>
          </w:tcPr>
          <w:p w14:paraId="4BAF338B">
            <w:pPr>
              <w:adjustRightInd w:val="0"/>
              <w:spacing w:line="0" w:lineRule="atLeast"/>
              <w:rPr>
                <w:rFonts w:hint="eastAsia" w:hAnsi="宋体"/>
                <w:color w:val="000000"/>
                <w:spacing w:val="-10"/>
                <w:sz w:val="21"/>
                <w:szCs w:val="21"/>
              </w:rPr>
            </w:pPr>
            <w:r>
              <w:rPr>
                <w:rFonts w:hint="eastAsia" w:hAnsi="宋体" w:cs="宋体"/>
                <w:color w:val="000000"/>
                <w:spacing w:val="-10"/>
                <w:sz w:val="21"/>
                <w:szCs w:val="21"/>
              </w:rPr>
              <w:t>项目符合产业政策、满足区域生态环境空气质量改善和污染物总量控制要求</w:t>
            </w:r>
          </w:p>
        </w:tc>
        <w:tc>
          <w:tcPr>
            <w:tcW w:w="399" w:type="pct"/>
            <w:tcMar>
              <w:left w:w="28" w:type="dxa"/>
              <w:right w:w="28" w:type="dxa"/>
            </w:tcMar>
            <w:vAlign w:val="center"/>
          </w:tcPr>
          <w:p w14:paraId="6D9E8E9C">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r w14:paraId="0A1243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821" w:hRule="atLeast"/>
          <w:jc w:val="center"/>
        </w:trPr>
        <w:tc>
          <w:tcPr>
            <w:tcW w:w="752" w:type="pct"/>
            <w:vMerge w:val="continue"/>
            <w:tcMar>
              <w:left w:w="28" w:type="dxa"/>
              <w:right w:w="28" w:type="dxa"/>
            </w:tcMar>
            <w:vAlign w:val="center"/>
          </w:tcPr>
          <w:p w14:paraId="1EF32463">
            <w:pPr>
              <w:spacing w:line="0" w:lineRule="atLeast"/>
              <w:jc w:val="center"/>
              <w:rPr>
                <w:rFonts w:hint="eastAsia" w:hAnsi="宋体"/>
                <w:color w:val="000000"/>
                <w:spacing w:val="-10"/>
                <w:sz w:val="21"/>
                <w:szCs w:val="21"/>
              </w:rPr>
            </w:pPr>
          </w:p>
        </w:tc>
        <w:tc>
          <w:tcPr>
            <w:tcW w:w="497" w:type="pct"/>
            <w:vMerge w:val="continue"/>
            <w:tcMar>
              <w:left w:w="28" w:type="dxa"/>
              <w:right w:w="28" w:type="dxa"/>
            </w:tcMar>
            <w:vAlign w:val="center"/>
          </w:tcPr>
          <w:p w14:paraId="3376E673">
            <w:pPr>
              <w:spacing w:line="0" w:lineRule="atLeast"/>
              <w:jc w:val="center"/>
              <w:rPr>
                <w:rFonts w:hint="eastAsia" w:hAnsi="宋体"/>
                <w:color w:val="000000"/>
                <w:spacing w:val="-10"/>
                <w:sz w:val="21"/>
                <w:szCs w:val="21"/>
              </w:rPr>
            </w:pPr>
          </w:p>
        </w:tc>
        <w:tc>
          <w:tcPr>
            <w:tcW w:w="1616" w:type="pct"/>
            <w:tcMar>
              <w:left w:w="28" w:type="dxa"/>
              <w:right w:w="28" w:type="dxa"/>
            </w:tcMar>
            <w:vAlign w:val="center"/>
          </w:tcPr>
          <w:p w14:paraId="4B655951">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3.涉及自然保护地的石油天然气勘探、开发项目按照国家和自治区有关油气安全保障政策要求执行。</w:t>
            </w:r>
          </w:p>
        </w:tc>
        <w:tc>
          <w:tcPr>
            <w:tcW w:w="1736" w:type="pct"/>
            <w:tcMar>
              <w:left w:w="28" w:type="dxa"/>
              <w:right w:w="28" w:type="dxa"/>
            </w:tcMar>
            <w:vAlign w:val="center"/>
          </w:tcPr>
          <w:p w14:paraId="72D02DEC">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拟建工程不涉及</w:t>
            </w:r>
          </w:p>
        </w:tc>
        <w:tc>
          <w:tcPr>
            <w:tcW w:w="399" w:type="pct"/>
            <w:tcMar>
              <w:left w:w="28" w:type="dxa"/>
              <w:right w:w="28" w:type="dxa"/>
            </w:tcMar>
            <w:vAlign w:val="center"/>
          </w:tcPr>
          <w:p w14:paraId="72E4F6E3">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00F38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00" w:hRule="atLeast"/>
          <w:jc w:val="center"/>
        </w:trPr>
        <w:tc>
          <w:tcPr>
            <w:tcW w:w="752" w:type="pct"/>
            <w:vMerge w:val="continue"/>
            <w:tcMar>
              <w:left w:w="28" w:type="dxa"/>
              <w:right w:w="28" w:type="dxa"/>
            </w:tcMar>
            <w:vAlign w:val="center"/>
          </w:tcPr>
          <w:p w14:paraId="68614DED">
            <w:pPr>
              <w:spacing w:line="0" w:lineRule="atLeast"/>
              <w:jc w:val="center"/>
              <w:rPr>
                <w:rFonts w:hint="eastAsia" w:hAnsi="宋体"/>
                <w:color w:val="000000"/>
                <w:spacing w:val="-10"/>
                <w:sz w:val="21"/>
                <w:szCs w:val="21"/>
              </w:rPr>
            </w:pPr>
          </w:p>
        </w:tc>
        <w:tc>
          <w:tcPr>
            <w:tcW w:w="497" w:type="pct"/>
            <w:tcMar>
              <w:left w:w="28" w:type="dxa"/>
              <w:right w:w="28" w:type="dxa"/>
            </w:tcMar>
            <w:vAlign w:val="center"/>
          </w:tcPr>
          <w:p w14:paraId="252974C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污染防治与环境影响</w:t>
            </w:r>
          </w:p>
        </w:tc>
        <w:tc>
          <w:tcPr>
            <w:tcW w:w="1616" w:type="pct"/>
            <w:tcMar>
              <w:left w:w="28" w:type="dxa"/>
              <w:right w:w="28" w:type="dxa"/>
            </w:tcMar>
            <w:vAlign w:val="center"/>
          </w:tcPr>
          <w:p w14:paraId="250598A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1.施工期应当尽量减少施工占地、严格控制施工作业面积、缩短施工时间、选择合理施工方式、落实环境敏感区管控要求以及其他生态环境保护措施，有效降低生态环境影响。</w:t>
            </w:r>
          </w:p>
        </w:tc>
        <w:tc>
          <w:tcPr>
            <w:tcW w:w="1736" w:type="pct"/>
            <w:tcMar>
              <w:left w:w="28" w:type="dxa"/>
              <w:right w:w="28" w:type="dxa"/>
            </w:tcMar>
            <w:vAlign w:val="center"/>
          </w:tcPr>
          <w:p w14:paraId="01481A00">
            <w:pPr>
              <w:adjustRightInd w:val="0"/>
              <w:spacing w:line="0" w:lineRule="atLeast"/>
              <w:rPr>
                <w:rFonts w:hint="eastAsia" w:hAnsi="宋体"/>
                <w:color w:val="000000"/>
                <w:spacing w:val="-10"/>
                <w:sz w:val="21"/>
                <w:szCs w:val="21"/>
              </w:rPr>
            </w:pPr>
            <w:r>
              <w:rPr>
                <w:rFonts w:hint="eastAsia" w:hAnsi="宋体"/>
                <w:color w:val="000000"/>
                <w:spacing w:val="-10"/>
                <w:sz w:val="21"/>
                <w:szCs w:val="21"/>
              </w:rPr>
              <w:t>拟建工程施工期</w:t>
            </w:r>
            <w:r>
              <w:rPr>
                <w:rFonts w:hint="eastAsia" w:hAnsi="宋体" w:cs="宋体"/>
                <w:color w:val="000000"/>
                <w:spacing w:val="-10"/>
                <w:sz w:val="21"/>
                <w:szCs w:val="21"/>
              </w:rPr>
              <w:t>严格控制施工作业面积、缩短施工时间，</w:t>
            </w:r>
            <w:r>
              <w:rPr>
                <w:rFonts w:hint="eastAsia" w:hAnsi="宋体"/>
                <w:color w:val="000000"/>
                <w:spacing w:val="-10"/>
                <w:sz w:val="21"/>
                <w:szCs w:val="21"/>
              </w:rPr>
              <w:t>提出水土保持、防风固沙、生态修复的要求，</w:t>
            </w:r>
            <w:r>
              <w:rPr>
                <w:rFonts w:hint="eastAsia" w:hAnsi="宋体" w:cs="宋体"/>
                <w:color w:val="000000"/>
                <w:spacing w:val="-10"/>
                <w:sz w:val="21"/>
                <w:szCs w:val="21"/>
              </w:rPr>
              <w:t>有效降低生态环境影响</w:t>
            </w:r>
          </w:p>
        </w:tc>
        <w:tc>
          <w:tcPr>
            <w:tcW w:w="399" w:type="pct"/>
            <w:tcMar>
              <w:left w:w="28" w:type="dxa"/>
              <w:right w:w="28" w:type="dxa"/>
            </w:tcMar>
            <w:vAlign w:val="center"/>
          </w:tcPr>
          <w:p w14:paraId="7F72EA82">
            <w:pPr>
              <w:spacing w:line="0" w:lineRule="atLeast"/>
              <w:jc w:val="center"/>
              <w:rPr>
                <w:rFonts w:hint="eastAsia" w:hAnsi="宋体"/>
                <w:color w:val="000000"/>
                <w:spacing w:val="-10"/>
                <w:sz w:val="21"/>
                <w:szCs w:val="21"/>
              </w:rPr>
            </w:pPr>
            <w:r>
              <w:rPr>
                <w:rFonts w:hint="eastAsia" w:hAnsi="宋体"/>
                <w:color w:val="000000"/>
                <w:spacing w:val="-10"/>
                <w:sz w:val="21"/>
                <w:szCs w:val="21"/>
              </w:rPr>
              <w:t>符合</w:t>
            </w:r>
          </w:p>
        </w:tc>
      </w:tr>
    </w:tbl>
    <w:p w14:paraId="53F6CE55">
      <w:pPr>
        <w:pStyle w:val="47"/>
        <w:spacing w:after="0" w:line="480" w:lineRule="exact"/>
        <w:ind w:left="527" w:firstLine="0"/>
        <w:rPr>
          <w:rFonts w:ascii="黑体" w:hAnsi="黑体" w:eastAsia="黑体"/>
          <w:color w:val="000000"/>
          <w:szCs w:val="24"/>
        </w:rPr>
      </w:pPr>
      <w:r>
        <w:rPr>
          <w:rFonts w:hint="eastAsia" w:ascii="黑体" w:hAnsi="黑体" w:eastAsia="黑体"/>
          <w:color w:val="000000"/>
          <w:szCs w:val="24"/>
        </w:rPr>
        <w:t>续表3.5-3      相关文件符合性分析一览表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24"/>
        <w:gridCol w:w="363"/>
        <w:gridCol w:w="4159"/>
        <w:gridCol w:w="2870"/>
        <w:gridCol w:w="821"/>
      </w:tblGrid>
      <w:tr w14:paraId="0A1B4C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56" w:type="pct"/>
            <w:tcMar>
              <w:left w:w="28" w:type="dxa"/>
              <w:right w:w="28" w:type="dxa"/>
            </w:tcMar>
            <w:vAlign w:val="center"/>
          </w:tcPr>
          <w:p w14:paraId="2559DC53">
            <w:pPr>
              <w:spacing w:line="0" w:lineRule="atLeast"/>
              <w:jc w:val="center"/>
              <w:rPr>
                <w:rFonts w:hint="eastAsia" w:hAnsi="宋体"/>
                <w:color w:val="000000"/>
                <w:spacing w:val="-10"/>
                <w:sz w:val="21"/>
                <w:szCs w:val="21"/>
              </w:rPr>
            </w:pPr>
            <w:r>
              <w:rPr>
                <w:rFonts w:hint="eastAsia" w:hAnsi="宋体"/>
                <w:color w:val="000000"/>
                <w:spacing w:val="-10"/>
                <w:sz w:val="21"/>
                <w:szCs w:val="21"/>
              </w:rPr>
              <w:t>文件</w:t>
            </w:r>
          </w:p>
          <w:p w14:paraId="39B2077E">
            <w:pPr>
              <w:spacing w:line="0" w:lineRule="atLeast"/>
              <w:jc w:val="center"/>
              <w:rPr>
                <w:rFonts w:hAnsi="宋体"/>
                <w:color w:val="000000"/>
                <w:spacing w:val="-10"/>
                <w:sz w:val="21"/>
                <w:szCs w:val="21"/>
              </w:rPr>
            </w:pPr>
            <w:r>
              <w:rPr>
                <w:rFonts w:hint="eastAsia" w:hAnsi="宋体"/>
                <w:color w:val="000000"/>
                <w:spacing w:val="-10"/>
                <w:sz w:val="21"/>
                <w:szCs w:val="21"/>
              </w:rPr>
              <w:t>名称</w:t>
            </w:r>
          </w:p>
        </w:tc>
        <w:tc>
          <w:tcPr>
            <w:tcW w:w="2501" w:type="pct"/>
            <w:gridSpan w:val="2"/>
            <w:tcMar>
              <w:left w:w="28" w:type="dxa"/>
              <w:right w:w="28" w:type="dxa"/>
            </w:tcMar>
            <w:vAlign w:val="center"/>
          </w:tcPr>
          <w:p w14:paraId="49E0BD71">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587" w:type="pct"/>
            <w:tcMar>
              <w:left w:w="28" w:type="dxa"/>
              <w:right w:w="28" w:type="dxa"/>
            </w:tcMar>
            <w:vAlign w:val="center"/>
          </w:tcPr>
          <w:p w14:paraId="07358DDE">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拟建工程</w:t>
            </w:r>
          </w:p>
        </w:tc>
        <w:tc>
          <w:tcPr>
            <w:tcW w:w="454" w:type="pct"/>
            <w:tcMar>
              <w:left w:w="28" w:type="dxa"/>
              <w:right w:w="28" w:type="dxa"/>
            </w:tcMar>
            <w:vAlign w:val="center"/>
          </w:tcPr>
          <w:p w14:paraId="637AFD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5F6621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56" w:type="pct"/>
            <w:vMerge w:val="restart"/>
            <w:tcMar>
              <w:left w:w="28" w:type="dxa"/>
              <w:right w:w="28" w:type="dxa"/>
            </w:tcMar>
            <w:vAlign w:val="center"/>
          </w:tcPr>
          <w:p w14:paraId="0B5544A5">
            <w:pPr>
              <w:spacing w:line="0" w:lineRule="atLeast"/>
              <w:jc w:val="center"/>
              <w:rPr>
                <w:rFonts w:hint="eastAsia" w:hAnsi="宋体"/>
                <w:color w:val="000000"/>
                <w:spacing w:val="-10"/>
                <w:sz w:val="21"/>
                <w:szCs w:val="21"/>
              </w:rPr>
            </w:pPr>
            <w:r>
              <w:rPr>
                <w:rFonts w:hint="eastAsia" w:hAnsi="宋体"/>
                <w:color w:val="000000"/>
                <w:spacing w:val="-10"/>
                <w:sz w:val="21"/>
                <w:szCs w:val="21"/>
              </w:rPr>
              <w:t>《新疆维吾尔自治区重点行业生态环境准入条件</w:t>
            </w:r>
          </w:p>
          <w:p w14:paraId="7382AF72">
            <w:pPr>
              <w:spacing w:line="0" w:lineRule="atLeast"/>
              <w:jc w:val="center"/>
              <w:rPr>
                <w:rFonts w:hint="eastAsia" w:hAnsi="宋体"/>
                <w:color w:val="000000"/>
                <w:spacing w:val="-10"/>
                <w:sz w:val="21"/>
                <w:szCs w:val="21"/>
              </w:rPr>
            </w:pPr>
            <w:r>
              <w:rPr>
                <w:rFonts w:hint="eastAsia" w:hAnsi="宋体"/>
                <w:color w:val="000000"/>
                <w:spacing w:val="-10"/>
                <w:sz w:val="21"/>
                <w:szCs w:val="21"/>
              </w:rPr>
              <w:t>（2024年）》</w:t>
            </w:r>
          </w:p>
        </w:tc>
        <w:tc>
          <w:tcPr>
            <w:tcW w:w="201" w:type="pct"/>
            <w:vMerge w:val="restart"/>
            <w:tcMar>
              <w:left w:w="28" w:type="dxa"/>
              <w:right w:w="28" w:type="dxa"/>
            </w:tcMar>
            <w:vAlign w:val="center"/>
          </w:tcPr>
          <w:p w14:paraId="44EDC1F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污染防治与环境影响</w:t>
            </w:r>
          </w:p>
        </w:tc>
        <w:tc>
          <w:tcPr>
            <w:tcW w:w="2299" w:type="pct"/>
            <w:tcMar>
              <w:left w:w="28" w:type="dxa"/>
              <w:right w:w="28" w:type="dxa"/>
            </w:tcMar>
            <w:vAlign w:val="center"/>
          </w:tcPr>
          <w:p w14:paraId="1755D00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2.陆地油气开发项目应当对挥发性有机物液体储存和装载损失、废水集输和处理系统、设备与管线组件泄漏、非正常工况等挥发性有机物无组织排放源进行有效管控，通过采取设备密闭、废气有效收集及配套高效末端处理设施等措施，有效控制挥发性有机物和恶臭气体无组织排放，油气集输损耗率不得高于0.5%；工艺过程控制措施、废气收集处理措施以及站场边界非甲烷总烃排放浓度应满足《陆上石油天然气开采工业大气污染物排放标准》（GB39728）要求。锅炉、加热炉、压缩机等装置应优先使用清洁燃料或能源，燃煤燃气锅炉、加热炉废气排放应达到《锅炉大气污染物排放标准》（GB13271）要求，有地方标准的按地方标准执行。涉及高含硫天然气开采的，应当强化钻井、输送、净化等环节环境风险防范措施。高含硫气田回注采出水，应当采取有效措施减少废水处理站和回注井场硫化氢的无组织排放。高含硫天然气净化厂应采用先进高效的硫磺回收工艺，减少二氧化硫排放。</w:t>
            </w:r>
          </w:p>
        </w:tc>
        <w:tc>
          <w:tcPr>
            <w:tcW w:w="1587" w:type="pct"/>
            <w:tcMar>
              <w:left w:w="28" w:type="dxa"/>
              <w:right w:w="28" w:type="dxa"/>
            </w:tcMar>
            <w:vAlign w:val="center"/>
          </w:tcPr>
          <w:p w14:paraId="620DE852">
            <w:pPr>
              <w:adjustRightInd w:val="0"/>
              <w:spacing w:line="0" w:lineRule="atLeast"/>
              <w:rPr>
                <w:rFonts w:hAnsi="宋体"/>
                <w:color w:val="000000"/>
                <w:spacing w:val="-10"/>
                <w:sz w:val="21"/>
                <w:szCs w:val="21"/>
              </w:rPr>
            </w:pPr>
            <w:r>
              <w:rPr>
                <w:rFonts w:hint="eastAsia" w:hAnsi="宋体"/>
                <w:color w:val="000000"/>
                <w:spacing w:val="-10"/>
                <w:sz w:val="21"/>
                <w:szCs w:val="21"/>
              </w:rPr>
              <w:t>拟建项目营运期间无废气、废水产生及排放</w:t>
            </w:r>
          </w:p>
        </w:tc>
        <w:tc>
          <w:tcPr>
            <w:tcW w:w="454" w:type="pct"/>
            <w:tcMar>
              <w:left w:w="28" w:type="dxa"/>
              <w:right w:w="28" w:type="dxa"/>
            </w:tcMar>
            <w:vAlign w:val="center"/>
          </w:tcPr>
          <w:p w14:paraId="1FAF98EB">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w:t>
            </w:r>
          </w:p>
        </w:tc>
      </w:tr>
      <w:tr w14:paraId="69B70A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56" w:type="pct"/>
            <w:vMerge w:val="continue"/>
            <w:tcMar>
              <w:left w:w="28" w:type="dxa"/>
              <w:right w:w="28" w:type="dxa"/>
            </w:tcMar>
            <w:vAlign w:val="center"/>
          </w:tcPr>
          <w:p w14:paraId="77AEF464">
            <w:pPr>
              <w:spacing w:line="0" w:lineRule="atLeast"/>
              <w:jc w:val="center"/>
              <w:rPr>
                <w:rFonts w:hint="eastAsia" w:hAnsi="宋体"/>
                <w:color w:val="000000"/>
                <w:spacing w:val="-10"/>
                <w:sz w:val="21"/>
                <w:szCs w:val="21"/>
              </w:rPr>
            </w:pPr>
          </w:p>
        </w:tc>
        <w:tc>
          <w:tcPr>
            <w:tcW w:w="201" w:type="pct"/>
            <w:vMerge w:val="continue"/>
            <w:tcMar>
              <w:left w:w="28" w:type="dxa"/>
              <w:right w:w="28" w:type="dxa"/>
            </w:tcMar>
            <w:vAlign w:val="center"/>
          </w:tcPr>
          <w:p w14:paraId="1D2F116D">
            <w:pPr>
              <w:adjustRightInd w:val="0"/>
              <w:spacing w:line="0" w:lineRule="atLeast"/>
              <w:rPr>
                <w:rFonts w:hint="eastAsia" w:hAnsi="宋体" w:cs="宋体"/>
                <w:color w:val="000000"/>
                <w:spacing w:val="-10"/>
                <w:sz w:val="21"/>
                <w:szCs w:val="21"/>
              </w:rPr>
            </w:pPr>
          </w:p>
        </w:tc>
        <w:tc>
          <w:tcPr>
            <w:tcW w:w="2299" w:type="pct"/>
            <w:tcMar>
              <w:left w:w="28" w:type="dxa"/>
              <w:right w:w="28" w:type="dxa"/>
            </w:tcMar>
            <w:vAlign w:val="center"/>
          </w:tcPr>
          <w:p w14:paraId="4E67319A">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3.油气开发产生的伴生气应优先回收利用，减少温室气体排放，开发区块伴生气整体回收利用率应达到80%以上；边远井，零散井等产生的伴生气不能回收或难以回收的，应经燃烧后放空。鼓励油气企业将碳捕集、利用与封存（CCUS）技术用于油气开采，提高采收率、减少温室气体排放。</w:t>
            </w:r>
          </w:p>
        </w:tc>
        <w:tc>
          <w:tcPr>
            <w:tcW w:w="1587" w:type="pct"/>
            <w:tcMar>
              <w:left w:w="28" w:type="dxa"/>
              <w:right w:w="28" w:type="dxa"/>
            </w:tcMar>
            <w:vAlign w:val="center"/>
          </w:tcPr>
          <w:p w14:paraId="4C162742">
            <w:pPr>
              <w:adjustRightInd w:val="0"/>
              <w:spacing w:line="0" w:lineRule="atLeast"/>
              <w:rPr>
                <w:rFonts w:hint="eastAsia" w:hAnsi="宋体"/>
                <w:color w:val="000000"/>
                <w:spacing w:val="-10"/>
                <w:sz w:val="21"/>
                <w:szCs w:val="21"/>
              </w:rPr>
            </w:pPr>
            <w:r>
              <w:rPr>
                <w:rFonts w:hint="eastAsia" w:hAnsi="宋体" w:cs="宋体"/>
                <w:color w:val="000000"/>
                <w:spacing w:val="-10"/>
                <w:sz w:val="21"/>
                <w:szCs w:val="21"/>
              </w:rPr>
              <w:t>拟建项目营运期间不涉及温室气体排放</w:t>
            </w:r>
          </w:p>
        </w:tc>
        <w:tc>
          <w:tcPr>
            <w:tcW w:w="454" w:type="pct"/>
            <w:tcMar>
              <w:left w:w="28" w:type="dxa"/>
              <w:right w:w="28" w:type="dxa"/>
            </w:tcMar>
            <w:vAlign w:val="center"/>
          </w:tcPr>
          <w:p w14:paraId="60C64757">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w:t>
            </w:r>
          </w:p>
        </w:tc>
      </w:tr>
      <w:tr w14:paraId="56314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24" w:hRule="atLeast"/>
          <w:jc w:val="center"/>
        </w:trPr>
        <w:tc>
          <w:tcPr>
            <w:tcW w:w="456" w:type="pct"/>
            <w:vMerge w:val="continue"/>
            <w:tcMar>
              <w:left w:w="28" w:type="dxa"/>
              <w:right w:w="28" w:type="dxa"/>
            </w:tcMar>
            <w:vAlign w:val="center"/>
          </w:tcPr>
          <w:p w14:paraId="53F486D6">
            <w:pPr>
              <w:spacing w:line="0" w:lineRule="atLeast"/>
              <w:jc w:val="center"/>
              <w:rPr>
                <w:rFonts w:hint="eastAsia" w:hAnsi="宋体"/>
                <w:color w:val="000000"/>
                <w:spacing w:val="-10"/>
                <w:sz w:val="21"/>
                <w:szCs w:val="21"/>
              </w:rPr>
            </w:pPr>
          </w:p>
        </w:tc>
        <w:tc>
          <w:tcPr>
            <w:tcW w:w="201" w:type="pct"/>
            <w:vMerge w:val="continue"/>
            <w:tcMar>
              <w:left w:w="28" w:type="dxa"/>
              <w:right w:w="28" w:type="dxa"/>
            </w:tcMar>
            <w:vAlign w:val="center"/>
          </w:tcPr>
          <w:p w14:paraId="7EE0CC96">
            <w:pPr>
              <w:adjustRightInd w:val="0"/>
              <w:spacing w:line="0" w:lineRule="atLeast"/>
              <w:jc w:val="center"/>
              <w:rPr>
                <w:rFonts w:hint="eastAsia" w:hAnsi="宋体" w:cs="宋体"/>
                <w:color w:val="000000"/>
                <w:spacing w:val="-10"/>
                <w:sz w:val="21"/>
                <w:szCs w:val="21"/>
              </w:rPr>
            </w:pPr>
          </w:p>
        </w:tc>
        <w:tc>
          <w:tcPr>
            <w:tcW w:w="2299" w:type="pct"/>
            <w:tcMar>
              <w:left w:w="28" w:type="dxa"/>
              <w:right w:w="28" w:type="dxa"/>
            </w:tcMar>
            <w:vAlign w:val="center"/>
          </w:tcPr>
          <w:p w14:paraId="2E6FB8E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4.陆地油气开发项目产生的废水应经处理后优先回用，无法回用的应满足国家和地方相关污染物排放标准后排放，工业废水回用率应达到90%以上。钻井及储层改造应采用环境友好的油田化学助剂、酸化液、压裂液、钻井液，配备完善的固控设备，钻井液循环率应达到95%以上，压裂废液、酸化废液等井下作业废液应100%返排入罐。</w:t>
            </w:r>
          </w:p>
        </w:tc>
        <w:tc>
          <w:tcPr>
            <w:tcW w:w="1587" w:type="pct"/>
            <w:tcMar>
              <w:left w:w="28" w:type="dxa"/>
              <w:right w:w="28" w:type="dxa"/>
            </w:tcMar>
            <w:vAlign w:val="center"/>
          </w:tcPr>
          <w:p w14:paraId="4A196710">
            <w:pPr>
              <w:adjustRightInd w:val="0"/>
              <w:spacing w:line="0" w:lineRule="atLeast"/>
              <w:rPr>
                <w:rFonts w:hint="eastAsia" w:hAnsi="宋体"/>
                <w:color w:val="000000"/>
                <w:spacing w:val="-10"/>
                <w:sz w:val="21"/>
                <w:szCs w:val="21"/>
              </w:rPr>
            </w:pPr>
            <w:r>
              <w:rPr>
                <w:rFonts w:hint="eastAsia" w:hAnsi="宋体"/>
                <w:color w:val="000000"/>
                <w:spacing w:val="-10"/>
                <w:sz w:val="21"/>
                <w:szCs w:val="21"/>
              </w:rPr>
              <w:t>拟建项目运营期间无废气、废水产生，不涉及钻井及储层改造等</w:t>
            </w:r>
          </w:p>
        </w:tc>
        <w:tc>
          <w:tcPr>
            <w:tcW w:w="454" w:type="pct"/>
            <w:tcMar>
              <w:left w:w="28" w:type="dxa"/>
              <w:right w:w="28" w:type="dxa"/>
            </w:tcMar>
            <w:vAlign w:val="center"/>
          </w:tcPr>
          <w:p w14:paraId="5F8693D8">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w:t>
            </w:r>
          </w:p>
        </w:tc>
      </w:tr>
      <w:tr w14:paraId="0D1F1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97" w:hRule="atLeast"/>
          <w:jc w:val="center"/>
        </w:trPr>
        <w:tc>
          <w:tcPr>
            <w:tcW w:w="456" w:type="pct"/>
            <w:vMerge w:val="continue"/>
            <w:tcMar>
              <w:left w:w="28" w:type="dxa"/>
              <w:right w:w="28" w:type="dxa"/>
            </w:tcMar>
            <w:vAlign w:val="center"/>
          </w:tcPr>
          <w:p w14:paraId="02F50B4E">
            <w:pPr>
              <w:spacing w:line="0" w:lineRule="atLeast"/>
              <w:jc w:val="center"/>
              <w:rPr>
                <w:rFonts w:hint="eastAsia" w:hAnsi="宋体"/>
                <w:color w:val="000000"/>
                <w:spacing w:val="-10"/>
                <w:sz w:val="21"/>
                <w:szCs w:val="21"/>
              </w:rPr>
            </w:pPr>
          </w:p>
        </w:tc>
        <w:tc>
          <w:tcPr>
            <w:tcW w:w="201" w:type="pct"/>
            <w:vMerge w:val="continue"/>
            <w:tcMar>
              <w:left w:w="28" w:type="dxa"/>
              <w:right w:w="28" w:type="dxa"/>
            </w:tcMar>
            <w:vAlign w:val="center"/>
          </w:tcPr>
          <w:p w14:paraId="60A87F2F">
            <w:pPr>
              <w:adjustRightInd w:val="0"/>
              <w:spacing w:line="0" w:lineRule="atLeast"/>
              <w:jc w:val="center"/>
              <w:rPr>
                <w:rFonts w:hint="eastAsia" w:hAnsi="宋体" w:cs="宋体"/>
                <w:color w:val="000000"/>
                <w:spacing w:val="-10"/>
                <w:sz w:val="21"/>
                <w:szCs w:val="21"/>
              </w:rPr>
            </w:pPr>
          </w:p>
        </w:tc>
        <w:tc>
          <w:tcPr>
            <w:tcW w:w="2299" w:type="pct"/>
            <w:tcMar>
              <w:left w:w="28" w:type="dxa"/>
              <w:right w:w="28" w:type="dxa"/>
            </w:tcMar>
            <w:vAlign w:val="center"/>
          </w:tcPr>
          <w:p w14:paraId="420496B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5.涉及废水回注的，应采取切实可行的地下水污染防治和监控措施，不得回注与油气开采无关的废水，严禁造成地下水污染；在相关行业污染控制标准发布前，回注水应满足《碎屑岩油藏注水水质指标技术要求及分析方法》（SY/T5329）《气田水注入技术要求》（SY/T6596）等相关标准要求。对于页岩油、油注汽开采，鼓励废水处理后回用于注汽锅炉。</w:t>
            </w:r>
          </w:p>
        </w:tc>
        <w:tc>
          <w:tcPr>
            <w:tcW w:w="1587" w:type="pct"/>
            <w:tcMar>
              <w:left w:w="28" w:type="dxa"/>
              <w:right w:w="28" w:type="dxa"/>
            </w:tcMar>
            <w:vAlign w:val="center"/>
          </w:tcPr>
          <w:p w14:paraId="2ACA558F">
            <w:pPr>
              <w:adjustRightInd w:val="0"/>
              <w:spacing w:line="0" w:lineRule="atLeast"/>
              <w:rPr>
                <w:rFonts w:hint="eastAsia" w:hAnsi="宋体"/>
                <w:color w:val="000000"/>
                <w:spacing w:val="-10"/>
                <w:sz w:val="21"/>
                <w:szCs w:val="21"/>
              </w:rPr>
            </w:pPr>
            <w:r>
              <w:rPr>
                <w:rFonts w:hint="eastAsia" w:hAnsi="宋体"/>
                <w:color w:val="000000"/>
                <w:spacing w:val="-10"/>
                <w:sz w:val="21"/>
                <w:szCs w:val="21"/>
              </w:rPr>
              <w:t>拟建项目营运期间无废水产生及排放</w:t>
            </w:r>
          </w:p>
        </w:tc>
        <w:tc>
          <w:tcPr>
            <w:tcW w:w="454" w:type="pct"/>
            <w:tcMar>
              <w:left w:w="28" w:type="dxa"/>
              <w:right w:w="28" w:type="dxa"/>
            </w:tcMar>
            <w:vAlign w:val="center"/>
          </w:tcPr>
          <w:p w14:paraId="7277EC84">
            <w:pPr>
              <w:spacing w:line="0" w:lineRule="atLeast"/>
              <w:jc w:val="center"/>
              <w:rPr>
                <w:rFonts w:hAnsi="宋体"/>
                <w:color w:val="000000"/>
                <w:spacing w:val="-10"/>
                <w:sz w:val="21"/>
                <w:szCs w:val="21"/>
              </w:rPr>
            </w:pPr>
            <w:r>
              <w:rPr>
                <w:rFonts w:hint="eastAsia" w:hAnsi="宋体" w:cs="宋体"/>
                <w:color w:val="000000"/>
                <w:spacing w:val="-10"/>
                <w:sz w:val="21"/>
                <w:szCs w:val="21"/>
              </w:rPr>
              <w:t>-</w:t>
            </w:r>
          </w:p>
        </w:tc>
      </w:tr>
    </w:tbl>
    <w:p w14:paraId="3FC9B1D4">
      <w:pPr>
        <w:spacing w:line="480" w:lineRule="exact"/>
        <w:ind w:firstLine="526" w:firstLineChars="200"/>
        <w:rPr>
          <w:rFonts w:ascii="黑体" w:hAnsi="黑体" w:eastAsia="黑体"/>
          <w:color w:val="000000"/>
          <w:szCs w:val="24"/>
        </w:rPr>
      </w:pPr>
      <w:bookmarkStart w:id="124" w:name="OLE_LINK19"/>
      <w:r>
        <w:rPr>
          <w:rFonts w:hint="eastAsia" w:ascii="黑体" w:hAnsi="黑体" w:eastAsia="黑体"/>
          <w:color w:val="000000"/>
          <w:szCs w:val="24"/>
        </w:rPr>
        <w:t>续表3.5-3          相关文件符合性分析一览表</w:t>
      </w:r>
    </w:p>
    <w:tbl>
      <w:tblPr>
        <w:tblStyle w:val="48"/>
        <w:tblW w:w="499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16"/>
        <w:gridCol w:w="450"/>
        <w:gridCol w:w="3807"/>
        <w:gridCol w:w="3057"/>
        <w:gridCol w:w="767"/>
      </w:tblGrid>
      <w:tr w14:paraId="69AF95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9" w:type="pct"/>
            <w:tcMar>
              <w:left w:w="28" w:type="dxa"/>
              <w:right w:w="28" w:type="dxa"/>
            </w:tcMar>
            <w:vAlign w:val="center"/>
          </w:tcPr>
          <w:p w14:paraId="038EEA7D">
            <w:pPr>
              <w:spacing w:line="0" w:lineRule="atLeast"/>
              <w:jc w:val="center"/>
              <w:rPr>
                <w:rFonts w:hAnsi="宋体"/>
                <w:color w:val="000000"/>
                <w:spacing w:val="-10"/>
                <w:sz w:val="21"/>
                <w:szCs w:val="21"/>
              </w:rPr>
            </w:pPr>
            <w:r>
              <w:rPr>
                <w:rFonts w:hint="eastAsia" w:hAnsi="宋体"/>
                <w:color w:val="000000"/>
                <w:spacing w:val="-10"/>
                <w:sz w:val="21"/>
                <w:szCs w:val="21"/>
              </w:rPr>
              <w:t>文件名称</w:t>
            </w:r>
          </w:p>
        </w:tc>
        <w:tc>
          <w:tcPr>
            <w:tcW w:w="2365" w:type="pct"/>
            <w:gridSpan w:val="2"/>
            <w:tcMar>
              <w:left w:w="28" w:type="dxa"/>
              <w:right w:w="28" w:type="dxa"/>
            </w:tcMar>
            <w:vAlign w:val="center"/>
          </w:tcPr>
          <w:p w14:paraId="70AA5278">
            <w:pPr>
              <w:spacing w:line="0" w:lineRule="atLeast"/>
              <w:jc w:val="center"/>
              <w:rPr>
                <w:rFonts w:hAnsi="宋体"/>
                <w:color w:val="000000"/>
                <w:spacing w:val="-10"/>
                <w:sz w:val="21"/>
                <w:szCs w:val="21"/>
              </w:rPr>
            </w:pPr>
            <w:r>
              <w:rPr>
                <w:rFonts w:hint="eastAsia" w:hAnsi="宋体"/>
                <w:color w:val="000000"/>
                <w:spacing w:val="-10"/>
                <w:sz w:val="21"/>
                <w:szCs w:val="21"/>
              </w:rPr>
              <w:t>文件要求</w:t>
            </w:r>
          </w:p>
        </w:tc>
        <w:tc>
          <w:tcPr>
            <w:tcW w:w="1698" w:type="pct"/>
            <w:tcMar>
              <w:left w:w="28" w:type="dxa"/>
              <w:right w:w="28" w:type="dxa"/>
            </w:tcMar>
            <w:vAlign w:val="center"/>
          </w:tcPr>
          <w:p w14:paraId="7EDDAFFF">
            <w:pPr>
              <w:spacing w:line="0" w:lineRule="atLeast"/>
              <w:jc w:val="center"/>
              <w:rPr>
                <w:rFonts w:hint="eastAsia" w:hAnsi="宋体"/>
                <w:color w:val="000000"/>
                <w:spacing w:val="-10"/>
                <w:sz w:val="21"/>
                <w:szCs w:val="21"/>
              </w:rPr>
            </w:pPr>
            <w:r>
              <w:rPr>
                <w:rFonts w:hint="eastAsia" w:hAnsi="宋体"/>
                <w:color w:val="000000"/>
                <w:spacing w:val="-10"/>
                <w:sz w:val="21"/>
                <w:szCs w:val="21"/>
              </w:rPr>
              <w:t>拟建工程</w:t>
            </w:r>
          </w:p>
        </w:tc>
        <w:tc>
          <w:tcPr>
            <w:tcW w:w="426" w:type="pct"/>
            <w:tcMar>
              <w:left w:w="28" w:type="dxa"/>
              <w:right w:w="28" w:type="dxa"/>
            </w:tcMar>
            <w:vAlign w:val="center"/>
          </w:tcPr>
          <w:p w14:paraId="6226B11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bookmarkEnd w:id="124"/>
      <w:tr w14:paraId="3B3DE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9" w:type="pct"/>
            <w:vMerge w:val="restart"/>
            <w:tcMar>
              <w:left w:w="28" w:type="dxa"/>
              <w:right w:w="28" w:type="dxa"/>
            </w:tcMar>
            <w:vAlign w:val="center"/>
          </w:tcPr>
          <w:p w14:paraId="61F1381E">
            <w:pPr>
              <w:spacing w:line="0" w:lineRule="atLeast"/>
              <w:jc w:val="center"/>
              <w:rPr>
                <w:rFonts w:hint="eastAsia" w:hAnsi="宋体"/>
                <w:color w:val="000000"/>
                <w:spacing w:val="-10"/>
                <w:sz w:val="21"/>
                <w:szCs w:val="21"/>
              </w:rPr>
            </w:pPr>
            <w:r>
              <w:rPr>
                <w:rFonts w:hint="eastAsia" w:hAnsi="宋体"/>
                <w:color w:val="000000"/>
                <w:spacing w:val="-10"/>
                <w:sz w:val="21"/>
                <w:szCs w:val="21"/>
              </w:rPr>
              <w:t>《新疆维吾尔自治区重点行业生态环境准入条件（2024年）》</w:t>
            </w:r>
          </w:p>
        </w:tc>
        <w:tc>
          <w:tcPr>
            <w:tcW w:w="250" w:type="pct"/>
            <w:vMerge w:val="restart"/>
            <w:tcMar>
              <w:left w:w="28" w:type="dxa"/>
              <w:right w:w="28" w:type="dxa"/>
            </w:tcMar>
            <w:vAlign w:val="center"/>
          </w:tcPr>
          <w:p w14:paraId="5E52791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污染防治与环境影响</w:t>
            </w:r>
          </w:p>
        </w:tc>
        <w:tc>
          <w:tcPr>
            <w:tcW w:w="2115" w:type="pct"/>
            <w:tcMar>
              <w:left w:w="28" w:type="dxa"/>
              <w:right w:w="28" w:type="dxa"/>
            </w:tcMar>
            <w:vAlign w:val="center"/>
          </w:tcPr>
          <w:p w14:paraId="02B46DA6">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6.废弃钻井泥浆及岩屑应采取“泥浆不落地”工艺，勘探、开发过程产生的落地原油回收率应达到100%。废弃水基钻井泥浆及岩屑经“泥浆不落地”设备处理后，固相优先综合利用，暂时不利用或者不能利用的，应按照《一般工业固体废物贮存和填埋污染控制标准》（GB18599）处置；废弃油基钻井泥浆及岩屑、落地油、清罐底泥、含油污泥、含油清管废渣、油气处理厂过滤吸附介质、废脱汞剂等危险废物，应按照国家有关规定制定危险废物管理计划，建立危险废物管理台账，依法依规自行处置或委托有相应资质的单位无害化处置。固体废物无害化处置率应达到100%。</w:t>
            </w:r>
          </w:p>
        </w:tc>
        <w:tc>
          <w:tcPr>
            <w:tcW w:w="1698" w:type="pct"/>
            <w:tcMar>
              <w:left w:w="28" w:type="dxa"/>
              <w:right w:w="28" w:type="dxa"/>
            </w:tcMar>
            <w:vAlign w:val="center"/>
          </w:tcPr>
          <w:p w14:paraId="703046B2">
            <w:pPr>
              <w:autoSpaceDE w:val="0"/>
              <w:autoSpaceDN w:val="0"/>
              <w:adjustRightInd w:val="0"/>
              <w:spacing w:line="0" w:lineRule="atLeast"/>
              <w:jc w:val="center"/>
              <w:rPr>
                <w:rFonts w:hAnsi="宋体"/>
                <w:color w:val="000000"/>
                <w:spacing w:val="-10"/>
                <w:sz w:val="21"/>
                <w:szCs w:val="21"/>
              </w:rPr>
            </w:pPr>
            <w:r>
              <w:rPr>
                <w:rFonts w:hint="eastAsia" w:hAnsi="宋体" w:cs="宋体"/>
                <w:color w:val="000000"/>
                <w:spacing w:val="-10"/>
                <w:kern w:val="0"/>
                <w:sz w:val="21"/>
                <w:szCs w:val="21"/>
              </w:rPr>
              <w:t>拟建项目施工期不涉及</w:t>
            </w:r>
            <w:r>
              <w:rPr>
                <w:rFonts w:hint="eastAsia" w:hAnsi="宋体" w:cs="宋体"/>
                <w:color w:val="000000"/>
                <w:spacing w:val="-10"/>
                <w:sz w:val="21"/>
                <w:szCs w:val="21"/>
              </w:rPr>
              <w:t>废弃钻井泥浆及岩屑；运营期</w:t>
            </w:r>
            <w:r>
              <w:rPr>
                <w:rFonts w:hint="eastAsia" w:hAnsi="宋体" w:cs="宋体"/>
                <w:color w:val="000000"/>
                <w:spacing w:val="-10"/>
                <w:kern w:val="0"/>
                <w:sz w:val="21"/>
                <w:szCs w:val="21"/>
              </w:rPr>
              <w:t>无固废产生</w:t>
            </w:r>
          </w:p>
        </w:tc>
        <w:tc>
          <w:tcPr>
            <w:tcW w:w="426" w:type="pct"/>
            <w:tcMar>
              <w:left w:w="28" w:type="dxa"/>
              <w:right w:w="28" w:type="dxa"/>
            </w:tcMar>
            <w:vAlign w:val="center"/>
          </w:tcPr>
          <w:p w14:paraId="7C28949F">
            <w:pPr>
              <w:autoSpaceDE w:val="0"/>
              <w:autoSpaceDN w:val="0"/>
              <w:adjustRightInd w:val="0"/>
              <w:spacing w:line="0" w:lineRule="atLeast"/>
              <w:jc w:val="center"/>
              <w:rPr>
                <w:rFonts w:hAnsi="宋体"/>
                <w:color w:val="000000"/>
                <w:spacing w:val="-10"/>
                <w:sz w:val="21"/>
                <w:szCs w:val="21"/>
              </w:rPr>
            </w:pPr>
            <w:r>
              <w:rPr>
                <w:rFonts w:hint="eastAsia" w:hAnsi="宋体" w:cs="宋体"/>
                <w:color w:val="000000"/>
                <w:spacing w:val="-10"/>
                <w:kern w:val="0"/>
                <w:sz w:val="21"/>
                <w:szCs w:val="21"/>
              </w:rPr>
              <w:t>--</w:t>
            </w:r>
          </w:p>
        </w:tc>
      </w:tr>
      <w:tr w14:paraId="748E3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9" w:type="pct"/>
            <w:vMerge w:val="continue"/>
            <w:tcMar>
              <w:left w:w="28" w:type="dxa"/>
              <w:right w:w="28" w:type="dxa"/>
            </w:tcMar>
            <w:vAlign w:val="center"/>
          </w:tcPr>
          <w:p w14:paraId="5C0FA516">
            <w:pPr>
              <w:spacing w:line="0" w:lineRule="atLeast"/>
              <w:jc w:val="center"/>
              <w:rPr>
                <w:rFonts w:hint="eastAsia" w:hAnsi="宋体"/>
                <w:color w:val="000000"/>
                <w:spacing w:val="-10"/>
                <w:sz w:val="21"/>
                <w:szCs w:val="21"/>
              </w:rPr>
            </w:pPr>
          </w:p>
        </w:tc>
        <w:tc>
          <w:tcPr>
            <w:tcW w:w="250" w:type="pct"/>
            <w:vMerge w:val="continue"/>
            <w:tcMar>
              <w:left w:w="28" w:type="dxa"/>
              <w:right w:w="28" w:type="dxa"/>
            </w:tcMar>
            <w:vAlign w:val="center"/>
          </w:tcPr>
          <w:p w14:paraId="4789E4EC">
            <w:pPr>
              <w:adjustRightInd w:val="0"/>
              <w:spacing w:line="0" w:lineRule="atLeast"/>
              <w:rPr>
                <w:rFonts w:hint="eastAsia" w:hAnsi="宋体" w:cs="宋体"/>
                <w:color w:val="000000"/>
                <w:spacing w:val="-10"/>
                <w:sz w:val="21"/>
                <w:szCs w:val="21"/>
              </w:rPr>
            </w:pPr>
          </w:p>
        </w:tc>
        <w:tc>
          <w:tcPr>
            <w:tcW w:w="2115" w:type="pct"/>
            <w:tcMar>
              <w:left w:w="28" w:type="dxa"/>
              <w:right w:w="28" w:type="dxa"/>
            </w:tcMar>
            <w:vAlign w:val="center"/>
          </w:tcPr>
          <w:p w14:paraId="02B9F341">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7.噪声排放应达到《工业企业厂界环境噪声排放标准》（GB12348）要求。</w:t>
            </w:r>
          </w:p>
        </w:tc>
        <w:tc>
          <w:tcPr>
            <w:tcW w:w="1698" w:type="pct"/>
            <w:tcMar>
              <w:left w:w="28" w:type="dxa"/>
              <w:right w:w="28" w:type="dxa"/>
            </w:tcMar>
            <w:vAlign w:val="center"/>
          </w:tcPr>
          <w:p w14:paraId="4B7D8DED">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拟建项目运营期无噪声产生</w:t>
            </w:r>
          </w:p>
        </w:tc>
        <w:tc>
          <w:tcPr>
            <w:tcW w:w="426" w:type="pct"/>
            <w:tcMar>
              <w:left w:w="28" w:type="dxa"/>
              <w:right w:w="28" w:type="dxa"/>
            </w:tcMar>
            <w:vAlign w:val="center"/>
          </w:tcPr>
          <w:p w14:paraId="077A3400">
            <w:pPr>
              <w:spacing w:line="0" w:lineRule="atLeast"/>
              <w:jc w:val="center"/>
              <w:rPr>
                <w:rFonts w:hint="eastAsia" w:hAnsi="宋体"/>
                <w:color w:val="000000"/>
                <w:spacing w:val="-10"/>
                <w:sz w:val="21"/>
                <w:szCs w:val="21"/>
              </w:rPr>
            </w:pPr>
            <w:r>
              <w:rPr>
                <w:rFonts w:hint="eastAsia" w:hAnsi="宋体" w:cs="宋体"/>
                <w:color w:val="000000"/>
                <w:spacing w:val="-10"/>
                <w:kern w:val="0"/>
                <w:sz w:val="21"/>
                <w:szCs w:val="21"/>
              </w:rPr>
              <w:t>--</w:t>
            </w:r>
          </w:p>
        </w:tc>
      </w:tr>
      <w:tr w14:paraId="51C61C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9" w:type="pct"/>
            <w:vMerge w:val="continue"/>
            <w:tcMar>
              <w:left w:w="28" w:type="dxa"/>
              <w:right w:w="28" w:type="dxa"/>
            </w:tcMar>
            <w:vAlign w:val="center"/>
          </w:tcPr>
          <w:p w14:paraId="4632558F">
            <w:pPr>
              <w:spacing w:line="0" w:lineRule="atLeast"/>
              <w:jc w:val="center"/>
              <w:rPr>
                <w:rFonts w:hint="eastAsia" w:hAnsi="宋体"/>
                <w:color w:val="000000"/>
                <w:spacing w:val="-10"/>
                <w:sz w:val="21"/>
                <w:szCs w:val="21"/>
              </w:rPr>
            </w:pPr>
          </w:p>
        </w:tc>
        <w:tc>
          <w:tcPr>
            <w:tcW w:w="250" w:type="pct"/>
            <w:vMerge w:val="continue"/>
            <w:tcMar>
              <w:left w:w="28" w:type="dxa"/>
              <w:right w:w="28" w:type="dxa"/>
            </w:tcMar>
            <w:vAlign w:val="center"/>
          </w:tcPr>
          <w:p w14:paraId="5563653A">
            <w:pPr>
              <w:adjustRightInd w:val="0"/>
              <w:spacing w:line="0" w:lineRule="atLeast"/>
              <w:rPr>
                <w:rFonts w:hint="eastAsia" w:hAnsi="宋体" w:cs="宋体"/>
                <w:color w:val="000000"/>
                <w:spacing w:val="-10"/>
                <w:sz w:val="21"/>
                <w:szCs w:val="21"/>
              </w:rPr>
            </w:pPr>
          </w:p>
        </w:tc>
        <w:tc>
          <w:tcPr>
            <w:tcW w:w="2115" w:type="pct"/>
            <w:tcMar>
              <w:left w:w="28" w:type="dxa"/>
              <w:right w:w="28" w:type="dxa"/>
            </w:tcMar>
            <w:vAlign w:val="center"/>
          </w:tcPr>
          <w:p w14:paraId="5C1A2C90">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8.对拟退役的废弃井（站）场、管道、道路等工程设施应进行生态修复，生态修复前应对废弃油（气）井、管道进行封堵或设施拆除，确保无土壤及地下水环境污染遗留问题、废弃物得到妥善处置。生态修复应满足《矿山生态环境保护与恢复治理技术规范（试行）》（HJ651）、《废弃井封井回填技术指南（试行）》《废弃井及长停井处置指南》（SY/T6646）、《陆上石油天然气开采业绿色矿山建设规范》（DZ/T0317）等相关要求。</w:t>
            </w:r>
          </w:p>
        </w:tc>
        <w:tc>
          <w:tcPr>
            <w:tcW w:w="1698" w:type="pct"/>
            <w:tcMar>
              <w:left w:w="28" w:type="dxa"/>
              <w:right w:w="28" w:type="dxa"/>
            </w:tcMar>
            <w:vAlign w:val="center"/>
          </w:tcPr>
          <w:p w14:paraId="3AADE52B">
            <w:pPr>
              <w:adjustRightInd w:val="0"/>
              <w:spacing w:line="0" w:lineRule="atLeast"/>
              <w:rPr>
                <w:rFonts w:hint="eastAsia" w:hAnsi="宋体"/>
                <w:color w:val="000000"/>
                <w:spacing w:val="-10"/>
                <w:sz w:val="21"/>
                <w:szCs w:val="21"/>
              </w:rPr>
            </w:pPr>
            <w:r>
              <w:rPr>
                <w:rFonts w:hint="eastAsia" w:hAnsi="宋体" w:cs="宋体"/>
                <w:color w:val="000000"/>
                <w:spacing w:val="-10"/>
                <w:sz w:val="21"/>
                <w:szCs w:val="21"/>
              </w:rPr>
              <w:t>退役的废弃管道工程设施应进行生态修复，生态修复前对管道进行封堵，确保无土壤及地下水环境污染遗留问题、废弃物得到妥善处置。生态修复满足《矿山生态环境保护与恢复治理技术规范（试行）》（HJ651-2013）、《废弃井封井回填技术指南（试行）》《废弃井及长停井处置指南》（SY/T6646-2017）、《陆上石油天然气开采业绿色矿山建设规范》（DZ/T0317-2018）等相关要求</w:t>
            </w:r>
          </w:p>
        </w:tc>
        <w:tc>
          <w:tcPr>
            <w:tcW w:w="426" w:type="pct"/>
            <w:tcMar>
              <w:left w:w="28" w:type="dxa"/>
              <w:right w:w="28" w:type="dxa"/>
            </w:tcMar>
            <w:vAlign w:val="center"/>
          </w:tcPr>
          <w:p w14:paraId="7C0275A9">
            <w:pPr>
              <w:spacing w:line="0" w:lineRule="atLeast"/>
              <w:jc w:val="center"/>
              <w:rPr>
                <w:rFonts w:hint="eastAsia" w:hAnsi="宋体"/>
                <w:color w:val="000000"/>
                <w:spacing w:val="-10"/>
                <w:sz w:val="21"/>
                <w:szCs w:val="21"/>
              </w:rPr>
            </w:pPr>
            <w:r>
              <w:rPr>
                <w:rFonts w:hint="eastAsia" w:hAnsi="宋体" w:cs="宋体"/>
                <w:color w:val="000000"/>
                <w:spacing w:val="-10"/>
                <w:kern w:val="0"/>
                <w:sz w:val="21"/>
                <w:szCs w:val="21"/>
              </w:rPr>
              <w:t>符合</w:t>
            </w:r>
          </w:p>
        </w:tc>
      </w:tr>
      <w:tr w14:paraId="7CCB90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59" w:type="pct"/>
            <w:gridSpan w:val="2"/>
            <w:vAlign w:val="center"/>
          </w:tcPr>
          <w:p w14:paraId="4034A8A7">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lang w:val="zh-CN"/>
              </w:rPr>
              <w:t>《新疆维吾尔自治区实施&lt;中华人民共和国防沙治沙法&gt;办法》</w:t>
            </w:r>
          </w:p>
        </w:tc>
        <w:tc>
          <w:tcPr>
            <w:tcW w:w="2115" w:type="pct"/>
            <w:vAlign w:val="center"/>
          </w:tcPr>
          <w:p w14:paraId="22A4BE98">
            <w:pPr>
              <w:adjustRightInd w:val="0"/>
              <w:spacing w:line="0" w:lineRule="atLeast"/>
              <w:rPr>
                <w:rFonts w:hint="eastAsia" w:hAnsi="宋体"/>
                <w:color w:val="000000"/>
                <w:spacing w:val="-10"/>
                <w:sz w:val="21"/>
                <w:szCs w:val="21"/>
              </w:rPr>
            </w:pPr>
            <w:r>
              <w:rPr>
                <w:rFonts w:hint="eastAsia" w:hAnsi="宋体"/>
                <w:color w:val="000000"/>
                <w:spacing w:val="-10"/>
                <w:sz w:val="21"/>
                <w:szCs w:val="21"/>
              </w:rPr>
              <w:t>第三条防沙治沙工作应当坚持预防为主、保护优先、因地制宜、突出重点、分区施策、以水定绿、科学防治、合理利用的原则，统筹推进山水林田湖草沙系统治理，实现生态效益、经济效益和社会效益相统一。</w:t>
            </w:r>
          </w:p>
        </w:tc>
        <w:tc>
          <w:tcPr>
            <w:tcW w:w="1698" w:type="pct"/>
            <w:vAlign w:val="center"/>
          </w:tcPr>
          <w:p w14:paraId="0CC41889">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拟建工程实施过程中已采取相应防沙治沙措施，详见6.1.1.5</w:t>
            </w:r>
          </w:p>
        </w:tc>
        <w:tc>
          <w:tcPr>
            <w:tcW w:w="0" w:type="auto"/>
            <w:vAlign w:val="center"/>
          </w:tcPr>
          <w:p w14:paraId="67C65A2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7A784F31">
      <w:pPr>
        <w:spacing w:before="240" w:line="480" w:lineRule="exact"/>
        <w:ind w:firstLine="526" w:firstLineChars="200"/>
        <w:rPr>
          <w:rFonts w:hint="eastAsia" w:hAnsi="宋体" w:cs="宋体"/>
          <w:color w:val="000000"/>
          <w:szCs w:val="24"/>
        </w:rPr>
      </w:pPr>
      <w:r>
        <w:rPr>
          <w:rFonts w:hint="eastAsia" w:hAnsi="宋体" w:cs="宋体"/>
          <w:color w:val="000000"/>
          <w:szCs w:val="24"/>
        </w:rPr>
        <w:t>综上所述，拟建工程符合《关于进一步加强石油天然气行业环境影响评价管理的通知》（环办环评函〔</w:t>
      </w:r>
      <w:r>
        <w:rPr>
          <w:rFonts w:hAnsi="宋体" w:cs="宋体"/>
          <w:color w:val="000000"/>
          <w:szCs w:val="24"/>
        </w:rPr>
        <w:t>2019</w:t>
      </w:r>
      <w:r>
        <w:rPr>
          <w:rFonts w:hint="eastAsia" w:hAnsi="宋体" w:cs="宋体"/>
          <w:color w:val="000000"/>
          <w:szCs w:val="24"/>
        </w:rPr>
        <w:t>〕</w:t>
      </w:r>
      <w:r>
        <w:rPr>
          <w:rFonts w:hAnsi="宋体" w:cs="宋体"/>
          <w:color w:val="000000"/>
          <w:szCs w:val="24"/>
        </w:rPr>
        <w:t>910</w:t>
      </w:r>
      <w:r>
        <w:rPr>
          <w:rFonts w:hint="eastAsia" w:hAnsi="宋体" w:cs="宋体"/>
          <w:color w:val="000000"/>
          <w:szCs w:val="24"/>
        </w:rPr>
        <w:t>号）、《新疆维吾尔自治区重点行业生态环境准入条件（2024年）》等相关法规、政策文件要求。</w:t>
      </w:r>
    </w:p>
    <w:p w14:paraId="0747583D">
      <w:pPr>
        <w:pStyle w:val="190"/>
        <w:widowControl w:val="0"/>
        <w:tabs>
          <w:tab w:val="right" w:leader="dot" w:pos="8959"/>
        </w:tabs>
        <w:spacing w:line="480" w:lineRule="exact"/>
        <w:outlineLvl w:val="2"/>
        <w:rPr>
          <w:rFonts w:hint="eastAsia" w:ascii="宋体" w:hAnsi="宋体" w:cs="宋体"/>
          <w:color w:val="000000"/>
          <w:spacing w:val="5"/>
          <w:sz w:val="24"/>
          <w:szCs w:val="24"/>
        </w:rPr>
      </w:pPr>
      <w:r>
        <w:rPr>
          <w:rFonts w:hint="eastAsia" w:ascii="宋体" w:hAnsi="宋体" w:cs="宋体"/>
          <w:color w:val="000000"/>
          <w:spacing w:val="5"/>
          <w:sz w:val="24"/>
          <w:szCs w:val="24"/>
        </w:rPr>
        <w:t>3.5.3 生态环境分区管控符合性分析</w:t>
      </w:r>
    </w:p>
    <w:p w14:paraId="7499F7F1">
      <w:pPr>
        <w:spacing w:line="480" w:lineRule="exact"/>
        <w:ind w:firstLine="506" w:firstLineChars="200"/>
        <w:rPr>
          <w:rFonts w:hAnsi="宋体"/>
          <w:color w:val="000000"/>
          <w:szCs w:val="24"/>
        </w:rPr>
      </w:pPr>
      <w:r>
        <w:rPr>
          <w:rFonts w:hint="eastAsia" w:hAnsi="宋体"/>
          <w:color w:val="000000"/>
          <w:spacing w:val="0"/>
          <w:szCs w:val="24"/>
        </w:rPr>
        <w:t>2024年11月，新疆维吾尔自治区生态环境厅发布了《关于印发〈新疆维吾尔自治区生态环境分区管控动态更新成果〉的通知》（新环环评发〔2024〕157号）；2024年10月，阿克苏地区生态环境局发布了《关于印发阿克苏地区生态环境分区管控方案（动态更新）的通知》；</w:t>
      </w:r>
      <w:r>
        <w:rPr>
          <w:rFonts w:hint="eastAsia" w:hAnsi="宋体"/>
          <w:color w:val="000000"/>
        </w:rPr>
        <w:t>2024年11月和田地区行政公署更新了</w:t>
      </w:r>
      <w:r>
        <w:rPr>
          <w:rFonts w:hint="eastAsia"/>
          <w:color w:val="000000"/>
        </w:rPr>
        <w:t>《和田地区生态环境准入清单（2023年）》</w:t>
      </w:r>
      <w:r>
        <w:rPr>
          <w:rFonts w:hint="eastAsia" w:hAnsi="宋体"/>
          <w:color w:val="000000"/>
          <w:spacing w:val="0"/>
          <w:szCs w:val="24"/>
        </w:rPr>
        <w:t>。拟建工程与上述文件中分区管控要求的符合性分析见表3.5-4至表3.5-6，拟建工程与“生态保护红线”位置关系示意见附图5，拟建工程与环境管控单元位置关系见附图3。</w:t>
      </w:r>
    </w:p>
    <w:p w14:paraId="14A2E811">
      <w:pPr>
        <w:adjustRightInd w:val="0"/>
        <w:spacing w:line="480" w:lineRule="exact"/>
        <w:ind w:firstLine="526" w:firstLineChars="200"/>
        <w:jc w:val="right"/>
        <w:rPr>
          <w:rFonts w:hint="eastAsia" w:ascii="黑体" w:hAnsi="黑体" w:eastAsia="黑体"/>
          <w:color w:val="000000"/>
          <w:szCs w:val="24"/>
        </w:rPr>
      </w:pPr>
      <w:bookmarkStart w:id="125" w:name="OLE_LINK22"/>
      <w:r>
        <w:rPr>
          <w:rFonts w:hint="eastAsia" w:ascii="黑体" w:hAnsi="黑体" w:eastAsia="黑体" w:cs="宋体"/>
          <w:color w:val="000000"/>
          <w:szCs w:val="24"/>
        </w:rPr>
        <w:t>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62"/>
        <w:gridCol w:w="460"/>
        <w:gridCol w:w="546"/>
        <w:gridCol w:w="3914"/>
        <w:gridCol w:w="2915"/>
        <w:gridCol w:w="718"/>
      </w:tblGrid>
      <w:tr w14:paraId="47390D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6" w:type="pct"/>
            <w:tcMar>
              <w:left w:w="28" w:type="dxa"/>
              <w:right w:w="28" w:type="dxa"/>
            </w:tcMar>
            <w:vAlign w:val="center"/>
          </w:tcPr>
          <w:p w14:paraId="545B8E97">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729" w:type="pct"/>
            <w:gridSpan w:val="3"/>
            <w:tcMar>
              <w:left w:w="28" w:type="dxa"/>
              <w:right w:w="28" w:type="dxa"/>
            </w:tcMar>
            <w:vAlign w:val="center"/>
          </w:tcPr>
          <w:p w14:paraId="0A1B1292">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617" w:type="pct"/>
            <w:tcMar>
              <w:left w:w="28" w:type="dxa"/>
              <w:right w:w="28" w:type="dxa"/>
            </w:tcMar>
            <w:vAlign w:val="center"/>
          </w:tcPr>
          <w:p w14:paraId="4DF61E6F">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398" w:type="pct"/>
            <w:tcMar>
              <w:left w:w="28" w:type="dxa"/>
              <w:right w:w="28" w:type="dxa"/>
            </w:tcMar>
            <w:vAlign w:val="center"/>
          </w:tcPr>
          <w:p w14:paraId="6DFCC538">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bookmarkEnd w:id="125"/>
      <w:tr w14:paraId="64DB51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6" w:type="pct"/>
            <w:vMerge w:val="restart"/>
            <w:tcMar>
              <w:left w:w="28" w:type="dxa"/>
              <w:right w:w="28" w:type="dxa"/>
            </w:tcMar>
            <w:vAlign w:val="center"/>
          </w:tcPr>
          <w:p w14:paraId="58A84971">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5" w:type="pct"/>
            <w:vMerge w:val="restart"/>
            <w:tcMar>
              <w:left w:w="28" w:type="dxa"/>
              <w:right w:w="28" w:type="dxa"/>
            </w:tcMar>
            <w:vAlign w:val="center"/>
          </w:tcPr>
          <w:p w14:paraId="28EDFA9F">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A1空间布局约束</w:t>
            </w:r>
          </w:p>
        </w:tc>
        <w:tc>
          <w:tcPr>
            <w:tcW w:w="303" w:type="pct"/>
            <w:vMerge w:val="restart"/>
            <w:tcMar>
              <w:left w:w="28" w:type="dxa"/>
              <w:right w:w="28" w:type="dxa"/>
            </w:tcMar>
            <w:vAlign w:val="center"/>
          </w:tcPr>
          <w:p w14:paraId="4FF8ACE3">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A1.1禁止开发建设的活动</w:t>
            </w:r>
          </w:p>
        </w:tc>
        <w:tc>
          <w:tcPr>
            <w:tcW w:w="2171" w:type="pct"/>
            <w:tcMar>
              <w:left w:w="28" w:type="dxa"/>
              <w:right w:w="28" w:type="dxa"/>
            </w:tcMar>
            <w:vAlign w:val="center"/>
          </w:tcPr>
          <w:p w14:paraId="7BBDC028">
            <w:pPr>
              <w:autoSpaceDE w:val="0"/>
              <w:autoSpaceDN w:val="0"/>
              <w:adjustRightInd w:val="0"/>
              <w:spacing w:line="0" w:lineRule="atLeast"/>
              <w:jc w:val="left"/>
              <w:rPr>
                <w:rFonts w:hint="eastAsia" w:hAnsi="宋体" w:cs="宋体"/>
                <w:color w:val="000000"/>
                <w:spacing w:val="-10"/>
                <w:kern w:val="0"/>
                <w:sz w:val="21"/>
                <w:szCs w:val="21"/>
              </w:rPr>
            </w:pPr>
            <w:r>
              <w:rPr>
                <w:rFonts w:hint="eastAsia" w:hAnsi="宋体" w:cs="宋体"/>
                <w:color w:val="000000"/>
                <w:spacing w:val="-10"/>
                <w:kern w:val="0"/>
                <w:sz w:val="21"/>
                <w:szCs w:val="21"/>
              </w:rPr>
              <w:t>【A1.1-1】禁止新建、扩建《产业结构调整指导目录（2024年本）》中淘汰类项目。禁止引入《市场准入负面清单（2022年版）》禁止准入类事项。</w:t>
            </w:r>
          </w:p>
        </w:tc>
        <w:tc>
          <w:tcPr>
            <w:tcW w:w="1617" w:type="pct"/>
            <w:tcMar>
              <w:left w:w="28" w:type="dxa"/>
              <w:right w:w="28" w:type="dxa"/>
            </w:tcMar>
            <w:vAlign w:val="center"/>
          </w:tcPr>
          <w:p w14:paraId="20AA916A">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拟建工程为石油天然气开采项目，属于“石油天然气开采”项目，属于</w:t>
            </w:r>
            <w:r>
              <w:rPr>
                <w:rFonts w:hint="eastAsia" w:hAnsi="宋体" w:cs="宋体"/>
                <w:color w:val="000000"/>
                <w:spacing w:val="-10"/>
                <w:sz w:val="21"/>
                <w:szCs w:val="21"/>
              </w:rPr>
              <w:t>《产业结构调整指导目录（2024年本）》（国家发展改革委令 2023年 第7号）</w:t>
            </w:r>
            <w:r>
              <w:rPr>
                <w:rFonts w:hint="eastAsia" w:hAnsi="宋体" w:cs="宋体"/>
                <w:color w:val="000000"/>
                <w:spacing w:val="-10"/>
                <w:kern w:val="0"/>
                <w:sz w:val="21"/>
                <w:szCs w:val="21"/>
              </w:rPr>
              <w:t>中的鼓励类项目，符合国家当前产业政策要求；不属于《市场准入负面清单（2025年版）》（发改体改规〔2025〕466号）中禁止准入类项目</w:t>
            </w:r>
          </w:p>
        </w:tc>
        <w:tc>
          <w:tcPr>
            <w:tcW w:w="398" w:type="pct"/>
            <w:tcMar>
              <w:left w:w="28" w:type="dxa"/>
              <w:right w:w="28" w:type="dxa"/>
            </w:tcMar>
            <w:vAlign w:val="center"/>
          </w:tcPr>
          <w:p w14:paraId="649E909A">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w:t>
            </w:r>
          </w:p>
        </w:tc>
      </w:tr>
      <w:tr w14:paraId="253151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6" w:type="pct"/>
            <w:vMerge w:val="continue"/>
            <w:tcMar>
              <w:left w:w="28" w:type="dxa"/>
              <w:right w:w="28" w:type="dxa"/>
            </w:tcMar>
            <w:vAlign w:val="center"/>
          </w:tcPr>
          <w:p w14:paraId="72397EED">
            <w:pPr>
              <w:autoSpaceDE w:val="0"/>
              <w:autoSpaceDN w:val="0"/>
              <w:adjustRightInd w:val="0"/>
              <w:spacing w:line="0" w:lineRule="atLeast"/>
              <w:jc w:val="center"/>
              <w:rPr>
                <w:rFonts w:hint="eastAsia" w:hAnsi="宋体" w:cs="宋体"/>
                <w:color w:val="000000"/>
                <w:spacing w:val="-10"/>
                <w:kern w:val="0"/>
                <w:sz w:val="21"/>
                <w:szCs w:val="21"/>
              </w:rPr>
            </w:pPr>
          </w:p>
        </w:tc>
        <w:tc>
          <w:tcPr>
            <w:tcW w:w="255" w:type="pct"/>
            <w:vMerge w:val="continue"/>
            <w:tcMar>
              <w:left w:w="28" w:type="dxa"/>
              <w:right w:w="28" w:type="dxa"/>
            </w:tcMar>
            <w:vAlign w:val="center"/>
          </w:tcPr>
          <w:p w14:paraId="6BCEF6E1">
            <w:pPr>
              <w:autoSpaceDE w:val="0"/>
              <w:autoSpaceDN w:val="0"/>
              <w:adjustRightInd w:val="0"/>
              <w:spacing w:line="0" w:lineRule="atLeast"/>
              <w:jc w:val="center"/>
              <w:rPr>
                <w:rFonts w:hint="eastAsia" w:hAnsi="宋体" w:cs="宋体"/>
                <w:color w:val="000000"/>
                <w:spacing w:val="-10"/>
                <w:kern w:val="0"/>
                <w:sz w:val="21"/>
                <w:szCs w:val="21"/>
              </w:rPr>
            </w:pPr>
          </w:p>
        </w:tc>
        <w:tc>
          <w:tcPr>
            <w:tcW w:w="303" w:type="pct"/>
            <w:vMerge w:val="continue"/>
            <w:tcMar>
              <w:left w:w="28" w:type="dxa"/>
              <w:right w:w="28" w:type="dxa"/>
            </w:tcMar>
            <w:vAlign w:val="center"/>
          </w:tcPr>
          <w:p w14:paraId="2617B054">
            <w:pPr>
              <w:autoSpaceDE w:val="0"/>
              <w:autoSpaceDN w:val="0"/>
              <w:adjustRightInd w:val="0"/>
              <w:spacing w:line="0" w:lineRule="atLeast"/>
              <w:jc w:val="center"/>
              <w:rPr>
                <w:rFonts w:hint="eastAsia" w:hAnsi="宋体" w:cs="宋体"/>
                <w:color w:val="000000"/>
                <w:spacing w:val="-10"/>
                <w:kern w:val="0"/>
                <w:sz w:val="21"/>
                <w:szCs w:val="21"/>
              </w:rPr>
            </w:pPr>
          </w:p>
        </w:tc>
        <w:tc>
          <w:tcPr>
            <w:tcW w:w="2171" w:type="pct"/>
            <w:tcMar>
              <w:left w:w="28" w:type="dxa"/>
              <w:right w:w="28" w:type="dxa"/>
            </w:tcMar>
            <w:vAlign w:val="center"/>
          </w:tcPr>
          <w:p w14:paraId="0B2192FD">
            <w:pPr>
              <w:autoSpaceDE w:val="0"/>
              <w:autoSpaceDN w:val="0"/>
              <w:adjustRightInd w:val="0"/>
              <w:spacing w:line="0" w:lineRule="atLeast"/>
              <w:jc w:val="left"/>
              <w:rPr>
                <w:rFonts w:hint="eastAsia" w:hAnsi="宋体" w:cs="宋体"/>
                <w:color w:val="000000"/>
                <w:spacing w:val="-10"/>
                <w:kern w:val="0"/>
                <w:sz w:val="21"/>
                <w:szCs w:val="21"/>
              </w:rPr>
            </w:pPr>
            <w:r>
              <w:rPr>
                <w:rFonts w:hint="eastAsia" w:hAnsi="宋体" w:cs="宋体"/>
                <w:color w:val="000000"/>
                <w:spacing w:val="-10"/>
                <w:kern w:val="0"/>
                <w:sz w:val="21"/>
                <w:szCs w:val="21"/>
              </w:rPr>
              <w:t>【A1.1-2】禁止建设不符合国家和自治区环境保护标准的项目。</w:t>
            </w:r>
          </w:p>
        </w:tc>
        <w:tc>
          <w:tcPr>
            <w:tcW w:w="1617" w:type="pct"/>
            <w:tcMar>
              <w:left w:w="28" w:type="dxa"/>
              <w:right w:w="28" w:type="dxa"/>
            </w:tcMar>
            <w:vAlign w:val="center"/>
          </w:tcPr>
          <w:p w14:paraId="761C81A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拟建工程执行标准符合国家和自治区环境保护标准</w:t>
            </w:r>
          </w:p>
        </w:tc>
        <w:tc>
          <w:tcPr>
            <w:tcW w:w="398" w:type="pct"/>
            <w:tcMar>
              <w:left w:w="28" w:type="dxa"/>
              <w:right w:w="28" w:type="dxa"/>
            </w:tcMar>
            <w:vAlign w:val="center"/>
          </w:tcPr>
          <w:p w14:paraId="52CF9D6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913D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6" w:type="pct"/>
            <w:vMerge w:val="continue"/>
            <w:tcMar>
              <w:left w:w="28" w:type="dxa"/>
              <w:right w:w="28" w:type="dxa"/>
            </w:tcMar>
            <w:vAlign w:val="center"/>
          </w:tcPr>
          <w:p w14:paraId="2D75002C">
            <w:pPr>
              <w:autoSpaceDE w:val="0"/>
              <w:autoSpaceDN w:val="0"/>
              <w:adjustRightInd w:val="0"/>
              <w:spacing w:line="0" w:lineRule="atLeast"/>
              <w:jc w:val="center"/>
              <w:rPr>
                <w:rFonts w:hint="eastAsia" w:hAnsi="宋体" w:cs="宋体"/>
                <w:color w:val="000000"/>
                <w:spacing w:val="-10"/>
                <w:kern w:val="0"/>
                <w:sz w:val="21"/>
                <w:szCs w:val="21"/>
              </w:rPr>
            </w:pPr>
          </w:p>
        </w:tc>
        <w:tc>
          <w:tcPr>
            <w:tcW w:w="255" w:type="pct"/>
            <w:vMerge w:val="continue"/>
            <w:tcMar>
              <w:left w:w="28" w:type="dxa"/>
              <w:right w:w="28" w:type="dxa"/>
            </w:tcMar>
            <w:vAlign w:val="center"/>
          </w:tcPr>
          <w:p w14:paraId="5EC5EA5F">
            <w:pPr>
              <w:autoSpaceDE w:val="0"/>
              <w:autoSpaceDN w:val="0"/>
              <w:adjustRightInd w:val="0"/>
              <w:spacing w:line="0" w:lineRule="atLeast"/>
              <w:jc w:val="center"/>
              <w:rPr>
                <w:rFonts w:hint="eastAsia" w:hAnsi="宋体" w:cs="宋体"/>
                <w:color w:val="000000"/>
                <w:spacing w:val="-10"/>
                <w:kern w:val="0"/>
                <w:sz w:val="21"/>
                <w:szCs w:val="21"/>
              </w:rPr>
            </w:pPr>
          </w:p>
        </w:tc>
        <w:tc>
          <w:tcPr>
            <w:tcW w:w="303" w:type="pct"/>
            <w:vMerge w:val="continue"/>
            <w:tcMar>
              <w:left w:w="28" w:type="dxa"/>
              <w:right w:w="28" w:type="dxa"/>
            </w:tcMar>
            <w:vAlign w:val="center"/>
          </w:tcPr>
          <w:p w14:paraId="1D222495">
            <w:pPr>
              <w:autoSpaceDE w:val="0"/>
              <w:autoSpaceDN w:val="0"/>
              <w:adjustRightInd w:val="0"/>
              <w:spacing w:line="0" w:lineRule="atLeast"/>
              <w:jc w:val="center"/>
              <w:rPr>
                <w:rFonts w:hint="eastAsia" w:hAnsi="宋体" w:cs="宋体"/>
                <w:color w:val="000000"/>
                <w:spacing w:val="-10"/>
                <w:kern w:val="0"/>
                <w:sz w:val="21"/>
                <w:szCs w:val="21"/>
              </w:rPr>
            </w:pPr>
          </w:p>
        </w:tc>
        <w:tc>
          <w:tcPr>
            <w:tcW w:w="2171" w:type="pct"/>
            <w:tcMar>
              <w:left w:w="28" w:type="dxa"/>
              <w:right w:w="28" w:type="dxa"/>
            </w:tcMar>
            <w:vAlign w:val="center"/>
          </w:tcPr>
          <w:p w14:paraId="1CC610C8">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0"/>
                <w:sz w:val="21"/>
                <w:szCs w:val="21"/>
              </w:rPr>
              <w:t>【A1.1-3】</w:t>
            </w:r>
            <w:r>
              <w:rPr>
                <w:rFonts w:hint="eastAsia" w:hAnsi="宋体" w:cs="宋体"/>
                <w:color w:val="000000"/>
                <w:spacing w:val="-10"/>
                <w:kern w:val="21"/>
                <w:sz w:val="21"/>
                <w:szCs w:val="21"/>
              </w:rPr>
              <w:t>禁止在饮用水水源保护区、风景名胜区、自然保护区的核心区和缓冲区、城镇居民区、文化教育科学研究区等人口集中区域以及法律、法规规定的其他禁止养殖区域建设畜禽养殖场、养殖小区。</w:t>
            </w:r>
          </w:p>
        </w:tc>
        <w:tc>
          <w:tcPr>
            <w:tcW w:w="1617" w:type="pct"/>
            <w:tcMar>
              <w:left w:w="28" w:type="dxa"/>
              <w:right w:w="28" w:type="dxa"/>
            </w:tcMar>
            <w:vAlign w:val="center"/>
          </w:tcPr>
          <w:p w14:paraId="566096A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398" w:type="pct"/>
            <w:tcMar>
              <w:left w:w="28" w:type="dxa"/>
              <w:right w:w="28" w:type="dxa"/>
            </w:tcMar>
            <w:vAlign w:val="center"/>
          </w:tcPr>
          <w:p w14:paraId="5423153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42CE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39" w:hRule="atLeast"/>
          <w:jc w:val="center"/>
        </w:trPr>
        <w:tc>
          <w:tcPr>
            <w:tcW w:w="256" w:type="pct"/>
            <w:vMerge w:val="continue"/>
            <w:tcMar>
              <w:left w:w="28" w:type="dxa"/>
              <w:right w:w="28" w:type="dxa"/>
            </w:tcMar>
            <w:vAlign w:val="center"/>
          </w:tcPr>
          <w:p w14:paraId="1B15F1E7">
            <w:pPr>
              <w:autoSpaceDE w:val="0"/>
              <w:autoSpaceDN w:val="0"/>
              <w:adjustRightInd w:val="0"/>
              <w:spacing w:line="0" w:lineRule="atLeast"/>
              <w:jc w:val="center"/>
              <w:rPr>
                <w:rFonts w:hint="eastAsia" w:hAnsi="宋体" w:cs="宋体"/>
                <w:color w:val="000000"/>
                <w:spacing w:val="-10"/>
                <w:kern w:val="0"/>
                <w:sz w:val="21"/>
                <w:szCs w:val="21"/>
              </w:rPr>
            </w:pPr>
          </w:p>
        </w:tc>
        <w:tc>
          <w:tcPr>
            <w:tcW w:w="255" w:type="pct"/>
            <w:vMerge w:val="continue"/>
            <w:tcMar>
              <w:left w:w="28" w:type="dxa"/>
              <w:right w:w="28" w:type="dxa"/>
            </w:tcMar>
            <w:vAlign w:val="center"/>
          </w:tcPr>
          <w:p w14:paraId="6DB67DA2">
            <w:pPr>
              <w:autoSpaceDE w:val="0"/>
              <w:autoSpaceDN w:val="0"/>
              <w:adjustRightInd w:val="0"/>
              <w:spacing w:line="0" w:lineRule="atLeast"/>
              <w:jc w:val="center"/>
              <w:rPr>
                <w:rFonts w:hint="eastAsia" w:hAnsi="宋体" w:cs="宋体"/>
                <w:color w:val="000000"/>
                <w:spacing w:val="-10"/>
                <w:kern w:val="0"/>
                <w:sz w:val="21"/>
                <w:szCs w:val="21"/>
              </w:rPr>
            </w:pPr>
          </w:p>
        </w:tc>
        <w:tc>
          <w:tcPr>
            <w:tcW w:w="303" w:type="pct"/>
            <w:vMerge w:val="continue"/>
            <w:tcMar>
              <w:left w:w="28" w:type="dxa"/>
              <w:right w:w="28" w:type="dxa"/>
            </w:tcMar>
            <w:vAlign w:val="center"/>
          </w:tcPr>
          <w:p w14:paraId="1EBD5B3A">
            <w:pPr>
              <w:autoSpaceDE w:val="0"/>
              <w:autoSpaceDN w:val="0"/>
              <w:adjustRightInd w:val="0"/>
              <w:spacing w:line="0" w:lineRule="atLeast"/>
              <w:jc w:val="center"/>
              <w:rPr>
                <w:rFonts w:hint="eastAsia" w:hAnsi="宋体" w:cs="宋体"/>
                <w:color w:val="000000"/>
                <w:spacing w:val="-10"/>
                <w:kern w:val="0"/>
                <w:sz w:val="21"/>
                <w:szCs w:val="21"/>
              </w:rPr>
            </w:pPr>
          </w:p>
        </w:tc>
        <w:tc>
          <w:tcPr>
            <w:tcW w:w="2171" w:type="pct"/>
            <w:tcMar>
              <w:left w:w="28" w:type="dxa"/>
              <w:right w:w="28" w:type="dxa"/>
            </w:tcMar>
            <w:vAlign w:val="center"/>
          </w:tcPr>
          <w:p w14:paraId="174F3CAC">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【A1.1-4】</w:t>
            </w:r>
            <w:r>
              <w:rPr>
                <w:rFonts w:hint="eastAsia" w:hAnsi="宋体" w:cs="宋体"/>
                <w:color w:val="000000"/>
                <w:spacing w:val="-10"/>
                <w:kern w:val="21"/>
                <w:sz w:val="21"/>
                <w:szCs w:val="21"/>
              </w:rPr>
              <w:t>禁止在水源涵养区、地下水源、饮用水源、自然保护区、风景名胜区、森林公园、重要湿地及人群密集区等生态敏感区域内进行煤炭、石油、天然气开发。</w:t>
            </w:r>
          </w:p>
        </w:tc>
        <w:tc>
          <w:tcPr>
            <w:tcW w:w="1617" w:type="pct"/>
            <w:tcMar>
              <w:left w:w="28" w:type="dxa"/>
              <w:right w:w="28" w:type="dxa"/>
            </w:tcMar>
            <w:vAlign w:val="center"/>
          </w:tcPr>
          <w:p w14:paraId="353B6AB6">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sz w:val="21"/>
                <w:szCs w:val="21"/>
              </w:rPr>
              <w:t>拟建工程占地范围内不涉及水源涵养区、地下水源、饮用水源、自然保护区、风景名胜区、森林公园、重要湿地及人群密集区等生态敏感区域</w:t>
            </w:r>
          </w:p>
        </w:tc>
        <w:tc>
          <w:tcPr>
            <w:tcW w:w="398" w:type="pct"/>
            <w:tcMar>
              <w:left w:w="28" w:type="dxa"/>
              <w:right w:w="28" w:type="dxa"/>
            </w:tcMar>
            <w:vAlign w:val="center"/>
          </w:tcPr>
          <w:p w14:paraId="216A55C6">
            <w:pPr>
              <w:autoSpaceDE w:val="0"/>
              <w:autoSpaceDN w:val="0"/>
              <w:adjustRightInd w:val="0"/>
              <w:spacing w:line="0" w:lineRule="atLeast"/>
              <w:jc w:val="left"/>
              <w:rPr>
                <w:rFonts w:hint="eastAsia" w:hAnsi="宋体" w:cs="宋体"/>
                <w:color w:val="000000"/>
                <w:spacing w:val="-10"/>
                <w:kern w:val="0"/>
                <w:sz w:val="21"/>
                <w:szCs w:val="21"/>
              </w:rPr>
            </w:pPr>
            <w:r>
              <w:rPr>
                <w:rFonts w:hint="eastAsia" w:hAnsi="宋体" w:cs="宋体"/>
                <w:color w:val="000000"/>
                <w:spacing w:val="-10"/>
                <w:kern w:val="0"/>
                <w:sz w:val="21"/>
                <w:szCs w:val="21"/>
              </w:rPr>
              <w:t>符合</w:t>
            </w:r>
          </w:p>
        </w:tc>
      </w:tr>
      <w:tr w14:paraId="24D1C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39" w:hRule="atLeast"/>
          <w:jc w:val="center"/>
        </w:trPr>
        <w:tc>
          <w:tcPr>
            <w:tcW w:w="256" w:type="pct"/>
            <w:vMerge w:val="continue"/>
            <w:tcMar>
              <w:left w:w="28" w:type="dxa"/>
              <w:right w:w="28" w:type="dxa"/>
            </w:tcMar>
            <w:vAlign w:val="center"/>
          </w:tcPr>
          <w:p w14:paraId="65C63F2E">
            <w:pPr>
              <w:autoSpaceDE w:val="0"/>
              <w:autoSpaceDN w:val="0"/>
              <w:adjustRightInd w:val="0"/>
              <w:spacing w:line="0" w:lineRule="atLeast"/>
              <w:jc w:val="center"/>
              <w:rPr>
                <w:rFonts w:hint="eastAsia" w:hAnsi="宋体" w:cs="宋体"/>
                <w:color w:val="000000"/>
                <w:spacing w:val="-10"/>
                <w:kern w:val="0"/>
                <w:sz w:val="21"/>
                <w:szCs w:val="21"/>
              </w:rPr>
            </w:pPr>
          </w:p>
        </w:tc>
        <w:tc>
          <w:tcPr>
            <w:tcW w:w="255" w:type="pct"/>
            <w:vMerge w:val="continue"/>
            <w:tcMar>
              <w:left w:w="28" w:type="dxa"/>
              <w:right w:w="28" w:type="dxa"/>
            </w:tcMar>
            <w:vAlign w:val="center"/>
          </w:tcPr>
          <w:p w14:paraId="3D36A0B9">
            <w:pPr>
              <w:autoSpaceDE w:val="0"/>
              <w:autoSpaceDN w:val="0"/>
              <w:adjustRightInd w:val="0"/>
              <w:spacing w:line="0" w:lineRule="atLeast"/>
              <w:jc w:val="center"/>
              <w:rPr>
                <w:rFonts w:hint="eastAsia" w:hAnsi="宋体" w:cs="宋体"/>
                <w:color w:val="000000"/>
                <w:spacing w:val="-10"/>
                <w:kern w:val="0"/>
                <w:sz w:val="21"/>
                <w:szCs w:val="21"/>
              </w:rPr>
            </w:pPr>
          </w:p>
        </w:tc>
        <w:tc>
          <w:tcPr>
            <w:tcW w:w="303" w:type="pct"/>
            <w:vMerge w:val="continue"/>
            <w:tcMar>
              <w:left w:w="28" w:type="dxa"/>
              <w:right w:w="28" w:type="dxa"/>
            </w:tcMar>
            <w:vAlign w:val="center"/>
          </w:tcPr>
          <w:p w14:paraId="50AF4320">
            <w:pPr>
              <w:autoSpaceDE w:val="0"/>
              <w:autoSpaceDN w:val="0"/>
              <w:adjustRightInd w:val="0"/>
              <w:spacing w:line="0" w:lineRule="atLeast"/>
              <w:jc w:val="center"/>
              <w:rPr>
                <w:rFonts w:hint="eastAsia" w:hAnsi="宋体" w:cs="宋体"/>
                <w:color w:val="000000"/>
                <w:spacing w:val="-10"/>
                <w:kern w:val="0"/>
                <w:sz w:val="21"/>
                <w:szCs w:val="21"/>
              </w:rPr>
            </w:pPr>
          </w:p>
        </w:tc>
        <w:tc>
          <w:tcPr>
            <w:tcW w:w="2171" w:type="pct"/>
            <w:tcMar>
              <w:left w:w="28" w:type="dxa"/>
              <w:right w:w="28" w:type="dxa"/>
            </w:tcMar>
            <w:vAlign w:val="center"/>
          </w:tcPr>
          <w:p w14:paraId="514931F5">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【A1.1-5】禁止下列破坏湿地及其生态功能的行为：</w:t>
            </w:r>
          </w:p>
          <w:p w14:paraId="5D703A80">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（一）开（围）垦、排干自然湿地，永久性截断自然湿地水源；</w:t>
            </w:r>
          </w:p>
          <w:p w14:paraId="2E999C3E">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（二）擅自填埋自然湿地，擅自采砂、采矿、取土；</w:t>
            </w:r>
          </w:p>
          <w:p w14:paraId="4F0E9177">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（三）排放不符合水污染物排放标准的工业废水、生活污水及其他污染湿地的废水、污水，倾倒、堆放、丢弃、遗撒固体废物；</w:t>
            </w:r>
          </w:p>
          <w:p w14:paraId="786520A8">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（四）过度放牧或者滥采野生植物，过度捕捞或者灭绝式捕捞，过度施肥、投药、投放饵料等污染湿地的种植养殖行为；</w:t>
            </w:r>
          </w:p>
          <w:p w14:paraId="4E5FF377">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（五）其他破坏湿地及其生态功能的行为。</w:t>
            </w:r>
          </w:p>
        </w:tc>
        <w:tc>
          <w:tcPr>
            <w:tcW w:w="1617" w:type="pct"/>
            <w:tcMar>
              <w:left w:w="28" w:type="dxa"/>
              <w:right w:w="28" w:type="dxa"/>
            </w:tcMar>
            <w:vAlign w:val="center"/>
          </w:tcPr>
          <w:p w14:paraId="55EABA6D">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拟建工程不涉及自然湿地</w:t>
            </w:r>
          </w:p>
        </w:tc>
        <w:tc>
          <w:tcPr>
            <w:tcW w:w="398" w:type="pct"/>
            <w:tcMar>
              <w:left w:w="28" w:type="dxa"/>
              <w:right w:w="28" w:type="dxa"/>
            </w:tcMar>
            <w:vAlign w:val="center"/>
          </w:tcPr>
          <w:p w14:paraId="1AA3922D">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bl>
    <w:p w14:paraId="6C4BC8E3">
      <w:pPr>
        <w:adjustRightInd w:val="0"/>
        <w:spacing w:line="480" w:lineRule="exact"/>
        <w:ind w:firstLine="383" w:firstLineChars="146"/>
        <w:rPr>
          <w:rFonts w:hint="eastAsia" w:ascii="黑体" w:hAnsi="黑体" w:eastAsia="黑体"/>
          <w:color w:val="000000"/>
          <w:szCs w:val="24"/>
        </w:rPr>
      </w:pPr>
      <w:r>
        <w:rPr>
          <w:rFonts w:ascii="黑体" w:hAnsi="黑体" w:eastAsia="黑体" w:cs="宋体"/>
          <w:color w:val="000000"/>
          <w:szCs w:val="24"/>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47"/>
        <w:gridCol w:w="458"/>
        <w:gridCol w:w="545"/>
        <w:gridCol w:w="4933"/>
        <w:gridCol w:w="2106"/>
        <w:gridCol w:w="526"/>
      </w:tblGrid>
      <w:tr w14:paraId="4DE53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48" w:type="pct"/>
            <w:tcMar>
              <w:left w:w="28" w:type="dxa"/>
              <w:right w:w="28" w:type="dxa"/>
            </w:tcMar>
            <w:vAlign w:val="center"/>
          </w:tcPr>
          <w:p w14:paraId="1FE3E371">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3292" w:type="pct"/>
            <w:gridSpan w:val="3"/>
            <w:tcMar>
              <w:left w:w="28" w:type="dxa"/>
              <w:right w:w="28" w:type="dxa"/>
            </w:tcMar>
            <w:vAlign w:val="center"/>
          </w:tcPr>
          <w:p w14:paraId="4F268AF7">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168" w:type="pct"/>
            <w:tcMar>
              <w:left w:w="28" w:type="dxa"/>
              <w:right w:w="28" w:type="dxa"/>
            </w:tcMar>
            <w:vAlign w:val="center"/>
          </w:tcPr>
          <w:p w14:paraId="7E222DED">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292" w:type="pct"/>
            <w:tcMar>
              <w:left w:w="28" w:type="dxa"/>
              <w:right w:w="28" w:type="dxa"/>
            </w:tcMar>
            <w:vAlign w:val="center"/>
          </w:tcPr>
          <w:p w14:paraId="0C5DCA0B">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tr w14:paraId="7D4765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64" w:hRule="atLeast"/>
          <w:jc w:val="center"/>
        </w:trPr>
        <w:tc>
          <w:tcPr>
            <w:tcW w:w="248" w:type="pct"/>
            <w:vMerge w:val="restart"/>
            <w:tcMar>
              <w:left w:w="28" w:type="dxa"/>
              <w:right w:w="28" w:type="dxa"/>
            </w:tcMar>
            <w:vAlign w:val="center"/>
          </w:tcPr>
          <w:p w14:paraId="5EA0ACC6">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4" w:type="pct"/>
            <w:vMerge w:val="restart"/>
            <w:tcMar>
              <w:left w:w="28" w:type="dxa"/>
              <w:right w:w="28" w:type="dxa"/>
            </w:tcMar>
            <w:vAlign w:val="center"/>
          </w:tcPr>
          <w:p w14:paraId="607AFD5C">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A1空间布局约束</w:t>
            </w:r>
          </w:p>
        </w:tc>
        <w:tc>
          <w:tcPr>
            <w:tcW w:w="302" w:type="pct"/>
            <w:vMerge w:val="restart"/>
            <w:tcMar>
              <w:left w:w="28" w:type="dxa"/>
              <w:right w:w="28" w:type="dxa"/>
            </w:tcMar>
            <w:vAlign w:val="center"/>
          </w:tcPr>
          <w:p w14:paraId="2FF62E48">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A1.1禁止开发建设的活动</w:t>
            </w:r>
          </w:p>
        </w:tc>
        <w:tc>
          <w:tcPr>
            <w:tcW w:w="2736" w:type="pct"/>
            <w:tcMar>
              <w:left w:w="28" w:type="dxa"/>
              <w:right w:w="28" w:type="dxa"/>
            </w:tcMar>
            <w:vAlign w:val="center"/>
          </w:tcPr>
          <w:p w14:paraId="6E55E64E">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【A1.1-6】禁止在自治区行政区域内引进能（水）耗不符合相关国家标</w:t>
            </w:r>
            <w:r>
              <w:rPr>
                <w:rFonts w:hint="eastAsia" w:hAnsi="宋体" w:cs="宋体"/>
                <w:color w:val="000000"/>
                <w:spacing w:val="-12"/>
                <w:kern w:val="0"/>
                <w:sz w:val="21"/>
                <w:szCs w:val="21"/>
              </w:rPr>
              <w:t>准中准入值要求且污染物排放和环境风险防控不符合国家（地方）标准及有关产业准入条件的高污染（排放）、高能（水）耗、高环境风险的工业项目。</w:t>
            </w:r>
          </w:p>
        </w:tc>
        <w:tc>
          <w:tcPr>
            <w:tcW w:w="1168" w:type="pct"/>
            <w:tcMar>
              <w:left w:w="28" w:type="dxa"/>
              <w:right w:w="28" w:type="dxa"/>
            </w:tcMar>
            <w:vAlign w:val="center"/>
          </w:tcPr>
          <w:p w14:paraId="23E6DFD3">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拟建工程不属于高污染（排放）、高能（水）耗、高环境风险的工业项目</w:t>
            </w:r>
          </w:p>
        </w:tc>
        <w:tc>
          <w:tcPr>
            <w:tcW w:w="292" w:type="pct"/>
            <w:tcMar>
              <w:left w:w="28" w:type="dxa"/>
              <w:right w:w="28" w:type="dxa"/>
            </w:tcMar>
            <w:vAlign w:val="center"/>
          </w:tcPr>
          <w:p w14:paraId="64EFBCF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6F83B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739" w:hRule="atLeast"/>
          <w:jc w:val="center"/>
        </w:trPr>
        <w:tc>
          <w:tcPr>
            <w:tcW w:w="248" w:type="pct"/>
            <w:vMerge w:val="continue"/>
            <w:tcMar>
              <w:left w:w="28" w:type="dxa"/>
              <w:right w:w="28" w:type="dxa"/>
            </w:tcMar>
            <w:vAlign w:val="center"/>
          </w:tcPr>
          <w:p w14:paraId="27EEDF2E">
            <w:pPr>
              <w:autoSpaceDE w:val="0"/>
              <w:autoSpaceDN w:val="0"/>
              <w:adjustRightInd w:val="0"/>
              <w:spacing w:line="0" w:lineRule="atLeast"/>
              <w:jc w:val="center"/>
              <w:rPr>
                <w:rFonts w:hint="eastAsia" w:hAnsi="宋体" w:cs="宋体"/>
                <w:color w:val="000000"/>
                <w:spacing w:val="-10"/>
                <w:kern w:val="0"/>
                <w:sz w:val="21"/>
                <w:szCs w:val="21"/>
              </w:rPr>
            </w:pPr>
          </w:p>
        </w:tc>
        <w:tc>
          <w:tcPr>
            <w:tcW w:w="254" w:type="pct"/>
            <w:vMerge w:val="continue"/>
            <w:tcMar>
              <w:left w:w="28" w:type="dxa"/>
              <w:right w:w="28" w:type="dxa"/>
            </w:tcMar>
            <w:vAlign w:val="center"/>
          </w:tcPr>
          <w:p w14:paraId="158957FC">
            <w:pPr>
              <w:autoSpaceDE w:val="0"/>
              <w:autoSpaceDN w:val="0"/>
              <w:adjustRightInd w:val="0"/>
              <w:spacing w:line="0" w:lineRule="atLeast"/>
              <w:jc w:val="center"/>
              <w:rPr>
                <w:rFonts w:hint="eastAsia" w:hAnsi="宋体" w:cs="宋体"/>
                <w:color w:val="000000"/>
                <w:spacing w:val="-10"/>
                <w:kern w:val="0"/>
                <w:sz w:val="21"/>
                <w:szCs w:val="21"/>
              </w:rPr>
            </w:pPr>
          </w:p>
        </w:tc>
        <w:tc>
          <w:tcPr>
            <w:tcW w:w="302" w:type="pct"/>
            <w:vMerge w:val="continue"/>
            <w:tcMar>
              <w:left w:w="28" w:type="dxa"/>
              <w:right w:w="28" w:type="dxa"/>
            </w:tcMar>
            <w:vAlign w:val="center"/>
          </w:tcPr>
          <w:p w14:paraId="611841AA">
            <w:pPr>
              <w:autoSpaceDE w:val="0"/>
              <w:autoSpaceDN w:val="0"/>
              <w:adjustRightInd w:val="0"/>
              <w:spacing w:line="0" w:lineRule="atLeast"/>
              <w:jc w:val="center"/>
              <w:rPr>
                <w:rFonts w:hint="eastAsia" w:hAnsi="宋体" w:cs="宋体"/>
                <w:color w:val="000000"/>
                <w:spacing w:val="-10"/>
                <w:kern w:val="0"/>
                <w:sz w:val="21"/>
                <w:szCs w:val="21"/>
              </w:rPr>
            </w:pPr>
          </w:p>
        </w:tc>
        <w:tc>
          <w:tcPr>
            <w:tcW w:w="2736" w:type="pct"/>
            <w:tcMar>
              <w:left w:w="28" w:type="dxa"/>
              <w:right w:w="28" w:type="dxa"/>
            </w:tcMar>
            <w:vAlign w:val="center"/>
          </w:tcPr>
          <w:p w14:paraId="56E69256">
            <w:pPr>
              <w:spacing w:line="0" w:lineRule="atLeast"/>
              <w:rPr>
                <w:rFonts w:hint="eastAsia" w:hAnsi="宋体" w:cs="宋体"/>
                <w:color w:val="000000"/>
                <w:spacing w:val="-10"/>
                <w:kern w:val="21"/>
                <w:sz w:val="21"/>
                <w:szCs w:val="21"/>
              </w:rPr>
            </w:pPr>
            <w:r>
              <w:rPr>
                <w:rFonts w:hint="eastAsia" w:hAnsi="宋体" w:cs="宋体"/>
                <w:color w:val="000000"/>
                <w:spacing w:val="-10"/>
                <w:kern w:val="0"/>
                <w:sz w:val="21"/>
                <w:szCs w:val="21"/>
              </w:rPr>
              <w:t>【A1.1-7】①</w:t>
            </w:r>
            <w:r>
              <w:rPr>
                <w:rFonts w:hint="eastAsia" w:hAnsi="宋体" w:cs="宋体"/>
                <w:color w:val="000000"/>
                <w:spacing w:val="-10"/>
                <w:kern w:val="21"/>
                <w:sz w:val="21"/>
                <w:szCs w:val="21"/>
              </w:rPr>
              <w:t>坚决遏制高耗能高排放低水平项目盲目发展。严把高耗能高排放低水平项目准入关口，严格落实污染物排放区域削减要求，对不符合规定的项目坚决停批停建。依法依规淘汰落后产能和化解过剩产能。</w:t>
            </w:r>
          </w:p>
          <w:p w14:paraId="67C3240D">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②重点行业企业纳入重污染天气绩效分级，制定“一厂一策”应急减排清单，实现应纳尽纳；引导重点企业在秋冬季安排停产检修计划，减少冬季和采暖期排放。推进重点行业深度治理实施全工况脱硫脱硝提标改造，加大无组织排放治理力度，深度开展工业炉窑综合整治，全面提升电解铝、活性炭、硅冶炼、纯碱、电石、聚氯乙烯、石化等行业污染治理水平。</w:t>
            </w:r>
          </w:p>
        </w:tc>
        <w:tc>
          <w:tcPr>
            <w:tcW w:w="1168" w:type="pct"/>
            <w:tcMar>
              <w:left w:w="28" w:type="dxa"/>
              <w:right w:w="28" w:type="dxa"/>
            </w:tcMar>
            <w:vAlign w:val="center"/>
          </w:tcPr>
          <w:p w14:paraId="5EBF7D5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高耗能高排放低水平项目；不属于重点行业企业</w:t>
            </w:r>
          </w:p>
        </w:tc>
        <w:tc>
          <w:tcPr>
            <w:tcW w:w="292" w:type="pct"/>
            <w:tcMar>
              <w:left w:w="28" w:type="dxa"/>
              <w:right w:w="28" w:type="dxa"/>
            </w:tcMar>
            <w:vAlign w:val="center"/>
          </w:tcPr>
          <w:p w14:paraId="502E0A5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320F3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19" w:hRule="atLeast"/>
          <w:jc w:val="center"/>
        </w:trPr>
        <w:tc>
          <w:tcPr>
            <w:tcW w:w="248" w:type="pct"/>
            <w:vMerge w:val="continue"/>
            <w:tcMar>
              <w:left w:w="28" w:type="dxa"/>
              <w:right w:w="28" w:type="dxa"/>
            </w:tcMar>
            <w:vAlign w:val="center"/>
          </w:tcPr>
          <w:p w14:paraId="3CD11CFC">
            <w:pPr>
              <w:autoSpaceDE w:val="0"/>
              <w:autoSpaceDN w:val="0"/>
              <w:adjustRightInd w:val="0"/>
              <w:spacing w:line="0" w:lineRule="atLeast"/>
              <w:jc w:val="center"/>
              <w:rPr>
                <w:rFonts w:hint="eastAsia" w:hAnsi="宋体" w:cs="宋体"/>
                <w:color w:val="000000"/>
                <w:spacing w:val="-10"/>
                <w:kern w:val="0"/>
                <w:sz w:val="21"/>
                <w:szCs w:val="21"/>
              </w:rPr>
            </w:pPr>
          </w:p>
        </w:tc>
        <w:tc>
          <w:tcPr>
            <w:tcW w:w="254" w:type="pct"/>
            <w:vMerge w:val="continue"/>
            <w:tcMar>
              <w:left w:w="28" w:type="dxa"/>
              <w:right w:w="28" w:type="dxa"/>
            </w:tcMar>
            <w:vAlign w:val="center"/>
          </w:tcPr>
          <w:p w14:paraId="54967E82">
            <w:pPr>
              <w:autoSpaceDE w:val="0"/>
              <w:autoSpaceDN w:val="0"/>
              <w:adjustRightInd w:val="0"/>
              <w:spacing w:line="0" w:lineRule="atLeast"/>
              <w:jc w:val="center"/>
              <w:rPr>
                <w:rFonts w:hint="eastAsia" w:hAnsi="宋体" w:cs="宋体"/>
                <w:color w:val="000000"/>
                <w:spacing w:val="-10"/>
                <w:kern w:val="0"/>
                <w:sz w:val="21"/>
                <w:szCs w:val="21"/>
              </w:rPr>
            </w:pPr>
          </w:p>
        </w:tc>
        <w:tc>
          <w:tcPr>
            <w:tcW w:w="302" w:type="pct"/>
            <w:vMerge w:val="continue"/>
            <w:tcMar>
              <w:left w:w="28" w:type="dxa"/>
              <w:right w:w="28" w:type="dxa"/>
            </w:tcMar>
            <w:vAlign w:val="center"/>
          </w:tcPr>
          <w:p w14:paraId="0FE9100A">
            <w:pPr>
              <w:autoSpaceDE w:val="0"/>
              <w:autoSpaceDN w:val="0"/>
              <w:adjustRightInd w:val="0"/>
              <w:spacing w:line="0" w:lineRule="atLeast"/>
              <w:jc w:val="center"/>
              <w:rPr>
                <w:rFonts w:hint="eastAsia" w:hAnsi="宋体" w:cs="宋体"/>
                <w:color w:val="000000"/>
                <w:spacing w:val="-10"/>
                <w:kern w:val="0"/>
                <w:sz w:val="21"/>
                <w:szCs w:val="21"/>
              </w:rPr>
            </w:pPr>
          </w:p>
        </w:tc>
        <w:tc>
          <w:tcPr>
            <w:tcW w:w="2736" w:type="pct"/>
            <w:tcMar>
              <w:left w:w="28" w:type="dxa"/>
              <w:right w:w="28" w:type="dxa"/>
            </w:tcMar>
            <w:vAlign w:val="center"/>
          </w:tcPr>
          <w:p w14:paraId="0F42A20D">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【A1.1-8】严格执行危险化学品“禁限控”目录，新建危险化学品生产项目必须进入一般或较低安全风险的化工园区（与其他行业生产装置配套建设的项目除外），引导其他石化化工项目在化工园区发展。</w:t>
            </w:r>
          </w:p>
        </w:tc>
        <w:tc>
          <w:tcPr>
            <w:tcW w:w="1168" w:type="pct"/>
            <w:tcMar>
              <w:left w:w="28" w:type="dxa"/>
              <w:right w:w="28" w:type="dxa"/>
            </w:tcMar>
            <w:vAlign w:val="center"/>
          </w:tcPr>
          <w:p w14:paraId="32908A6E">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拟建工程不属于新建危险化学品生产项目</w:t>
            </w:r>
          </w:p>
        </w:tc>
        <w:tc>
          <w:tcPr>
            <w:tcW w:w="292" w:type="pct"/>
            <w:tcMar>
              <w:left w:w="28" w:type="dxa"/>
              <w:right w:w="28" w:type="dxa"/>
            </w:tcMar>
            <w:vAlign w:val="center"/>
          </w:tcPr>
          <w:p w14:paraId="002C54E1">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1D703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977" w:hRule="atLeast"/>
          <w:jc w:val="center"/>
        </w:trPr>
        <w:tc>
          <w:tcPr>
            <w:tcW w:w="248" w:type="pct"/>
            <w:vMerge w:val="continue"/>
            <w:tcMar>
              <w:left w:w="28" w:type="dxa"/>
              <w:right w:w="28" w:type="dxa"/>
            </w:tcMar>
            <w:vAlign w:val="center"/>
          </w:tcPr>
          <w:p w14:paraId="6BF88426">
            <w:pPr>
              <w:autoSpaceDE w:val="0"/>
              <w:autoSpaceDN w:val="0"/>
              <w:adjustRightInd w:val="0"/>
              <w:spacing w:line="0" w:lineRule="atLeast"/>
              <w:jc w:val="center"/>
              <w:rPr>
                <w:rFonts w:hint="eastAsia" w:hAnsi="宋体" w:cs="宋体"/>
                <w:color w:val="000000"/>
                <w:spacing w:val="-10"/>
                <w:kern w:val="0"/>
                <w:sz w:val="21"/>
                <w:szCs w:val="21"/>
              </w:rPr>
            </w:pPr>
          </w:p>
        </w:tc>
        <w:tc>
          <w:tcPr>
            <w:tcW w:w="254" w:type="pct"/>
            <w:vMerge w:val="continue"/>
            <w:tcMar>
              <w:left w:w="28" w:type="dxa"/>
              <w:right w:w="28" w:type="dxa"/>
            </w:tcMar>
            <w:vAlign w:val="center"/>
          </w:tcPr>
          <w:p w14:paraId="1D7BF62C">
            <w:pPr>
              <w:autoSpaceDE w:val="0"/>
              <w:autoSpaceDN w:val="0"/>
              <w:adjustRightInd w:val="0"/>
              <w:spacing w:line="0" w:lineRule="atLeast"/>
              <w:jc w:val="center"/>
              <w:rPr>
                <w:rFonts w:hint="eastAsia" w:hAnsi="宋体" w:cs="宋体"/>
                <w:color w:val="000000"/>
                <w:spacing w:val="-10"/>
                <w:kern w:val="0"/>
                <w:sz w:val="21"/>
                <w:szCs w:val="21"/>
              </w:rPr>
            </w:pPr>
          </w:p>
        </w:tc>
        <w:tc>
          <w:tcPr>
            <w:tcW w:w="302" w:type="pct"/>
            <w:vMerge w:val="continue"/>
            <w:tcMar>
              <w:left w:w="28" w:type="dxa"/>
              <w:right w:w="28" w:type="dxa"/>
            </w:tcMar>
            <w:vAlign w:val="center"/>
          </w:tcPr>
          <w:p w14:paraId="67180BDF">
            <w:pPr>
              <w:autoSpaceDE w:val="0"/>
              <w:autoSpaceDN w:val="0"/>
              <w:adjustRightInd w:val="0"/>
              <w:spacing w:line="0" w:lineRule="atLeast"/>
              <w:jc w:val="center"/>
              <w:rPr>
                <w:rFonts w:hint="eastAsia" w:hAnsi="宋体" w:cs="宋体"/>
                <w:color w:val="000000"/>
                <w:spacing w:val="-10"/>
                <w:kern w:val="0"/>
                <w:sz w:val="21"/>
                <w:szCs w:val="21"/>
              </w:rPr>
            </w:pPr>
          </w:p>
        </w:tc>
        <w:tc>
          <w:tcPr>
            <w:tcW w:w="2736" w:type="pct"/>
            <w:tcMar>
              <w:left w:w="28" w:type="dxa"/>
              <w:right w:w="28" w:type="dxa"/>
            </w:tcMar>
            <w:vAlign w:val="center"/>
          </w:tcPr>
          <w:p w14:paraId="1B3869E8">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-9】严禁新建自治区《禁止、控制和限制危险化学品目录》中淘汰类、禁止类危险化学品化工项目。严格执行生态保护红线、永久基本农田管控要求，禁止新（改、扩）建化工项目违规占用生态保护红线和永久基本农田。在塔里木河、伊犁河、额尔齐斯河干流及主要支流岸线1公里范围内，除提升安全、环保、节能、智能化、产品质量水平的技术改造项目外，严格禁止新建、扩建化工项目，不得布局新的化工园区（含化工集中区）。</w:t>
            </w:r>
          </w:p>
        </w:tc>
        <w:tc>
          <w:tcPr>
            <w:tcW w:w="1168" w:type="pct"/>
            <w:tcMar>
              <w:left w:w="28" w:type="dxa"/>
              <w:right w:w="28" w:type="dxa"/>
            </w:tcMar>
            <w:vAlign w:val="center"/>
          </w:tcPr>
          <w:p w14:paraId="1BF5E89F">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拟建工程不属于危险化学品化工项目；</w:t>
            </w:r>
            <w:r>
              <w:rPr>
                <w:rFonts w:hint="eastAsia" w:hAnsi="宋体" w:cs="宋体"/>
                <w:color w:val="000000"/>
                <w:spacing w:val="-20"/>
                <w:sz w:val="21"/>
                <w:szCs w:val="21"/>
              </w:rPr>
              <w:t>拟建工程不占用生态保护红线及永久基本农田；拟建工程所在区域不在</w:t>
            </w:r>
            <w:r>
              <w:rPr>
                <w:rFonts w:hint="eastAsia" w:hAnsi="宋体" w:cs="宋体"/>
                <w:color w:val="000000"/>
                <w:spacing w:val="-10"/>
                <w:kern w:val="0"/>
                <w:sz w:val="21"/>
                <w:szCs w:val="21"/>
              </w:rPr>
              <w:t>塔里木河、伊犁河、额尔齐斯河干流及主要支流岸线1公里范围内</w:t>
            </w:r>
          </w:p>
        </w:tc>
        <w:tc>
          <w:tcPr>
            <w:tcW w:w="292" w:type="pct"/>
            <w:tcMar>
              <w:left w:w="28" w:type="dxa"/>
              <w:right w:w="28" w:type="dxa"/>
            </w:tcMar>
            <w:vAlign w:val="center"/>
          </w:tcPr>
          <w:p w14:paraId="528E46B0">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w:t>
            </w:r>
          </w:p>
        </w:tc>
      </w:tr>
      <w:tr w14:paraId="110B4F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47" w:hRule="atLeast"/>
          <w:jc w:val="center"/>
        </w:trPr>
        <w:tc>
          <w:tcPr>
            <w:tcW w:w="248" w:type="pct"/>
            <w:vMerge w:val="continue"/>
            <w:tcMar>
              <w:left w:w="28" w:type="dxa"/>
              <w:right w:w="28" w:type="dxa"/>
            </w:tcMar>
            <w:vAlign w:val="center"/>
          </w:tcPr>
          <w:p w14:paraId="5F9D3F87">
            <w:pPr>
              <w:autoSpaceDE w:val="0"/>
              <w:autoSpaceDN w:val="0"/>
              <w:adjustRightInd w:val="0"/>
              <w:spacing w:line="0" w:lineRule="atLeast"/>
              <w:jc w:val="center"/>
              <w:rPr>
                <w:rFonts w:hint="eastAsia" w:hAnsi="宋体" w:cs="宋体"/>
                <w:color w:val="000000"/>
                <w:spacing w:val="-10"/>
                <w:kern w:val="0"/>
                <w:sz w:val="21"/>
                <w:szCs w:val="21"/>
              </w:rPr>
            </w:pPr>
          </w:p>
        </w:tc>
        <w:tc>
          <w:tcPr>
            <w:tcW w:w="254" w:type="pct"/>
            <w:vMerge w:val="continue"/>
            <w:tcMar>
              <w:left w:w="28" w:type="dxa"/>
              <w:right w:w="28" w:type="dxa"/>
            </w:tcMar>
            <w:vAlign w:val="center"/>
          </w:tcPr>
          <w:p w14:paraId="558C96DF">
            <w:pPr>
              <w:autoSpaceDE w:val="0"/>
              <w:autoSpaceDN w:val="0"/>
              <w:adjustRightInd w:val="0"/>
              <w:spacing w:line="0" w:lineRule="atLeast"/>
              <w:jc w:val="center"/>
              <w:rPr>
                <w:rFonts w:hint="eastAsia" w:hAnsi="宋体" w:cs="宋体"/>
                <w:color w:val="000000"/>
                <w:spacing w:val="-10"/>
                <w:kern w:val="0"/>
                <w:sz w:val="21"/>
                <w:szCs w:val="21"/>
              </w:rPr>
            </w:pPr>
          </w:p>
        </w:tc>
        <w:tc>
          <w:tcPr>
            <w:tcW w:w="302" w:type="pct"/>
            <w:vMerge w:val="continue"/>
            <w:tcMar>
              <w:left w:w="28" w:type="dxa"/>
              <w:right w:w="28" w:type="dxa"/>
            </w:tcMar>
            <w:vAlign w:val="center"/>
          </w:tcPr>
          <w:p w14:paraId="5B9E6F23">
            <w:pPr>
              <w:autoSpaceDE w:val="0"/>
              <w:autoSpaceDN w:val="0"/>
              <w:adjustRightInd w:val="0"/>
              <w:spacing w:line="0" w:lineRule="atLeast"/>
              <w:jc w:val="center"/>
              <w:rPr>
                <w:rFonts w:hint="eastAsia" w:hAnsi="宋体" w:cs="宋体"/>
                <w:color w:val="000000"/>
                <w:spacing w:val="-10"/>
                <w:kern w:val="0"/>
                <w:sz w:val="21"/>
                <w:szCs w:val="21"/>
              </w:rPr>
            </w:pPr>
          </w:p>
        </w:tc>
        <w:tc>
          <w:tcPr>
            <w:tcW w:w="2736" w:type="pct"/>
            <w:tcMar>
              <w:left w:w="28" w:type="dxa"/>
              <w:right w:w="28" w:type="dxa"/>
            </w:tcMar>
            <w:vAlign w:val="center"/>
          </w:tcPr>
          <w:p w14:paraId="795B3C01">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1.1-10】推动涉重金属产业集中优化发展，禁止新建用汞的电石法（聚）氯乙烯生产工艺，新建、扩建的重有色金属冶炼、电镀、制革企业优先选择布设在依法合规设立并依法开展规划环境影响评价的产业园区。</w:t>
            </w:r>
          </w:p>
        </w:tc>
        <w:tc>
          <w:tcPr>
            <w:tcW w:w="1168" w:type="pct"/>
            <w:tcMar>
              <w:left w:w="28" w:type="dxa"/>
              <w:right w:w="28" w:type="dxa"/>
            </w:tcMar>
            <w:vAlign w:val="center"/>
          </w:tcPr>
          <w:p w14:paraId="04CC5A41">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292" w:type="pct"/>
            <w:tcMar>
              <w:left w:w="28" w:type="dxa"/>
              <w:right w:w="28" w:type="dxa"/>
            </w:tcMar>
            <w:vAlign w:val="center"/>
          </w:tcPr>
          <w:p w14:paraId="0479E2ED">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bl>
    <w:p w14:paraId="2FA01611">
      <w:pPr>
        <w:adjustRightInd w:val="0"/>
        <w:spacing w:line="480" w:lineRule="exact"/>
        <w:ind w:firstLine="383" w:firstLineChars="146"/>
        <w:rPr>
          <w:rFonts w:hint="eastAsia" w:ascii="黑体" w:hAnsi="黑体" w:eastAsia="黑体"/>
          <w:color w:val="000000"/>
          <w:szCs w:val="24"/>
        </w:rPr>
      </w:pPr>
      <w:r>
        <w:rPr>
          <w:color w:val="000000"/>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57"/>
        <w:gridCol w:w="462"/>
        <w:gridCol w:w="545"/>
        <w:gridCol w:w="4799"/>
        <w:gridCol w:w="2227"/>
        <w:gridCol w:w="525"/>
      </w:tblGrid>
      <w:tr w14:paraId="49BFFE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tcMar>
              <w:left w:w="28" w:type="dxa"/>
              <w:right w:w="28" w:type="dxa"/>
            </w:tcMar>
            <w:vAlign w:val="center"/>
          </w:tcPr>
          <w:p w14:paraId="4163A43D">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名称</w:t>
            </w:r>
          </w:p>
        </w:tc>
        <w:tc>
          <w:tcPr>
            <w:tcW w:w="3219" w:type="pct"/>
            <w:gridSpan w:val="3"/>
            <w:tcMar>
              <w:left w:w="28" w:type="dxa"/>
              <w:right w:w="28" w:type="dxa"/>
            </w:tcMar>
            <w:vAlign w:val="center"/>
          </w:tcPr>
          <w:p w14:paraId="6CB728C9">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管控要求</w:t>
            </w:r>
          </w:p>
        </w:tc>
        <w:tc>
          <w:tcPr>
            <w:tcW w:w="1235" w:type="pct"/>
            <w:tcMar>
              <w:left w:w="28" w:type="dxa"/>
              <w:right w:w="28" w:type="dxa"/>
            </w:tcMar>
            <w:vAlign w:val="center"/>
          </w:tcPr>
          <w:p w14:paraId="57C290B9">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拟建工程</w:t>
            </w:r>
          </w:p>
        </w:tc>
        <w:tc>
          <w:tcPr>
            <w:tcW w:w="291" w:type="pct"/>
            <w:tcMar>
              <w:left w:w="28" w:type="dxa"/>
              <w:right w:w="28" w:type="dxa"/>
            </w:tcMar>
            <w:vAlign w:val="center"/>
          </w:tcPr>
          <w:p w14:paraId="420471D3">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符合性</w:t>
            </w:r>
          </w:p>
        </w:tc>
      </w:tr>
      <w:tr w14:paraId="10675C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restart"/>
            <w:tcMar>
              <w:left w:w="28" w:type="dxa"/>
              <w:right w:w="28" w:type="dxa"/>
            </w:tcMar>
            <w:vAlign w:val="center"/>
          </w:tcPr>
          <w:p w14:paraId="2A502A3F">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新疆维吾尔自治区总体管控要求</w:t>
            </w:r>
          </w:p>
        </w:tc>
        <w:tc>
          <w:tcPr>
            <w:tcW w:w="256" w:type="pct"/>
            <w:vMerge w:val="restart"/>
            <w:tcMar>
              <w:left w:w="28" w:type="dxa"/>
              <w:right w:w="28" w:type="dxa"/>
            </w:tcMar>
            <w:vAlign w:val="center"/>
          </w:tcPr>
          <w:p w14:paraId="5284B737">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A1空间布局约束</w:t>
            </w:r>
          </w:p>
        </w:tc>
        <w:tc>
          <w:tcPr>
            <w:tcW w:w="302" w:type="pct"/>
            <w:tcMar>
              <w:left w:w="28" w:type="dxa"/>
              <w:right w:w="28" w:type="dxa"/>
            </w:tcMar>
            <w:vAlign w:val="center"/>
          </w:tcPr>
          <w:p w14:paraId="418A07C3">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A1.1禁止开发建设的活动</w:t>
            </w:r>
          </w:p>
        </w:tc>
        <w:tc>
          <w:tcPr>
            <w:tcW w:w="2660" w:type="pct"/>
            <w:tcMar>
              <w:left w:w="28" w:type="dxa"/>
              <w:right w:w="28" w:type="dxa"/>
            </w:tcMar>
            <w:vAlign w:val="center"/>
          </w:tcPr>
          <w:p w14:paraId="206E52E6">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1.1-11】国务院有关部门和青藏高原县级以上地方人民政府应当建立健全青藏高原雪山冰川冻土保护制度，加强对雪山冰川冻土的监测预警和系统保护。青藏高原省级人民政府应当将大型冰帽冰川小规模冰川群等划入生态保护红线，对重要雪山冰川实施封禁保护采取有效措施，严格控制人为扰动。青藏高原省级人民政府应当划定冻土区保护范围，加强对多年冻土区和中深季节冻土区的保护，严格控制多年冻土区资源开发，严格审批多年冻土区城镇规划和交通、管线、输变电等重大工程项目。青藏高原省级人民政府应当开展雪山冰川冻土与周边生态系统的协同保护，维持有利于雪山冰川冻土保护的自然生态环境。</w:t>
            </w:r>
          </w:p>
        </w:tc>
        <w:tc>
          <w:tcPr>
            <w:tcW w:w="1235" w:type="pct"/>
            <w:tcMar>
              <w:left w:w="28" w:type="dxa"/>
              <w:right w:w="28" w:type="dxa"/>
            </w:tcMar>
            <w:vAlign w:val="center"/>
          </w:tcPr>
          <w:p w14:paraId="314D22A2">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拟建工程不涉及</w:t>
            </w:r>
            <w:r>
              <w:rPr>
                <w:rFonts w:hint="eastAsia" w:hAnsi="宋体" w:cs="宋体"/>
                <w:color w:val="000000"/>
                <w:spacing w:val="-15"/>
                <w:sz w:val="21"/>
                <w:szCs w:val="21"/>
              </w:rPr>
              <w:t>相关内容</w:t>
            </w:r>
          </w:p>
        </w:tc>
        <w:tc>
          <w:tcPr>
            <w:tcW w:w="291" w:type="pct"/>
            <w:tcMar>
              <w:left w:w="28" w:type="dxa"/>
              <w:right w:w="28" w:type="dxa"/>
            </w:tcMar>
            <w:vAlign w:val="center"/>
          </w:tcPr>
          <w:p w14:paraId="1ED4509E">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w:t>
            </w:r>
          </w:p>
        </w:tc>
      </w:tr>
      <w:tr w14:paraId="16D32B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1DCE7866">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7278FBEF">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restart"/>
            <w:tcMar>
              <w:left w:w="28" w:type="dxa"/>
              <w:right w:w="28" w:type="dxa"/>
            </w:tcMar>
            <w:vAlign w:val="center"/>
          </w:tcPr>
          <w:p w14:paraId="1A9AA4B3">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A1.2限制开发建设的活动</w:t>
            </w:r>
          </w:p>
        </w:tc>
        <w:tc>
          <w:tcPr>
            <w:tcW w:w="2660" w:type="pct"/>
            <w:tcMar>
              <w:left w:w="28" w:type="dxa"/>
              <w:right w:w="28" w:type="dxa"/>
            </w:tcMar>
            <w:vAlign w:val="center"/>
          </w:tcPr>
          <w:p w14:paraId="1FEE4F88">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【A1.2-1】严格控制缺水地区、水污染严重区域和敏感区域高耗水高污染行业发展。</w:t>
            </w:r>
          </w:p>
        </w:tc>
        <w:tc>
          <w:tcPr>
            <w:tcW w:w="1235" w:type="pct"/>
            <w:tcMar>
              <w:left w:w="28" w:type="dxa"/>
              <w:right w:w="28" w:type="dxa"/>
            </w:tcMar>
            <w:vAlign w:val="center"/>
          </w:tcPr>
          <w:p w14:paraId="0C0F04F8">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拟建工程不属于高耗水高污染行业</w:t>
            </w:r>
          </w:p>
        </w:tc>
        <w:tc>
          <w:tcPr>
            <w:tcW w:w="291" w:type="pct"/>
            <w:tcMar>
              <w:left w:w="28" w:type="dxa"/>
              <w:right w:w="28" w:type="dxa"/>
            </w:tcMar>
            <w:vAlign w:val="center"/>
          </w:tcPr>
          <w:p w14:paraId="3533F2BC">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符合</w:t>
            </w:r>
          </w:p>
        </w:tc>
      </w:tr>
      <w:tr w14:paraId="202F83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3DEC931B">
            <w:pPr>
              <w:autoSpaceDE w:val="0"/>
              <w:autoSpaceDN w:val="0"/>
              <w:adjustRightInd w:val="0"/>
              <w:spacing w:line="0" w:lineRule="atLeast"/>
              <w:rPr>
                <w:rFonts w:hint="eastAsia" w:hAnsi="宋体" w:cs="宋体"/>
                <w:color w:val="000000"/>
                <w:spacing w:val="-15"/>
                <w:sz w:val="21"/>
                <w:szCs w:val="21"/>
              </w:rPr>
            </w:pPr>
          </w:p>
        </w:tc>
        <w:tc>
          <w:tcPr>
            <w:tcW w:w="256" w:type="pct"/>
            <w:vMerge w:val="continue"/>
            <w:tcMar>
              <w:left w:w="28" w:type="dxa"/>
              <w:right w:w="28" w:type="dxa"/>
            </w:tcMar>
            <w:vAlign w:val="center"/>
          </w:tcPr>
          <w:p w14:paraId="36AE5412">
            <w:pPr>
              <w:autoSpaceDE w:val="0"/>
              <w:autoSpaceDN w:val="0"/>
              <w:adjustRightInd w:val="0"/>
              <w:spacing w:line="0" w:lineRule="atLeast"/>
              <w:rPr>
                <w:rFonts w:hint="eastAsia" w:hAnsi="宋体" w:cs="宋体"/>
                <w:color w:val="000000"/>
                <w:spacing w:val="-15"/>
                <w:sz w:val="21"/>
                <w:szCs w:val="21"/>
              </w:rPr>
            </w:pPr>
          </w:p>
        </w:tc>
        <w:tc>
          <w:tcPr>
            <w:tcW w:w="302" w:type="pct"/>
            <w:vMerge w:val="continue"/>
            <w:tcMar>
              <w:left w:w="28" w:type="dxa"/>
              <w:right w:w="28" w:type="dxa"/>
            </w:tcMar>
            <w:vAlign w:val="center"/>
          </w:tcPr>
          <w:p w14:paraId="470698E8">
            <w:pPr>
              <w:autoSpaceDE w:val="0"/>
              <w:autoSpaceDN w:val="0"/>
              <w:adjustRightInd w:val="0"/>
              <w:spacing w:line="0" w:lineRule="atLeast"/>
              <w:rPr>
                <w:rFonts w:hint="eastAsia" w:hAnsi="宋体" w:cs="宋体"/>
                <w:color w:val="000000"/>
                <w:spacing w:val="-15"/>
                <w:sz w:val="21"/>
                <w:szCs w:val="21"/>
              </w:rPr>
            </w:pPr>
          </w:p>
        </w:tc>
        <w:tc>
          <w:tcPr>
            <w:tcW w:w="2660" w:type="pct"/>
            <w:tcMar>
              <w:left w:w="28" w:type="dxa"/>
              <w:right w:w="28" w:type="dxa"/>
            </w:tcMar>
            <w:vAlign w:val="center"/>
          </w:tcPr>
          <w:p w14:paraId="32E693A7">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1.2-2】建设项目用地原则上不得占用永久基本农田，确需占用永久基本农田的建设项目须符合《中华人民共和国基本农田保护条例》中相关要求，占用耕地、林地或草地的建设项目须按照国家、自治区相关补偿要求进行补偿。</w:t>
            </w:r>
          </w:p>
        </w:tc>
        <w:tc>
          <w:tcPr>
            <w:tcW w:w="1235" w:type="pct"/>
            <w:tcMar>
              <w:left w:w="28" w:type="dxa"/>
              <w:right w:w="28" w:type="dxa"/>
            </w:tcMar>
            <w:vAlign w:val="center"/>
          </w:tcPr>
          <w:p w14:paraId="2C5E69CB">
            <w:pPr>
              <w:adjustRightInd w:val="0"/>
              <w:spacing w:line="0" w:lineRule="atLeast"/>
              <w:jc w:val="left"/>
              <w:rPr>
                <w:rFonts w:hint="eastAsia" w:hAnsi="宋体" w:cs="宋体"/>
                <w:bCs/>
                <w:color w:val="000000"/>
                <w:spacing w:val="-15"/>
                <w:sz w:val="21"/>
                <w:szCs w:val="21"/>
              </w:rPr>
            </w:pPr>
            <w:r>
              <w:rPr>
                <w:rFonts w:hint="eastAsia" w:hAnsi="宋体" w:cs="宋体"/>
                <w:color w:val="000000"/>
                <w:spacing w:val="-15"/>
                <w:sz w:val="21"/>
                <w:szCs w:val="21"/>
              </w:rPr>
              <w:t>拟建工程不占用永久基本农田</w:t>
            </w:r>
          </w:p>
        </w:tc>
        <w:tc>
          <w:tcPr>
            <w:tcW w:w="291" w:type="pct"/>
            <w:tcMar>
              <w:left w:w="28" w:type="dxa"/>
              <w:right w:w="28" w:type="dxa"/>
            </w:tcMar>
            <w:vAlign w:val="center"/>
          </w:tcPr>
          <w:p w14:paraId="666214E9">
            <w:pPr>
              <w:spacing w:line="0" w:lineRule="atLeast"/>
              <w:jc w:val="center"/>
              <w:rPr>
                <w:rFonts w:hint="eastAsia" w:hAnsi="宋体" w:cs="宋体"/>
                <w:bCs/>
                <w:color w:val="000000"/>
                <w:spacing w:val="-15"/>
                <w:kern w:val="0"/>
                <w:sz w:val="21"/>
                <w:szCs w:val="21"/>
              </w:rPr>
            </w:pPr>
            <w:r>
              <w:rPr>
                <w:rFonts w:hint="eastAsia" w:hAnsi="宋体" w:cs="宋体"/>
                <w:color w:val="000000"/>
                <w:spacing w:val="-15"/>
                <w:sz w:val="21"/>
                <w:szCs w:val="21"/>
              </w:rPr>
              <w:t>符合</w:t>
            </w:r>
          </w:p>
        </w:tc>
      </w:tr>
      <w:tr w14:paraId="2F4F10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19F98D83">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6CB67877">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5B92F7A6">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391A99F1">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【A1.2-3】以用途变更为住宅、公共管理与公共服务用地的地块为重点，严格建设用地准入管理和风险管控，未依法完成土壤污染状况调查或风险评估的地块，不得开工建设与风险管控和修复无关的项目。</w:t>
            </w:r>
          </w:p>
        </w:tc>
        <w:tc>
          <w:tcPr>
            <w:tcW w:w="1235" w:type="pct"/>
            <w:tcMar>
              <w:left w:w="28" w:type="dxa"/>
              <w:right w:w="28" w:type="dxa"/>
            </w:tcMar>
            <w:vAlign w:val="center"/>
          </w:tcPr>
          <w:p w14:paraId="315DBCBB">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拟建工程不涉及相关内容</w:t>
            </w:r>
          </w:p>
        </w:tc>
        <w:tc>
          <w:tcPr>
            <w:tcW w:w="291" w:type="pct"/>
            <w:tcMar>
              <w:left w:w="28" w:type="dxa"/>
              <w:right w:w="28" w:type="dxa"/>
            </w:tcMar>
            <w:vAlign w:val="center"/>
          </w:tcPr>
          <w:p w14:paraId="0AC35F69">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w:t>
            </w:r>
          </w:p>
        </w:tc>
      </w:tr>
      <w:tr w14:paraId="34BF90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011DFCFB">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3D72A6C8">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7351F9C5">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18E1CEAC">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【A1.2-4】严格控制建设项目占用湿地。因国家和自治区重点建设工程、基础设施建设，以及重点公益性项目建设，确需占用湿地的应当按照有关法律、法规规定的权限和程序办理批准手续。</w:t>
            </w:r>
          </w:p>
        </w:tc>
        <w:tc>
          <w:tcPr>
            <w:tcW w:w="1235" w:type="pct"/>
            <w:tcMar>
              <w:left w:w="28" w:type="dxa"/>
              <w:right w:w="28" w:type="dxa"/>
            </w:tcMar>
            <w:vAlign w:val="center"/>
          </w:tcPr>
          <w:p w14:paraId="51A3A866">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拟建工程不涉及</w:t>
            </w:r>
            <w:r>
              <w:rPr>
                <w:rFonts w:hint="eastAsia" w:hAnsi="宋体" w:cs="宋体"/>
                <w:color w:val="000000"/>
                <w:spacing w:val="-15"/>
                <w:kern w:val="21"/>
                <w:sz w:val="21"/>
                <w:szCs w:val="21"/>
              </w:rPr>
              <w:t>占用湿地</w:t>
            </w:r>
          </w:p>
        </w:tc>
        <w:tc>
          <w:tcPr>
            <w:tcW w:w="291" w:type="pct"/>
            <w:tcMar>
              <w:left w:w="28" w:type="dxa"/>
              <w:right w:w="28" w:type="dxa"/>
            </w:tcMar>
            <w:vAlign w:val="center"/>
          </w:tcPr>
          <w:p w14:paraId="4D48F242">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符合</w:t>
            </w:r>
          </w:p>
        </w:tc>
      </w:tr>
      <w:tr w14:paraId="5A5F2C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3FE4806A">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1A9221B9">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3B7220AF">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16C65EEB">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【A1.2-5】严格管控自然保护地范围内非生态活动，稳妥推进核心区内居民、耕地有序退出，矿权依法依规退出。</w:t>
            </w:r>
          </w:p>
        </w:tc>
        <w:tc>
          <w:tcPr>
            <w:tcW w:w="1235" w:type="pct"/>
            <w:tcMar>
              <w:left w:w="28" w:type="dxa"/>
              <w:right w:w="28" w:type="dxa"/>
            </w:tcMar>
            <w:vAlign w:val="center"/>
          </w:tcPr>
          <w:p w14:paraId="2E3ED90A">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塔里木油田分公司已于2019年底完成保护区退出工作，并完成复垦</w:t>
            </w:r>
          </w:p>
        </w:tc>
        <w:tc>
          <w:tcPr>
            <w:tcW w:w="291" w:type="pct"/>
            <w:tcMar>
              <w:left w:w="28" w:type="dxa"/>
              <w:right w:w="28" w:type="dxa"/>
            </w:tcMar>
            <w:vAlign w:val="center"/>
          </w:tcPr>
          <w:p w14:paraId="0E9DEE45">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符合</w:t>
            </w:r>
          </w:p>
        </w:tc>
      </w:tr>
      <w:tr w14:paraId="5480C3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7AA247A2">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706AFEF1">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restart"/>
            <w:tcMar>
              <w:left w:w="28" w:type="dxa"/>
              <w:right w:w="28" w:type="dxa"/>
            </w:tcMar>
            <w:vAlign w:val="center"/>
          </w:tcPr>
          <w:p w14:paraId="781F1901">
            <w:pPr>
              <w:autoSpaceDE w:val="0"/>
              <w:autoSpaceDN w:val="0"/>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A1.3不符合空间布局要求活动的退出要求</w:t>
            </w:r>
          </w:p>
        </w:tc>
        <w:tc>
          <w:tcPr>
            <w:tcW w:w="2660" w:type="pct"/>
            <w:tcMar>
              <w:left w:w="28" w:type="dxa"/>
              <w:right w:w="28" w:type="dxa"/>
            </w:tcMar>
            <w:vAlign w:val="center"/>
          </w:tcPr>
          <w:p w14:paraId="102212C5">
            <w:pPr>
              <w:autoSpaceDE w:val="0"/>
              <w:autoSpaceDN w:val="0"/>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【A1.3-1】任何单位和个人不得在水源涵养区、饮用水水源保护区内和河流、湖泊、水库周围建设重化工、涉重金属等工业污染项目；对已建成的工业污染项目，当地人民政府应当组织限期搬迁。</w:t>
            </w:r>
          </w:p>
        </w:tc>
        <w:tc>
          <w:tcPr>
            <w:tcW w:w="1235" w:type="pct"/>
            <w:tcMar>
              <w:left w:w="28" w:type="dxa"/>
              <w:right w:w="28" w:type="dxa"/>
            </w:tcMar>
            <w:vAlign w:val="center"/>
          </w:tcPr>
          <w:p w14:paraId="548184B3">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拟建工程不属于重化工、涉重金属等工业污染项目</w:t>
            </w:r>
          </w:p>
        </w:tc>
        <w:tc>
          <w:tcPr>
            <w:tcW w:w="291" w:type="pct"/>
            <w:tcMar>
              <w:left w:w="28" w:type="dxa"/>
              <w:right w:w="28" w:type="dxa"/>
            </w:tcMar>
            <w:vAlign w:val="center"/>
          </w:tcPr>
          <w:p w14:paraId="538DA8AF">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符合</w:t>
            </w:r>
          </w:p>
        </w:tc>
      </w:tr>
      <w:tr w14:paraId="11221B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051A1C61">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5BC7F139">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272C2C6D">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3435EDFA">
            <w:pPr>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【A1.3-2】对不符合国家产业政策、严重污染水环境的生产项目全部予以取缔。</w:t>
            </w:r>
          </w:p>
        </w:tc>
        <w:tc>
          <w:tcPr>
            <w:tcW w:w="1235" w:type="pct"/>
            <w:tcMar>
              <w:left w:w="28" w:type="dxa"/>
              <w:right w:w="28" w:type="dxa"/>
            </w:tcMar>
            <w:vAlign w:val="center"/>
          </w:tcPr>
          <w:p w14:paraId="0D745739">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拟建工程不属于严重污染水环境的生产项目</w:t>
            </w:r>
          </w:p>
        </w:tc>
        <w:tc>
          <w:tcPr>
            <w:tcW w:w="291" w:type="pct"/>
            <w:tcMar>
              <w:left w:w="28" w:type="dxa"/>
              <w:right w:w="28" w:type="dxa"/>
            </w:tcMar>
            <w:vAlign w:val="center"/>
          </w:tcPr>
          <w:p w14:paraId="6FF5E914">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符合</w:t>
            </w:r>
          </w:p>
        </w:tc>
      </w:tr>
      <w:tr w14:paraId="1E68EE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45117876">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7E9CCAEB">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0117632E">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6328C729">
            <w:pPr>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1.3-3】根据《产业结构调整指导目录》《限期淘汰产生严重污染环境的工业固体废物的落后生产工艺设备名录》等要求，配合有关部门依法淘汰烧结-鼓风炉5炼铅工艺炼铅等涉重金属落后产能和化解过剩产能。严格执行生态环境保护等相关法规标准，推动经整改仍达不到要求的产能依法依规关闭退出。</w:t>
            </w:r>
          </w:p>
        </w:tc>
        <w:tc>
          <w:tcPr>
            <w:tcW w:w="1235" w:type="pct"/>
            <w:tcMar>
              <w:left w:w="28" w:type="dxa"/>
              <w:right w:w="28" w:type="dxa"/>
            </w:tcMar>
            <w:vAlign w:val="center"/>
          </w:tcPr>
          <w:p w14:paraId="67C37E9F">
            <w:pPr>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kern w:val="0"/>
                <w:sz w:val="21"/>
                <w:szCs w:val="21"/>
              </w:rPr>
              <w:t>拟建工程不涉及</w:t>
            </w:r>
          </w:p>
        </w:tc>
        <w:tc>
          <w:tcPr>
            <w:tcW w:w="291" w:type="pct"/>
            <w:tcMar>
              <w:left w:w="28" w:type="dxa"/>
              <w:right w:w="28" w:type="dxa"/>
            </w:tcMar>
            <w:vAlign w:val="center"/>
          </w:tcPr>
          <w:p w14:paraId="25868F81">
            <w:pPr>
              <w:adjustRightInd w:val="0"/>
              <w:spacing w:line="0" w:lineRule="atLeast"/>
              <w:jc w:val="center"/>
              <w:rPr>
                <w:rFonts w:hint="eastAsia" w:hAnsi="宋体" w:cs="宋体"/>
                <w:color w:val="000000"/>
                <w:spacing w:val="-15"/>
                <w:kern w:val="0"/>
                <w:sz w:val="21"/>
                <w:szCs w:val="21"/>
              </w:rPr>
            </w:pPr>
            <w:r>
              <w:rPr>
                <w:rFonts w:hint="eastAsia" w:hAnsi="宋体" w:cs="宋体"/>
                <w:color w:val="000000"/>
                <w:spacing w:val="-15"/>
                <w:sz w:val="21"/>
                <w:szCs w:val="21"/>
              </w:rPr>
              <w:t>--</w:t>
            </w:r>
          </w:p>
        </w:tc>
      </w:tr>
      <w:tr w14:paraId="68BB2D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2CEC093C">
            <w:pPr>
              <w:autoSpaceDE w:val="0"/>
              <w:autoSpaceDN w:val="0"/>
              <w:adjustRightInd w:val="0"/>
              <w:spacing w:line="0" w:lineRule="atLeast"/>
              <w:jc w:val="center"/>
              <w:rPr>
                <w:rFonts w:hint="eastAsia" w:hAnsi="宋体" w:cs="宋体"/>
                <w:color w:val="000000"/>
                <w:spacing w:val="-15"/>
                <w:kern w:val="0"/>
                <w:sz w:val="21"/>
                <w:szCs w:val="21"/>
              </w:rPr>
            </w:pPr>
          </w:p>
        </w:tc>
        <w:tc>
          <w:tcPr>
            <w:tcW w:w="256" w:type="pct"/>
            <w:vMerge w:val="continue"/>
            <w:tcMar>
              <w:left w:w="28" w:type="dxa"/>
              <w:right w:w="28" w:type="dxa"/>
            </w:tcMar>
            <w:vAlign w:val="center"/>
          </w:tcPr>
          <w:p w14:paraId="05E0A230">
            <w:pPr>
              <w:autoSpaceDE w:val="0"/>
              <w:autoSpaceDN w:val="0"/>
              <w:adjustRightInd w:val="0"/>
              <w:spacing w:line="0" w:lineRule="atLeast"/>
              <w:jc w:val="center"/>
              <w:rPr>
                <w:rFonts w:hint="eastAsia" w:hAnsi="宋体" w:cs="宋体"/>
                <w:color w:val="000000"/>
                <w:spacing w:val="-15"/>
                <w:kern w:val="0"/>
                <w:sz w:val="21"/>
                <w:szCs w:val="21"/>
              </w:rPr>
            </w:pPr>
          </w:p>
        </w:tc>
        <w:tc>
          <w:tcPr>
            <w:tcW w:w="302" w:type="pct"/>
            <w:vMerge w:val="continue"/>
            <w:tcMar>
              <w:left w:w="28" w:type="dxa"/>
              <w:right w:w="28" w:type="dxa"/>
            </w:tcMar>
            <w:vAlign w:val="center"/>
          </w:tcPr>
          <w:p w14:paraId="2B1D9C4B">
            <w:pPr>
              <w:autoSpaceDE w:val="0"/>
              <w:autoSpaceDN w:val="0"/>
              <w:adjustRightInd w:val="0"/>
              <w:spacing w:line="0" w:lineRule="atLeast"/>
              <w:jc w:val="center"/>
              <w:rPr>
                <w:rFonts w:hint="eastAsia" w:hAnsi="宋体" w:cs="宋体"/>
                <w:color w:val="000000"/>
                <w:spacing w:val="-15"/>
                <w:kern w:val="0"/>
                <w:sz w:val="21"/>
                <w:szCs w:val="21"/>
              </w:rPr>
            </w:pPr>
          </w:p>
        </w:tc>
        <w:tc>
          <w:tcPr>
            <w:tcW w:w="2660" w:type="pct"/>
            <w:tcMar>
              <w:left w:w="28" w:type="dxa"/>
              <w:right w:w="28" w:type="dxa"/>
            </w:tcMar>
            <w:vAlign w:val="center"/>
          </w:tcPr>
          <w:p w14:paraId="65AF0BFD">
            <w:pPr>
              <w:adjustRightInd w:val="0"/>
              <w:spacing w:line="0" w:lineRule="atLeast"/>
              <w:rPr>
                <w:rFonts w:hint="eastAsia" w:hAnsi="宋体" w:cs="宋体"/>
                <w:color w:val="000000"/>
                <w:spacing w:val="-15"/>
                <w:kern w:val="0"/>
                <w:sz w:val="21"/>
                <w:szCs w:val="21"/>
              </w:rPr>
            </w:pPr>
            <w:r>
              <w:rPr>
                <w:rFonts w:hint="eastAsia" w:hAnsi="宋体" w:cs="宋体"/>
                <w:color w:val="000000"/>
                <w:spacing w:val="-15"/>
                <w:kern w:val="0"/>
                <w:sz w:val="21"/>
                <w:szCs w:val="21"/>
              </w:rPr>
              <w:t>【A1.3-4】城市建成区、重点流域内已建成投产化工企业和危险化学品生产企业应加快退城入园，搬入化工园区前企业不应实施改扩建工程扩大生产规模。</w:t>
            </w:r>
          </w:p>
        </w:tc>
        <w:tc>
          <w:tcPr>
            <w:tcW w:w="1235" w:type="pct"/>
            <w:tcMar>
              <w:left w:w="28" w:type="dxa"/>
              <w:right w:w="28" w:type="dxa"/>
            </w:tcMar>
            <w:vAlign w:val="center"/>
          </w:tcPr>
          <w:p w14:paraId="314952CC">
            <w:pPr>
              <w:adjustRightInd w:val="0"/>
              <w:spacing w:line="0" w:lineRule="atLeast"/>
              <w:rPr>
                <w:rFonts w:hint="eastAsia" w:hAnsi="宋体" w:cs="宋体"/>
                <w:color w:val="000000"/>
                <w:spacing w:val="-15"/>
                <w:sz w:val="21"/>
                <w:szCs w:val="21"/>
              </w:rPr>
            </w:pPr>
            <w:r>
              <w:rPr>
                <w:rFonts w:hint="eastAsia" w:hAnsi="宋体" w:cs="宋体"/>
                <w:color w:val="000000"/>
                <w:spacing w:val="-15"/>
                <w:sz w:val="21"/>
                <w:szCs w:val="21"/>
              </w:rPr>
              <w:t>拟建工程不涉及相关内容</w:t>
            </w:r>
          </w:p>
        </w:tc>
        <w:tc>
          <w:tcPr>
            <w:tcW w:w="291" w:type="pct"/>
            <w:tcMar>
              <w:left w:w="28" w:type="dxa"/>
              <w:right w:w="28" w:type="dxa"/>
            </w:tcMar>
            <w:vAlign w:val="center"/>
          </w:tcPr>
          <w:p w14:paraId="304A4E0F">
            <w:pPr>
              <w:adjustRightInd w:val="0"/>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w:t>
            </w:r>
          </w:p>
        </w:tc>
      </w:tr>
    </w:tbl>
    <w:p w14:paraId="4A9B7684">
      <w:pPr>
        <w:adjustRightInd w:val="0"/>
        <w:spacing w:line="480" w:lineRule="exact"/>
        <w:ind w:firstLine="383" w:firstLineChars="146"/>
        <w:rPr>
          <w:rFonts w:hint="eastAsia" w:ascii="黑体" w:hAnsi="黑体" w:eastAsia="黑体"/>
          <w:color w:val="000000"/>
          <w:szCs w:val="24"/>
        </w:rPr>
      </w:pPr>
      <w:r>
        <w:rPr>
          <w:rFonts w:ascii="黑体" w:hAnsi="黑体" w:eastAsia="黑体" w:cs="宋体"/>
          <w:color w:val="000000"/>
          <w:szCs w:val="24"/>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901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61"/>
        <w:gridCol w:w="260"/>
        <w:gridCol w:w="635"/>
        <w:gridCol w:w="4257"/>
        <w:gridCol w:w="3097"/>
        <w:gridCol w:w="501"/>
      </w:tblGrid>
      <w:tr w14:paraId="793038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blHeader/>
          <w:jc w:val="center"/>
        </w:trPr>
        <w:tc>
          <w:tcPr>
            <w:tcW w:w="0" w:type="auto"/>
            <w:tcMar>
              <w:left w:w="28" w:type="dxa"/>
              <w:right w:w="28" w:type="dxa"/>
            </w:tcMar>
            <w:vAlign w:val="center"/>
          </w:tcPr>
          <w:p w14:paraId="5182E4EB">
            <w:pPr>
              <w:autoSpaceDE w:val="0"/>
              <w:autoSpaceDN w:val="0"/>
              <w:adjustRightInd w:val="0"/>
              <w:snapToGrid w:val="0"/>
              <w:jc w:val="center"/>
              <w:rPr>
                <w:rFonts w:hint="eastAsia" w:hAnsi="宋体" w:cs="宋体"/>
                <w:b/>
                <w:color w:val="000000"/>
                <w:spacing w:val="-10"/>
                <w:kern w:val="0"/>
                <w:sz w:val="21"/>
                <w:szCs w:val="21"/>
              </w:rPr>
            </w:pPr>
            <w:r>
              <w:rPr>
                <w:rFonts w:hint="eastAsia" w:hAnsi="宋体" w:cs="宋体"/>
                <w:b/>
                <w:color w:val="000000"/>
                <w:spacing w:val="-10"/>
                <w:kern w:val="0"/>
                <w:sz w:val="21"/>
                <w:szCs w:val="21"/>
              </w:rPr>
              <w:t>名称</w:t>
            </w:r>
          </w:p>
        </w:tc>
        <w:tc>
          <w:tcPr>
            <w:tcW w:w="5152" w:type="dxa"/>
            <w:gridSpan w:val="3"/>
            <w:tcMar>
              <w:left w:w="28" w:type="dxa"/>
              <w:right w:w="28" w:type="dxa"/>
            </w:tcMar>
            <w:vAlign w:val="center"/>
          </w:tcPr>
          <w:p w14:paraId="085F301A">
            <w:pPr>
              <w:autoSpaceDE w:val="0"/>
              <w:autoSpaceDN w:val="0"/>
              <w:adjustRightInd w:val="0"/>
              <w:snapToGrid w:val="0"/>
              <w:jc w:val="center"/>
              <w:rPr>
                <w:rFonts w:hint="eastAsia" w:hAnsi="宋体" w:cs="宋体"/>
                <w:b/>
                <w:color w:val="000000"/>
                <w:spacing w:val="-10"/>
                <w:kern w:val="0"/>
                <w:sz w:val="21"/>
                <w:szCs w:val="21"/>
              </w:rPr>
            </w:pPr>
            <w:r>
              <w:rPr>
                <w:rFonts w:hint="eastAsia" w:hAnsi="宋体" w:cs="宋体"/>
                <w:b/>
                <w:color w:val="000000"/>
                <w:spacing w:val="-10"/>
                <w:kern w:val="0"/>
                <w:sz w:val="21"/>
                <w:szCs w:val="21"/>
              </w:rPr>
              <w:t>管控要求</w:t>
            </w:r>
          </w:p>
        </w:tc>
        <w:tc>
          <w:tcPr>
            <w:tcW w:w="3097" w:type="dxa"/>
            <w:tcMar>
              <w:left w:w="28" w:type="dxa"/>
              <w:right w:w="28" w:type="dxa"/>
            </w:tcMar>
            <w:vAlign w:val="center"/>
          </w:tcPr>
          <w:p w14:paraId="3113B802">
            <w:pPr>
              <w:autoSpaceDE w:val="0"/>
              <w:autoSpaceDN w:val="0"/>
              <w:adjustRightInd w:val="0"/>
              <w:snapToGrid w:val="0"/>
              <w:jc w:val="center"/>
              <w:rPr>
                <w:rFonts w:hint="eastAsia" w:hAnsi="宋体" w:cs="宋体"/>
                <w:b/>
                <w:color w:val="000000"/>
                <w:spacing w:val="-10"/>
                <w:kern w:val="0"/>
                <w:sz w:val="21"/>
                <w:szCs w:val="21"/>
              </w:rPr>
            </w:pPr>
            <w:r>
              <w:rPr>
                <w:rFonts w:hint="eastAsia" w:hAnsi="宋体" w:cs="宋体"/>
                <w:b/>
                <w:color w:val="000000"/>
                <w:spacing w:val="-10"/>
                <w:kern w:val="0"/>
                <w:sz w:val="21"/>
                <w:szCs w:val="21"/>
              </w:rPr>
              <w:t>拟建工程</w:t>
            </w:r>
          </w:p>
        </w:tc>
        <w:tc>
          <w:tcPr>
            <w:tcW w:w="501" w:type="dxa"/>
            <w:tcMar>
              <w:left w:w="28" w:type="dxa"/>
              <w:right w:w="28" w:type="dxa"/>
            </w:tcMar>
            <w:vAlign w:val="center"/>
          </w:tcPr>
          <w:p w14:paraId="7D011EA1">
            <w:pPr>
              <w:autoSpaceDE w:val="0"/>
              <w:autoSpaceDN w:val="0"/>
              <w:adjustRightInd w:val="0"/>
              <w:snapToGrid w:val="0"/>
              <w:jc w:val="center"/>
              <w:rPr>
                <w:rFonts w:hint="eastAsia" w:hAnsi="宋体" w:cs="宋体"/>
                <w:b/>
                <w:color w:val="000000"/>
                <w:spacing w:val="-10"/>
                <w:kern w:val="0"/>
                <w:sz w:val="21"/>
                <w:szCs w:val="21"/>
              </w:rPr>
            </w:pPr>
            <w:r>
              <w:rPr>
                <w:rFonts w:hint="eastAsia" w:hAnsi="宋体" w:cs="宋体"/>
                <w:b/>
                <w:color w:val="000000"/>
                <w:spacing w:val="-10"/>
                <w:kern w:val="0"/>
                <w:sz w:val="21"/>
                <w:szCs w:val="21"/>
              </w:rPr>
              <w:t>符合性</w:t>
            </w:r>
          </w:p>
        </w:tc>
      </w:tr>
      <w:tr w14:paraId="6C4786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restart"/>
            <w:tcMar>
              <w:left w:w="28" w:type="dxa"/>
              <w:right w:w="28" w:type="dxa"/>
            </w:tcMar>
            <w:vAlign w:val="center"/>
          </w:tcPr>
          <w:p w14:paraId="7A543513">
            <w:pPr>
              <w:autoSpaceDE w:val="0"/>
              <w:autoSpaceDN w:val="0"/>
              <w:adjustRightInd w:val="0"/>
              <w:snapToGrid w:val="0"/>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0" w:type="auto"/>
            <w:vMerge w:val="restart"/>
            <w:tcMar>
              <w:left w:w="28" w:type="dxa"/>
              <w:right w:w="28" w:type="dxa"/>
            </w:tcMar>
            <w:vAlign w:val="center"/>
          </w:tcPr>
          <w:p w14:paraId="179C52CF">
            <w:pPr>
              <w:adjustRightInd w:val="0"/>
              <w:snapToGrid w:val="0"/>
              <w:jc w:val="center"/>
              <w:rPr>
                <w:rFonts w:hint="eastAsia" w:hAnsi="宋体" w:cs="宋体"/>
                <w:color w:val="000000"/>
                <w:spacing w:val="-10"/>
                <w:kern w:val="0"/>
                <w:sz w:val="21"/>
                <w:szCs w:val="21"/>
              </w:rPr>
            </w:pPr>
            <w:r>
              <w:rPr>
                <w:rFonts w:hint="eastAsia" w:hAnsi="宋体" w:cs="宋体"/>
                <w:color w:val="000000"/>
                <w:spacing w:val="-10"/>
                <w:kern w:val="0"/>
                <w:sz w:val="21"/>
                <w:szCs w:val="21"/>
              </w:rPr>
              <w:t>A1</w:t>
            </w:r>
            <w:r>
              <w:rPr>
                <w:rFonts w:hint="eastAsia" w:hAnsi="宋体" w:cs="宋体"/>
                <w:color w:val="000000"/>
                <w:spacing w:val="-15"/>
                <w:kern w:val="0"/>
                <w:sz w:val="21"/>
                <w:szCs w:val="21"/>
              </w:rPr>
              <w:t>空间布局约束</w:t>
            </w:r>
          </w:p>
        </w:tc>
        <w:tc>
          <w:tcPr>
            <w:tcW w:w="635" w:type="dxa"/>
            <w:vMerge w:val="restart"/>
            <w:tcMar>
              <w:left w:w="28" w:type="dxa"/>
              <w:right w:w="28" w:type="dxa"/>
            </w:tcMar>
            <w:vAlign w:val="center"/>
          </w:tcPr>
          <w:p w14:paraId="0E8DC2B1">
            <w:pPr>
              <w:autoSpaceDE w:val="0"/>
              <w:autoSpaceDN w:val="0"/>
              <w:adjustRightInd w:val="0"/>
              <w:snapToGrid w:val="0"/>
              <w:jc w:val="center"/>
              <w:rPr>
                <w:rFonts w:hint="eastAsia" w:hAnsi="宋体" w:cs="宋体"/>
                <w:color w:val="000000"/>
                <w:spacing w:val="-10"/>
                <w:kern w:val="0"/>
                <w:sz w:val="21"/>
                <w:szCs w:val="21"/>
              </w:rPr>
            </w:pPr>
            <w:r>
              <w:rPr>
                <w:rFonts w:hint="eastAsia" w:hAnsi="宋体" w:cs="宋体"/>
                <w:color w:val="000000"/>
                <w:spacing w:val="-10"/>
                <w:kern w:val="0"/>
                <w:sz w:val="21"/>
                <w:szCs w:val="21"/>
              </w:rPr>
              <w:t>A1.4其它布局要求</w:t>
            </w:r>
          </w:p>
        </w:tc>
        <w:tc>
          <w:tcPr>
            <w:tcW w:w="4257" w:type="dxa"/>
            <w:tcMar>
              <w:left w:w="28" w:type="dxa"/>
              <w:right w:w="28" w:type="dxa"/>
            </w:tcMar>
            <w:vAlign w:val="center"/>
          </w:tcPr>
          <w:p w14:paraId="0897E137">
            <w:pPr>
              <w:autoSpaceDE w:val="0"/>
              <w:autoSpaceDN w:val="0"/>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1.4-1】一切开发建设活动应符合国家、自治区主体功能区规划自治区和各地颁布实施的生态环境功能区划、国民经济和社会发展规划、产业发展规划、国土空间规划等相关规划及重点生态功能区负面清单要求，符合区域或产业规划环评要求。</w:t>
            </w:r>
          </w:p>
        </w:tc>
        <w:tc>
          <w:tcPr>
            <w:tcW w:w="3097" w:type="dxa"/>
            <w:tcMar>
              <w:left w:w="28" w:type="dxa"/>
              <w:right w:w="28" w:type="dxa"/>
            </w:tcMar>
            <w:vAlign w:val="center"/>
          </w:tcPr>
          <w:p w14:paraId="6778609D">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拟建工程与区域主体功能区划目标相协调，符合塔里木油田“十四五”发展规划及规划环评</w:t>
            </w:r>
          </w:p>
        </w:tc>
        <w:tc>
          <w:tcPr>
            <w:tcW w:w="501" w:type="dxa"/>
            <w:tcMar>
              <w:left w:w="28" w:type="dxa"/>
              <w:right w:w="28" w:type="dxa"/>
            </w:tcMar>
            <w:vAlign w:val="center"/>
          </w:tcPr>
          <w:p w14:paraId="741E2642">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符合</w:t>
            </w:r>
          </w:p>
        </w:tc>
      </w:tr>
      <w:tr w14:paraId="25035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123" w:hRule="atLeast"/>
          <w:jc w:val="center"/>
        </w:trPr>
        <w:tc>
          <w:tcPr>
            <w:tcW w:w="0" w:type="auto"/>
            <w:vMerge w:val="continue"/>
            <w:tcMar>
              <w:left w:w="28" w:type="dxa"/>
              <w:right w:w="28" w:type="dxa"/>
            </w:tcMar>
            <w:vAlign w:val="center"/>
          </w:tcPr>
          <w:p w14:paraId="78C0972B">
            <w:pPr>
              <w:autoSpaceDE w:val="0"/>
              <w:autoSpaceDN w:val="0"/>
              <w:adjustRightInd w:val="0"/>
              <w:snapToGrid w:val="0"/>
              <w:jc w:val="center"/>
              <w:rPr>
                <w:rFonts w:hint="eastAsia" w:hAnsi="宋体" w:cs="宋体"/>
                <w:color w:val="000000"/>
                <w:spacing w:val="-10"/>
                <w:kern w:val="0"/>
                <w:sz w:val="21"/>
                <w:szCs w:val="21"/>
              </w:rPr>
            </w:pPr>
          </w:p>
        </w:tc>
        <w:tc>
          <w:tcPr>
            <w:tcW w:w="0" w:type="auto"/>
            <w:vMerge w:val="continue"/>
            <w:tcMar>
              <w:left w:w="28" w:type="dxa"/>
              <w:right w:w="28" w:type="dxa"/>
            </w:tcMar>
            <w:vAlign w:val="center"/>
          </w:tcPr>
          <w:p w14:paraId="184CF20F">
            <w:pPr>
              <w:adjustRightInd w:val="0"/>
              <w:snapToGrid w:val="0"/>
              <w:jc w:val="center"/>
              <w:rPr>
                <w:rFonts w:hint="eastAsia" w:hAnsi="宋体" w:cs="宋体"/>
                <w:color w:val="000000"/>
                <w:spacing w:val="-10"/>
                <w:kern w:val="0"/>
                <w:sz w:val="21"/>
                <w:szCs w:val="21"/>
              </w:rPr>
            </w:pPr>
          </w:p>
        </w:tc>
        <w:tc>
          <w:tcPr>
            <w:tcW w:w="635" w:type="dxa"/>
            <w:vMerge w:val="continue"/>
            <w:tcMar>
              <w:left w:w="28" w:type="dxa"/>
              <w:right w:w="28" w:type="dxa"/>
            </w:tcMar>
            <w:vAlign w:val="center"/>
          </w:tcPr>
          <w:p w14:paraId="35711FB4">
            <w:pPr>
              <w:autoSpaceDE w:val="0"/>
              <w:autoSpaceDN w:val="0"/>
              <w:adjustRightInd w:val="0"/>
              <w:snapToGrid w:val="0"/>
              <w:jc w:val="center"/>
              <w:rPr>
                <w:rFonts w:hint="eastAsia" w:hAnsi="宋体" w:cs="宋体"/>
                <w:color w:val="000000"/>
                <w:spacing w:val="-10"/>
                <w:kern w:val="0"/>
                <w:sz w:val="21"/>
                <w:szCs w:val="21"/>
              </w:rPr>
            </w:pPr>
          </w:p>
        </w:tc>
        <w:tc>
          <w:tcPr>
            <w:tcW w:w="4257" w:type="dxa"/>
            <w:tcMar>
              <w:left w:w="28" w:type="dxa"/>
              <w:right w:w="28" w:type="dxa"/>
            </w:tcMar>
            <w:vAlign w:val="center"/>
          </w:tcPr>
          <w:p w14:paraId="77C5F94D">
            <w:pPr>
              <w:autoSpaceDE w:val="0"/>
              <w:autoSpaceDN w:val="0"/>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【A1.4-2】新建、扩建石化、化工、焦化、有色金属冶炼、平板玻璃项目应布设在依法合规设立并经规划环评的产业园区。</w:t>
            </w:r>
          </w:p>
        </w:tc>
        <w:tc>
          <w:tcPr>
            <w:tcW w:w="3097" w:type="dxa"/>
            <w:tcMar>
              <w:left w:w="28" w:type="dxa"/>
              <w:right w:w="28" w:type="dxa"/>
            </w:tcMar>
            <w:vAlign w:val="center"/>
          </w:tcPr>
          <w:p w14:paraId="04E67EA3">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石化、化工、焦化、有色金属冶炼、平板玻璃项目</w:t>
            </w:r>
          </w:p>
        </w:tc>
        <w:tc>
          <w:tcPr>
            <w:tcW w:w="501" w:type="dxa"/>
            <w:tcMar>
              <w:left w:w="28" w:type="dxa"/>
              <w:right w:w="28" w:type="dxa"/>
            </w:tcMar>
            <w:vAlign w:val="center"/>
          </w:tcPr>
          <w:p w14:paraId="674F32F8">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符合</w:t>
            </w:r>
          </w:p>
        </w:tc>
      </w:tr>
      <w:tr w14:paraId="552FF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92" w:hRule="atLeast"/>
          <w:jc w:val="center"/>
        </w:trPr>
        <w:tc>
          <w:tcPr>
            <w:tcW w:w="0" w:type="auto"/>
            <w:vMerge w:val="continue"/>
            <w:tcMar>
              <w:left w:w="28" w:type="dxa"/>
              <w:right w:w="28" w:type="dxa"/>
            </w:tcMar>
            <w:vAlign w:val="center"/>
          </w:tcPr>
          <w:p w14:paraId="6630E403">
            <w:pPr>
              <w:autoSpaceDE w:val="0"/>
              <w:autoSpaceDN w:val="0"/>
              <w:adjustRightInd w:val="0"/>
              <w:snapToGrid w:val="0"/>
              <w:jc w:val="center"/>
              <w:rPr>
                <w:rFonts w:hint="eastAsia" w:hAnsi="宋体" w:cs="宋体"/>
                <w:color w:val="000000"/>
                <w:spacing w:val="-10"/>
                <w:sz w:val="21"/>
                <w:szCs w:val="21"/>
              </w:rPr>
            </w:pPr>
          </w:p>
        </w:tc>
        <w:tc>
          <w:tcPr>
            <w:tcW w:w="0" w:type="auto"/>
            <w:vMerge w:val="continue"/>
            <w:tcMar>
              <w:left w:w="28" w:type="dxa"/>
              <w:right w:w="28" w:type="dxa"/>
            </w:tcMar>
            <w:vAlign w:val="center"/>
          </w:tcPr>
          <w:p w14:paraId="086141C5">
            <w:pPr>
              <w:adjustRightInd w:val="0"/>
              <w:snapToGrid w:val="0"/>
              <w:jc w:val="center"/>
              <w:rPr>
                <w:rFonts w:hint="eastAsia" w:hAnsi="宋体" w:cs="宋体"/>
                <w:color w:val="000000"/>
                <w:spacing w:val="-10"/>
                <w:sz w:val="21"/>
                <w:szCs w:val="21"/>
              </w:rPr>
            </w:pPr>
          </w:p>
        </w:tc>
        <w:tc>
          <w:tcPr>
            <w:tcW w:w="635" w:type="dxa"/>
            <w:vMerge w:val="continue"/>
            <w:tcMar>
              <w:left w:w="28" w:type="dxa"/>
              <w:right w:w="28" w:type="dxa"/>
            </w:tcMar>
            <w:vAlign w:val="center"/>
          </w:tcPr>
          <w:p w14:paraId="1F9B45F4">
            <w:pPr>
              <w:adjustRightInd w:val="0"/>
              <w:snapToGrid w:val="0"/>
              <w:jc w:val="center"/>
              <w:rPr>
                <w:rFonts w:hint="eastAsia" w:hAnsi="宋体" w:cs="宋体"/>
                <w:color w:val="000000"/>
                <w:spacing w:val="-10"/>
                <w:sz w:val="21"/>
                <w:szCs w:val="21"/>
              </w:rPr>
            </w:pPr>
          </w:p>
        </w:tc>
        <w:tc>
          <w:tcPr>
            <w:tcW w:w="4257" w:type="dxa"/>
            <w:tcMar>
              <w:left w:w="28" w:type="dxa"/>
              <w:right w:w="28" w:type="dxa"/>
            </w:tcMar>
            <w:vAlign w:val="center"/>
          </w:tcPr>
          <w:p w14:paraId="6EA2594C">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1.4-3】危险化学品生产企业搬迁改造及新建化工项目必须进入国家及自治区各级人民政府正式批准设立，规划环评通过审查，规划通过审批且环保基础设施完善的工业园区，并符合国土空间规划产业发展规划和生态红线管控要求</w:t>
            </w:r>
          </w:p>
        </w:tc>
        <w:tc>
          <w:tcPr>
            <w:tcW w:w="3097" w:type="dxa"/>
            <w:tcMar>
              <w:left w:w="28" w:type="dxa"/>
              <w:right w:w="28" w:type="dxa"/>
            </w:tcMar>
            <w:vAlign w:val="center"/>
          </w:tcPr>
          <w:p w14:paraId="7251EB31">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拟建工程不属于危险化学品生产企业搬迁改造及新建化工项目</w:t>
            </w:r>
          </w:p>
        </w:tc>
        <w:tc>
          <w:tcPr>
            <w:tcW w:w="501" w:type="dxa"/>
            <w:tcMar>
              <w:left w:w="28" w:type="dxa"/>
              <w:right w:w="28" w:type="dxa"/>
            </w:tcMar>
            <w:vAlign w:val="center"/>
          </w:tcPr>
          <w:p w14:paraId="15859453">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AF28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60" w:hRule="atLeast"/>
          <w:jc w:val="center"/>
        </w:trPr>
        <w:tc>
          <w:tcPr>
            <w:tcW w:w="0" w:type="auto"/>
            <w:vMerge w:val="continue"/>
            <w:tcMar>
              <w:left w:w="28" w:type="dxa"/>
              <w:right w:w="28" w:type="dxa"/>
            </w:tcMar>
            <w:vAlign w:val="center"/>
          </w:tcPr>
          <w:p w14:paraId="174F7E05">
            <w:pPr>
              <w:autoSpaceDE w:val="0"/>
              <w:autoSpaceDN w:val="0"/>
              <w:adjustRightInd w:val="0"/>
              <w:snapToGrid w:val="0"/>
              <w:jc w:val="center"/>
              <w:rPr>
                <w:rFonts w:hint="eastAsia" w:hAnsi="宋体" w:cs="宋体"/>
                <w:color w:val="000000"/>
                <w:spacing w:val="-10"/>
                <w:kern w:val="0"/>
                <w:sz w:val="21"/>
                <w:szCs w:val="21"/>
              </w:rPr>
            </w:pPr>
            <w:bookmarkStart w:id="126" w:name="OLE_LINK29" w:colFirst="0" w:colLast="65"/>
            <w:bookmarkStart w:id="127" w:name="OLE_LINK30" w:colFirst="0" w:colLast="65"/>
            <w:bookmarkStart w:id="128" w:name="_Hlk193270955"/>
          </w:p>
        </w:tc>
        <w:tc>
          <w:tcPr>
            <w:tcW w:w="0" w:type="auto"/>
            <w:vMerge w:val="restart"/>
            <w:tcMar>
              <w:left w:w="28" w:type="dxa"/>
              <w:right w:w="28" w:type="dxa"/>
            </w:tcMar>
            <w:vAlign w:val="center"/>
          </w:tcPr>
          <w:p w14:paraId="6BF3BF5C">
            <w:pPr>
              <w:adjustRightInd w:val="0"/>
              <w:snapToGrid w:val="0"/>
              <w:jc w:val="center"/>
              <w:rPr>
                <w:rFonts w:hint="eastAsia" w:hAnsi="宋体" w:cs="宋体"/>
                <w:color w:val="000000"/>
                <w:spacing w:val="-10"/>
                <w:kern w:val="0"/>
                <w:sz w:val="21"/>
                <w:szCs w:val="21"/>
              </w:rPr>
            </w:pPr>
            <w:r>
              <w:rPr>
                <w:rFonts w:hint="eastAsia" w:hAnsi="宋体" w:cs="宋体"/>
                <w:color w:val="000000"/>
                <w:spacing w:val="-10"/>
                <w:kern w:val="0"/>
                <w:sz w:val="21"/>
                <w:szCs w:val="21"/>
              </w:rPr>
              <w:t>A2污染物排放管控</w:t>
            </w:r>
          </w:p>
        </w:tc>
        <w:tc>
          <w:tcPr>
            <w:tcW w:w="635" w:type="dxa"/>
            <w:vMerge w:val="restart"/>
            <w:tcMar>
              <w:left w:w="28" w:type="dxa"/>
              <w:right w:w="28" w:type="dxa"/>
            </w:tcMar>
            <w:vAlign w:val="center"/>
          </w:tcPr>
          <w:p w14:paraId="11C97E1D">
            <w:pPr>
              <w:adjustRightInd w:val="0"/>
              <w:snapToGrid w:val="0"/>
              <w:jc w:val="center"/>
              <w:rPr>
                <w:rFonts w:hint="eastAsia" w:hAnsi="宋体" w:cs="宋体"/>
                <w:color w:val="000000"/>
                <w:spacing w:val="-10"/>
                <w:kern w:val="0"/>
                <w:sz w:val="21"/>
                <w:szCs w:val="21"/>
              </w:rPr>
            </w:pPr>
            <w:r>
              <w:rPr>
                <w:rFonts w:hint="eastAsia" w:hAnsi="宋体" w:cs="宋体"/>
                <w:color w:val="000000"/>
                <w:spacing w:val="-10"/>
                <w:kern w:val="0"/>
                <w:sz w:val="21"/>
                <w:szCs w:val="21"/>
              </w:rPr>
              <w:t>A2.1污染物削减/替代要求</w:t>
            </w:r>
          </w:p>
        </w:tc>
        <w:tc>
          <w:tcPr>
            <w:tcW w:w="4257" w:type="dxa"/>
            <w:tcMar>
              <w:left w:w="28" w:type="dxa"/>
              <w:right w:w="28" w:type="dxa"/>
            </w:tcMar>
            <w:vAlign w:val="center"/>
          </w:tcPr>
          <w:p w14:paraId="038F5D62">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2.1-1】新、改、扩建重点行业建设项目应符合“三线一单”、产业政策、区域环评、规划环评和行业环境准入管控要求。重点区域的新、改、扩建重点行业建设项目应遵循重点重金属污染物排放“减量替代”原则。</w:t>
            </w:r>
          </w:p>
        </w:tc>
        <w:tc>
          <w:tcPr>
            <w:tcW w:w="3097" w:type="dxa"/>
            <w:tcMar>
              <w:left w:w="28" w:type="dxa"/>
              <w:right w:w="28" w:type="dxa"/>
            </w:tcMar>
            <w:vAlign w:val="center"/>
          </w:tcPr>
          <w:p w14:paraId="71A9A35D">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拟建工程属于石油天然气开采项目，不属于重点行业建设项目</w:t>
            </w:r>
          </w:p>
        </w:tc>
        <w:tc>
          <w:tcPr>
            <w:tcW w:w="501" w:type="dxa"/>
            <w:tcMar>
              <w:left w:w="28" w:type="dxa"/>
              <w:right w:w="28" w:type="dxa"/>
            </w:tcMar>
            <w:vAlign w:val="center"/>
          </w:tcPr>
          <w:p w14:paraId="22802D72">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符合</w:t>
            </w:r>
          </w:p>
        </w:tc>
      </w:tr>
      <w:bookmarkEnd w:id="126"/>
      <w:bookmarkEnd w:id="127"/>
      <w:bookmarkEnd w:id="128"/>
      <w:tr w14:paraId="398934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57" w:hRule="atLeast"/>
          <w:jc w:val="center"/>
        </w:trPr>
        <w:tc>
          <w:tcPr>
            <w:tcW w:w="0" w:type="auto"/>
            <w:vMerge w:val="continue"/>
            <w:tcMar>
              <w:left w:w="28" w:type="dxa"/>
              <w:right w:w="28" w:type="dxa"/>
            </w:tcMar>
            <w:vAlign w:val="center"/>
          </w:tcPr>
          <w:p w14:paraId="60D46773">
            <w:pPr>
              <w:adjustRightInd w:val="0"/>
              <w:snapToGrid w:val="0"/>
              <w:jc w:val="center"/>
              <w:rPr>
                <w:rFonts w:hint="eastAsia" w:hAnsi="宋体" w:cs="宋体"/>
                <w:color w:val="000000"/>
                <w:spacing w:val="-10"/>
                <w:sz w:val="21"/>
                <w:szCs w:val="21"/>
              </w:rPr>
            </w:pPr>
          </w:p>
        </w:tc>
        <w:tc>
          <w:tcPr>
            <w:tcW w:w="0" w:type="auto"/>
            <w:vMerge w:val="continue"/>
            <w:tcMar>
              <w:left w:w="28" w:type="dxa"/>
              <w:right w:w="28" w:type="dxa"/>
            </w:tcMar>
            <w:vAlign w:val="center"/>
          </w:tcPr>
          <w:p w14:paraId="45DF5157">
            <w:pPr>
              <w:adjustRightInd w:val="0"/>
              <w:snapToGrid w:val="0"/>
              <w:jc w:val="center"/>
              <w:rPr>
                <w:rFonts w:hint="eastAsia" w:hAnsi="宋体" w:cs="宋体"/>
                <w:color w:val="000000"/>
                <w:spacing w:val="-10"/>
                <w:sz w:val="21"/>
                <w:szCs w:val="21"/>
              </w:rPr>
            </w:pPr>
          </w:p>
        </w:tc>
        <w:tc>
          <w:tcPr>
            <w:tcW w:w="635" w:type="dxa"/>
            <w:vMerge w:val="continue"/>
            <w:tcMar>
              <w:left w:w="28" w:type="dxa"/>
              <w:right w:w="28" w:type="dxa"/>
            </w:tcMar>
            <w:vAlign w:val="center"/>
          </w:tcPr>
          <w:p w14:paraId="29299B28">
            <w:pPr>
              <w:adjustRightInd w:val="0"/>
              <w:snapToGrid w:val="0"/>
              <w:jc w:val="center"/>
              <w:rPr>
                <w:rFonts w:hint="eastAsia" w:hAnsi="宋体" w:cs="宋体"/>
                <w:color w:val="000000"/>
                <w:spacing w:val="-10"/>
                <w:sz w:val="21"/>
                <w:szCs w:val="21"/>
              </w:rPr>
            </w:pPr>
          </w:p>
        </w:tc>
        <w:tc>
          <w:tcPr>
            <w:tcW w:w="4257" w:type="dxa"/>
            <w:tcMar>
              <w:left w:w="28" w:type="dxa"/>
              <w:right w:w="28" w:type="dxa"/>
            </w:tcMar>
            <w:vAlign w:val="center"/>
          </w:tcPr>
          <w:p w14:paraId="5D1BDD53">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【A2.1-2】以石化、化工、涂装、医药、包装印刷、油品储运销等行业领域为重点，安全高效推进挥发性有机物综合治理，实施原辅材料和产品源头替代工程。</w:t>
            </w:r>
          </w:p>
        </w:tc>
        <w:tc>
          <w:tcPr>
            <w:tcW w:w="3097" w:type="dxa"/>
            <w:tcMar>
              <w:left w:w="28" w:type="dxa"/>
              <w:right w:w="28" w:type="dxa"/>
            </w:tcMar>
            <w:vAlign w:val="center"/>
          </w:tcPr>
          <w:p w14:paraId="4A0CB805">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拟建工程运营期间无废气产生</w:t>
            </w:r>
          </w:p>
        </w:tc>
        <w:tc>
          <w:tcPr>
            <w:tcW w:w="501" w:type="dxa"/>
            <w:tcMar>
              <w:left w:w="28" w:type="dxa"/>
              <w:right w:w="28" w:type="dxa"/>
            </w:tcMar>
            <w:vAlign w:val="center"/>
          </w:tcPr>
          <w:p w14:paraId="0BD135B1">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w:t>
            </w:r>
          </w:p>
        </w:tc>
      </w:tr>
      <w:tr w14:paraId="1009D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tcMar>
              <w:left w:w="28" w:type="dxa"/>
              <w:right w:w="28" w:type="dxa"/>
            </w:tcMar>
            <w:vAlign w:val="center"/>
          </w:tcPr>
          <w:p w14:paraId="3BA68792">
            <w:pPr>
              <w:autoSpaceDE w:val="0"/>
              <w:autoSpaceDN w:val="0"/>
              <w:adjustRightInd w:val="0"/>
              <w:snapToGrid w:val="0"/>
              <w:jc w:val="center"/>
              <w:rPr>
                <w:rFonts w:hint="eastAsia" w:hAnsi="宋体" w:cs="宋体"/>
                <w:color w:val="000000"/>
                <w:spacing w:val="-10"/>
                <w:kern w:val="0"/>
                <w:sz w:val="21"/>
                <w:szCs w:val="21"/>
              </w:rPr>
            </w:pPr>
          </w:p>
        </w:tc>
        <w:tc>
          <w:tcPr>
            <w:tcW w:w="0" w:type="auto"/>
            <w:vMerge w:val="continue"/>
            <w:tcMar>
              <w:left w:w="28" w:type="dxa"/>
              <w:right w:w="28" w:type="dxa"/>
            </w:tcMar>
            <w:vAlign w:val="center"/>
          </w:tcPr>
          <w:p w14:paraId="48C844C2">
            <w:pPr>
              <w:adjustRightInd w:val="0"/>
              <w:snapToGrid w:val="0"/>
              <w:jc w:val="center"/>
              <w:rPr>
                <w:rFonts w:hint="eastAsia" w:hAnsi="宋体" w:cs="宋体"/>
                <w:color w:val="000000"/>
                <w:spacing w:val="-10"/>
                <w:kern w:val="0"/>
                <w:sz w:val="21"/>
                <w:szCs w:val="21"/>
              </w:rPr>
            </w:pPr>
          </w:p>
        </w:tc>
        <w:tc>
          <w:tcPr>
            <w:tcW w:w="635" w:type="dxa"/>
            <w:vMerge w:val="continue"/>
            <w:tcMar>
              <w:left w:w="28" w:type="dxa"/>
              <w:right w:w="28" w:type="dxa"/>
            </w:tcMar>
            <w:vAlign w:val="center"/>
          </w:tcPr>
          <w:p w14:paraId="072EE415">
            <w:pPr>
              <w:adjustRightInd w:val="0"/>
              <w:snapToGrid w:val="0"/>
              <w:jc w:val="center"/>
              <w:rPr>
                <w:rFonts w:hint="eastAsia" w:hAnsi="宋体" w:cs="宋体"/>
                <w:color w:val="000000"/>
                <w:spacing w:val="-10"/>
                <w:kern w:val="0"/>
                <w:sz w:val="21"/>
                <w:szCs w:val="21"/>
              </w:rPr>
            </w:pPr>
          </w:p>
        </w:tc>
        <w:tc>
          <w:tcPr>
            <w:tcW w:w="4257" w:type="dxa"/>
            <w:tcMar>
              <w:left w:w="28" w:type="dxa"/>
              <w:right w:w="28" w:type="dxa"/>
            </w:tcMar>
            <w:vAlign w:val="center"/>
          </w:tcPr>
          <w:p w14:paraId="41007FA4">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2.1-3】促进大气污染物与温室气体协同控制。实施污染物和温室气体协同控制，实现减污降碳协同效应。开展工业、农业温室气体和污染减排协同控制研究，减少温室气体和污染物排放。强化污水、垃圾等集中处置设施环境管理，协同控制氢氟碳化物、甲烷、氧化亚氮等温室气体。加强节约能源与大气污染防治协同有效衔接促进大气污染防治协同增效。</w:t>
            </w:r>
          </w:p>
        </w:tc>
        <w:tc>
          <w:tcPr>
            <w:tcW w:w="3097" w:type="dxa"/>
            <w:tcMar>
              <w:left w:w="28" w:type="dxa"/>
              <w:right w:w="28" w:type="dxa"/>
            </w:tcMar>
            <w:vAlign w:val="center"/>
          </w:tcPr>
          <w:p w14:paraId="3C66E7C2">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拟建工程提出了相关降碳措施，具体见“7.2 减污降碳措施”</w:t>
            </w:r>
          </w:p>
        </w:tc>
        <w:tc>
          <w:tcPr>
            <w:tcW w:w="501" w:type="dxa"/>
            <w:tcMar>
              <w:left w:w="28" w:type="dxa"/>
              <w:right w:w="28" w:type="dxa"/>
            </w:tcMar>
            <w:vAlign w:val="center"/>
          </w:tcPr>
          <w:p w14:paraId="62B8D025">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w:t>
            </w:r>
          </w:p>
        </w:tc>
      </w:tr>
      <w:tr w14:paraId="73C00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61" w:type="dxa"/>
            <w:vMerge w:val="continue"/>
            <w:tcMar>
              <w:left w:w="28" w:type="dxa"/>
              <w:right w:w="28" w:type="dxa"/>
            </w:tcMar>
            <w:vAlign w:val="center"/>
          </w:tcPr>
          <w:p w14:paraId="669E3650">
            <w:pPr>
              <w:autoSpaceDE w:val="0"/>
              <w:autoSpaceDN w:val="0"/>
              <w:adjustRightInd w:val="0"/>
              <w:snapToGrid w:val="0"/>
              <w:jc w:val="center"/>
              <w:rPr>
                <w:rFonts w:hint="eastAsia" w:hAnsi="宋体" w:cs="宋体"/>
                <w:color w:val="000000"/>
                <w:spacing w:val="-10"/>
                <w:kern w:val="0"/>
                <w:sz w:val="21"/>
                <w:szCs w:val="21"/>
              </w:rPr>
            </w:pPr>
          </w:p>
        </w:tc>
        <w:tc>
          <w:tcPr>
            <w:tcW w:w="260" w:type="dxa"/>
            <w:vMerge w:val="continue"/>
            <w:tcMar>
              <w:left w:w="28" w:type="dxa"/>
              <w:right w:w="28" w:type="dxa"/>
            </w:tcMar>
            <w:vAlign w:val="center"/>
          </w:tcPr>
          <w:p w14:paraId="3C1C1B96">
            <w:pPr>
              <w:adjustRightInd w:val="0"/>
              <w:snapToGrid w:val="0"/>
              <w:jc w:val="center"/>
              <w:rPr>
                <w:rFonts w:hint="eastAsia" w:hAnsi="宋体" w:cs="宋体"/>
                <w:color w:val="000000"/>
                <w:spacing w:val="-10"/>
                <w:kern w:val="0"/>
                <w:sz w:val="21"/>
                <w:szCs w:val="21"/>
              </w:rPr>
            </w:pPr>
          </w:p>
        </w:tc>
        <w:tc>
          <w:tcPr>
            <w:tcW w:w="635" w:type="dxa"/>
            <w:vMerge w:val="continue"/>
            <w:tcMar>
              <w:left w:w="28" w:type="dxa"/>
              <w:right w:w="28" w:type="dxa"/>
            </w:tcMar>
            <w:vAlign w:val="center"/>
          </w:tcPr>
          <w:p w14:paraId="1B157D08">
            <w:pPr>
              <w:adjustRightInd w:val="0"/>
              <w:snapToGrid w:val="0"/>
              <w:jc w:val="center"/>
              <w:rPr>
                <w:rFonts w:hint="eastAsia" w:hAnsi="宋体" w:cs="宋体"/>
                <w:color w:val="000000"/>
                <w:spacing w:val="-10"/>
                <w:kern w:val="0"/>
                <w:sz w:val="21"/>
                <w:szCs w:val="21"/>
              </w:rPr>
            </w:pPr>
          </w:p>
        </w:tc>
        <w:tc>
          <w:tcPr>
            <w:tcW w:w="4257" w:type="dxa"/>
            <w:tcMar>
              <w:left w:w="28" w:type="dxa"/>
              <w:right w:w="28" w:type="dxa"/>
            </w:tcMar>
            <w:vAlign w:val="center"/>
          </w:tcPr>
          <w:p w14:paraId="3CFC5873">
            <w:pPr>
              <w:adjustRightInd w:val="0"/>
              <w:snapToGrid w:val="0"/>
              <w:jc w:val="left"/>
              <w:rPr>
                <w:rFonts w:hint="eastAsia" w:hAnsi="宋体" w:cs="宋体"/>
                <w:color w:val="000000"/>
                <w:spacing w:val="-10"/>
                <w:kern w:val="0"/>
                <w:sz w:val="21"/>
                <w:szCs w:val="21"/>
              </w:rPr>
            </w:pPr>
            <w:r>
              <w:rPr>
                <w:rFonts w:hint="eastAsia" w:hAnsi="宋体" w:cs="宋体"/>
                <w:color w:val="000000"/>
                <w:spacing w:val="-10"/>
                <w:kern w:val="0"/>
                <w:sz w:val="21"/>
                <w:szCs w:val="21"/>
              </w:rPr>
              <w:t>【A2.1-4】严控建材、铸造、冶炼等行业无组织排放，推进石化、化工、涂装、医药、包装印刷、油品储运销等行业项目挥发性有机物（V0Cs）防治。严格有色金属冶炼、石油加工、化工、焦化等行业项目的土壤、地下水污染防治措施要求。推进工业园区和企业集群建设涉V0Cs“绿岛”项目，统筹规划建设一批集中涂装中心、活性炭集中处理中心、溶剂回收中心等，实现V0Cs集中高效处理。</w:t>
            </w:r>
          </w:p>
        </w:tc>
        <w:tc>
          <w:tcPr>
            <w:tcW w:w="3097" w:type="dxa"/>
            <w:tcMar>
              <w:left w:w="28" w:type="dxa"/>
              <w:right w:w="28" w:type="dxa"/>
            </w:tcMar>
            <w:vAlign w:val="center"/>
          </w:tcPr>
          <w:p w14:paraId="0DB6CB13">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拟建工程营运期间无废气产生</w:t>
            </w:r>
          </w:p>
        </w:tc>
        <w:tc>
          <w:tcPr>
            <w:tcW w:w="501" w:type="dxa"/>
            <w:tcMar>
              <w:left w:w="28" w:type="dxa"/>
              <w:right w:w="28" w:type="dxa"/>
            </w:tcMar>
            <w:vAlign w:val="center"/>
          </w:tcPr>
          <w:p w14:paraId="3F32E9D3">
            <w:pPr>
              <w:adjustRightInd w:val="0"/>
              <w:snapToGrid w:val="0"/>
              <w:jc w:val="left"/>
              <w:rPr>
                <w:rFonts w:hint="eastAsia" w:hAnsi="宋体" w:cs="宋体"/>
                <w:color w:val="000000"/>
                <w:spacing w:val="-10"/>
                <w:sz w:val="21"/>
                <w:szCs w:val="21"/>
              </w:rPr>
            </w:pPr>
            <w:r>
              <w:rPr>
                <w:rFonts w:hint="eastAsia" w:hAnsi="宋体" w:cs="宋体"/>
                <w:color w:val="000000"/>
                <w:spacing w:val="-10"/>
                <w:sz w:val="21"/>
                <w:szCs w:val="21"/>
              </w:rPr>
              <w:t>--</w:t>
            </w:r>
          </w:p>
        </w:tc>
      </w:tr>
    </w:tbl>
    <w:p w14:paraId="00D36385">
      <w:pPr>
        <w:adjustRightInd w:val="0"/>
        <w:spacing w:line="480" w:lineRule="exact"/>
        <w:ind w:firstLine="383" w:firstLineChars="146"/>
        <w:rPr>
          <w:rFonts w:hint="eastAsia" w:ascii="黑体" w:hAnsi="黑体" w:eastAsia="黑体"/>
          <w:color w:val="000000"/>
          <w:szCs w:val="24"/>
        </w:rPr>
      </w:pPr>
      <w:r>
        <w:rPr>
          <w:color w:val="000000"/>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63"/>
        <w:gridCol w:w="465"/>
        <w:gridCol w:w="563"/>
        <w:gridCol w:w="4783"/>
        <w:gridCol w:w="2227"/>
        <w:gridCol w:w="514"/>
      </w:tblGrid>
      <w:tr w14:paraId="78F4F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7" w:type="pct"/>
            <w:tcMar>
              <w:left w:w="28" w:type="dxa"/>
              <w:right w:w="28" w:type="dxa"/>
            </w:tcMar>
            <w:vAlign w:val="center"/>
          </w:tcPr>
          <w:p w14:paraId="01492CB0">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3223" w:type="pct"/>
            <w:gridSpan w:val="3"/>
            <w:tcMar>
              <w:left w:w="28" w:type="dxa"/>
              <w:right w:w="28" w:type="dxa"/>
            </w:tcMar>
            <w:vAlign w:val="center"/>
          </w:tcPr>
          <w:p w14:paraId="5C288807">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235" w:type="pct"/>
            <w:tcMar>
              <w:left w:w="28" w:type="dxa"/>
              <w:right w:w="28" w:type="dxa"/>
            </w:tcMar>
            <w:vAlign w:val="center"/>
          </w:tcPr>
          <w:p w14:paraId="41BDE8D9">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285" w:type="pct"/>
            <w:tcMar>
              <w:left w:w="28" w:type="dxa"/>
              <w:right w:w="28" w:type="dxa"/>
            </w:tcMar>
            <w:vAlign w:val="center"/>
          </w:tcPr>
          <w:p w14:paraId="7041123D">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tr w14:paraId="2B2B4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5" w:hRule="atLeast"/>
          <w:jc w:val="center"/>
        </w:trPr>
        <w:tc>
          <w:tcPr>
            <w:tcW w:w="257" w:type="pct"/>
            <w:vMerge w:val="restart"/>
            <w:tcMar>
              <w:left w:w="28" w:type="dxa"/>
              <w:right w:w="28" w:type="dxa"/>
            </w:tcMar>
            <w:vAlign w:val="center"/>
          </w:tcPr>
          <w:p w14:paraId="4D400B73">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8" w:type="pct"/>
            <w:vMerge w:val="restart"/>
            <w:tcMar>
              <w:left w:w="28" w:type="dxa"/>
              <w:right w:w="28" w:type="dxa"/>
            </w:tcMar>
            <w:vAlign w:val="center"/>
          </w:tcPr>
          <w:p w14:paraId="0FCBB363">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A2污染物排放管控</w:t>
            </w:r>
          </w:p>
        </w:tc>
        <w:tc>
          <w:tcPr>
            <w:tcW w:w="312" w:type="pct"/>
            <w:vMerge w:val="restart"/>
            <w:tcMar>
              <w:left w:w="28" w:type="dxa"/>
              <w:right w:w="28" w:type="dxa"/>
            </w:tcMar>
            <w:vAlign w:val="center"/>
          </w:tcPr>
          <w:p w14:paraId="7C14798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A2.2污染控制措施要求</w:t>
            </w:r>
          </w:p>
        </w:tc>
        <w:tc>
          <w:tcPr>
            <w:tcW w:w="2653" w:type="pct"/>
            <w:tcMar>
              <w:left w:w="28" w:type="dxa"/>
              <w:right w:w="28" w:type="dxa"/>
            </w:tcMar>
            <w:vAlign w:val="center"/>
          </w:tcPr>
          <w:p w14:paraId="2B88348B">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-1】推动能源、钢铁、建材、有色、电力、化工等重点领域技术升级，控制工业过程温室气体排放，推动工业领域绿色低碳发展。积极鼓励发展二氧化碳捕集利用与封存等低碳技术。促进大气污染物与温室气体协同控制。实施污染物和温室气体协同控制，实现减污降碳协同效应。强化污水、垃圾等集中处置设施环境管理，协同控制氢氟碳化物、甲烷、氧化亚氮等温室气体。加强节约能源与大气污染防治协同有效衔接，促进大气污染防治协同增效。</w:t>
            </w:r>
          </w:p>
        </w:tc>
        <w:tc>
          <w:tcPr>
            <w:tcW w:w="1235" w:type="pct"/>
            <w:tcMar>
              <w:left w:w="28" w:type="dxa"/>
              <w:right w:w="28" w:type="dxa"/>
            </w:tcMar>
            <w:vAlign w:val="center"/>
          </w:tcPr>
          <w:p w14:paraId="2DC329F4">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能源、钢铁、建材、有色、电力、化工等重点领域</w:t>
            </w:r>
          </w:p>
        </w:tc>
        <w:tc>
          <w:tcPr>
            <w:tcW w:w="285" w:type="pct"/>
            <w:tcMar>
              <w:left w:w="28" w:type="dxa"/>
              <w:right w:w="28" w:type="dxa"/>
            </w:tcMar>
            <w:vAlign w:val="center"/>
          </w:tcPr>
          <w:p w14:paraId="1919119B">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4276E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053" w:hRule="atLeast"/>
          <w:jc w:val="center"/>
        </w:trPr>
        <w:tc>
          <w:tcPr>
            <w:tcW w:w="257" w:type="pct"/>
            <w:vMerge w:val="continue"/>
            <w:tcMar>
              <w:left w:w="28" w:type="dxa"/>
              <w:right w:w="28" w:type="dxa"/>
            </w:tcMar>
            <w:vAlign w:val="center"/>
          </w:tcPr>
          <w:p w14:paraId="15C49F84">
            <w:pPr>
              <w:autoSpaceDE w:val="0"/>
              <w:autoSpaceDN w:val="0"/>
              <w:adjustRightInd w:val="0"/>
              <w:spacing w:line="0" w:lineRule="atLeast"/>
              <w:jc w:val="center"/>
              <w:rPr>
                <w:rFonts w:hint="eastAsia" w:hAnsi="宋体" w:cs="宋体"/>
                <w:color w:val="000000"/>
                <w:spacing w:val="-10"/>
                <w:kern w:val="0"/>
                <w:sz w:val="21"/>
                <w:szCs w:val="21"/>
              </w:rPr>
            </w:pPr>
            <w:bookmarkStart w:id="129" w:name="OLE_LINK31" w:colFirst="0" w:colLast="66"/>
            <w:bookmarkStart w:id="130" w:name="_Hlk193270986"/>
            <w:bookmarkStart w:id="131" w:name="OLE_LINK32" w:colFirst="0" w:colLast="66"/>
          </w:p>
        </w:tc>
        <w:tc>
          <w:tcPr>
            <w:tcW w:w="258" w:type="pct"/>
            <w:vMerge w:val="continue"/>
            <w:tcMar>
              <w:left w:w="28" w:type="dxa"/>
              <w:right w:w="28" w:type="dxa"/>
            </w:tcMar>
            <w:vAlign w:val="center"/>
          </w:tcPr>
          <w:p w14:paraId="63634489">
            <w:pPr>
              <w:adjustRightInd w:val="0"/>
              <w:spacing w:line="0" w:lineRule="atLeast"/>
              <w:jc w:val="center"/>
              <w:rPr>
                <w:rFonts w:hint="eastAsia" w:hAnsi="宋体" w:cs="宋体"/>
                <w:color w:val="000000"/>
                <w:spacing w:val="-10"/>
                <w:kern w:val="0"/>
                <w:sz w:val="21"/>
                <w:szCs w:val="21"/>
              </w:rPr>
            </w:pPr>
          </w:p>
        </w:tc>
        <w:tc>
          <w:tcPr>
            <w:tcW w:w="312" w:type="pct"/>
            <w:vMerge w:val="continue"/>
            <w:tcMar>
              <w:left w:w="28" w:type="dxa"/>
              <w:right w:w="28" w:type="dxa"/>
            </w:tcMar>
            <w:vAlign w:val="center"/>
          </w:tcPr>
          <w:p w14:paraId="4DF31B0B">
            <w:pPr>
              <w:adjustRightInd w:val="0"/>
              <w:spacing w:line="0" w:lineRule="atLeast"/>
              <w:jc w:val="center"/>
              <w:rPr>
                <w:rFonts w:hint="eastAsia" w:hAnsi="宋体" w:cs="宋体"/>
                <w:color w:val="000000"/>
                <w:spacing w:val="-10"/>
                <w:kern w:val="0"/>
                <w:sz w:val="21"/>
                <w:szCs w:val="21"/>
              </w:rPr>
            </w:pPr>
          </w:p>
        </w:tc>
        <w:tc>
          <w:tcPr>
            <w:tcW w:w="2653" w:type="pct"/>
            <w:tcMar>
              <w:left w:w="28" w:type="dxa"/>
              <w:right w:w="28" w:type="dxa"/>
            </w:tcMar>
            <w:vAlign w:val="center"/>
          </w:tcPr>
          <w:p w14:paraId="2F80D076">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【A2.2-2】实施重点行业氮氧化物等污染物深度治理。</w:t>
            </w:r>
          </w:p>
          <w:p w14:paraId="2E2C2145">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钢铁、水泥、焦化行业超低排放改造。推进玻璃、陶瓷、铸造、铁合金、有色、煤化和石化等行业采取清洁生产、提标改造、深度治理等综合措施。加强自备燃煤机组污染治理设施运行管控，确保按照超低排放标准运行。针对铸造、铁合金、焦化、水泥、砖瓦、石灰耐火材料、金属冶炼以及煤化工、石油化工等行业，严格控制物料储存、输送及生产工艺过程无组织排放。重点涉气排放企业逐步取消烟气旁路，因安全生产无法取消的，安装在线监控系统。</w:t>
            </w:r>
          </w:p>
        </w:tc>
        <w:tc>
          <w:tcPr>
            <w:tcW w:w="1235" w:type="pct"/>
            <w:tcMar>
              <w:left w:w="28" w:type="dxa"/>
              <w:right w:w="28" w:type="dxa"/>
            </w:tcMar>
            <w:vAlign w:val="center"/>
          </w:tcPr>
          <w:p w14:paraId="6DA5755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85" w:type="pct"/>
            <w:tcMar>
              <w:left w:w="28" w:type="dxa"/>
              <w:right w:w="28" w:type="dxa"/>
            </w:tcMar>
            <w:vAlign w:val="center"/>
          </w:tcPr>
          <w:p w14:paraId="2BD4ACD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bookmarkEnd w:id="129"/>
      <w:bookmarkEnd w:id="130"/>
      <w:bookmarkEnd w:id="131"/>
      <w:tr w14:paraId="5C966B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508" w:hRule="atLeast"/>
          <w:jc w:val="center"/>
        </w:trPr>
        <w:tc>
          <w:tcPr>
            <w:tcW w:w="257" w:type="pct"/>
            <w:vMerge w:val="continue"/>
            <w:tcMar>
              <w:left w:w="28" w:type="dxa"/>
              <w:right w:w="28" w:type="dxa"/>
            </w:tcMar>
            <w:vAlign w:val="center"/>
          </w:tcPr>
          <w:p w14:paraId="5D5146E7">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47E9C40F">
            <w:pPr>
              <w:adjustRightInd w:val="0"/>
              <w:spacing w:line="0" w:lineRule="atLeast"/>
              <w:jc w:val="center"/>
              <w:rPr>
                <w:rFonts w:hint="eastAsia" w:hAnsi="宋体" w:cs="宋体"/>
                <w:color w:val="000000"/>
                <w:spacing w:val="-10"/>
                <w:kern w:val="0"/>
                <w:sz w:val="21"/>
                <w:szCs w:val="21"/>
              </w:rPr>
            </w:pPr>
          </w:p>
        </w:tc>
        <w:tc>
          <w:tcPr>
            <w:tcW w:w="312" w:type="pct"/>
            <w:vMerge w:val="continue"/>
            <w:tcMar>
              <w:left w:w="28" w:type="dxa"/>
              <w:right w:w="28" w:type="dxa"/>
            </w:tcMar>
            <w:vAlign w:val="center"/>
          </w:tcPr>
          <w:p w14:paraId="0B1BAC6B">
            <w:pPr>
              <w:adjustRightInd w:val="0"/>
              <w:spacing w:line="0" w:lineRule="atLeast"/>
              <w:jc w:val="center"/>
              <w:rPr>
                <w:rFonts w:hint="eastAsia" w:hAnsi="宋体" w:cs="宋体"/>
                <w:color w:val="000000"/>
                <w:spacing w:val="-10"/>
                <w:kern w:val="0"/>
                <w:sz w:val="21"/>
                <w:szCs w:val="21"/>
              </w:rPr>
            </w:pPr>
          </w:p>
        </w:tc>
        <w:tc>
          <w:tcPr>
            <w:tcW w:w="2653" w:type="pct"/>
            <w:tcMar>
              <w:left w:w="28" w:type="dxa"/>
              <w:right w:w="28" w:type="dxa"/>
            </w:tcMar>
            <w:vAlign w:val="center"/>
          </w:tcPr>
          <w:p w14:paraId="096A0F8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-3】强化重点区域大气污染联防联控，合理确定产业布局，推动区域内统一产业准入和排放标准。实施水泥行业错峰生产，推进散煤整治、挥发性有机污染物综合治理、钢铁、水泥、焦化和燃煤工业锅炉行业超低排放改造、燃气锅炉低氮燃烧改造、工业园区内轨道运输（大宗货物“公转铁”）、柴油货车治理、锅炉炉窑综合治理等工程项目。全面推行绿色施工，持续推动城市建成区重污染企业搬迁或关闭退出。</w:t>
            </w:r>
          </w:p>
        </w:tc>
        <w:tc>
          <w:tcPr>
            <w:tcW w:w="1235" w:type="pct"/>
            <w:tcMar>
              <w:left w:w="28" w:type="dxa"/>
              <w:right w:w="28" w:type="dxa"/>
            </w:tcMar>
            <w:vAlign w:val="center"/>
          </w:tcPr>
          <w:p w14:paraId="29C3C6E1">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85" w:type="pct"/>
            <w:tcMar>
              <w:left w:w="28" w:type="dxa"/>
              <w:right w:w="28" w:type="dxa"/>
            </w:tcMar>
            <w:vAlign w:val="center"/>
          </w:tcPr>
          <w:p w14:paraId="57C1E40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7F548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68" w:hRule="atLeast"/>
          <w:jc w:val="center"/>
        </w:trPr>
        <w:tc>
          <w:tcPr>
            <w:tcW w:w="257" w:type="pct"/>
            <w:vMerge w:val="continue"/>
            <w:tcMar>
              <w:left w:w="28" w:type="dxa"/>
              <w:right w:w="28" w:type="dxa"/>
            </w:tcMar>
            <w:vAlign w:val="center"/>
          </w:tcPr>
          <w:p w14:paraId="4A8C6009">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319140D8">
            <w:pPr>
              <w:adjustRightInd w:val="0"/>
              <w:spacing w:line="0" w:lineRule="atLeast"/>
              <w:jc w:val="center"/>
              <w:rPr>
                <w:rFonts w:hint="eastAsia" w:hAnsi="宋体" w:cs="宋体"/>
                <w:color w:val="000000"/>
                <w:spacing w:val="-10"/>
                <w:kern w:val="0"/>
                <w:sz w:val="21"/>
                <w:szCs w:val="21"/>
              </w:rPr>
            </w:pPr>
          </w:p>
        </w:tc>
        <w:tc>
          <w:tcPr>
            <w:tcW w:w="312" w:type="pct"/>
            <w:vMerge w:val="continue"/>
            <w:tcMar>
              <w:left w:w="28" w:type="dxa"/>
              <w:right w:w="28" w:type="dxa"/>
            </w:tcMar>
            <w:vAlign w:val="center"/>
          </w:tcPr>
          <w:p w14:paraId="275D20E2">
            <w:pPr>
              <w:adjustRightInd w:val="0"/>
              <w:spacing w:line="0" w:lineRule="atLeast"/>
              <w:jc w:val="center"/>
              <w:rPr>
                <w:rFonts w:hint="eastAsia" w:hAnsi="宋体" w:cs="宋体"/>
                <w:color w:val="000000"/>
                <w:spacing w:val="-10"/>
                <w:kern w:val="0"/>
                <w:sz w:val="21"/>
                <w:szCs w:val="21"/>
              </w:rPr>
            </w:pPr>
          </w:p>
        </w:tc>
        <w:tc>
          <w:tcPr>
            <w:tcW w:w="2653" w:type="pct"/>
            <w:tcMar>
              <w:left w:w="28" w:type="dxa"/>
              <w:right w:w="28" w:type="dxa"/>
            </w:tcMar>
            <w:vAlign w:val="center"/>
          </w:tcPr>
          <w:p w14:paraId="78DFF210">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【A2.2-4】强化用水定额管理。推进地下水超采综合治理。开展河湖生态流量（水量）确定工作，强化生态用水保障。</w:t>
            </w:r>
          </w:p>
        </w:tc>
        <w:tc>
          <w:tcPr>
            <w:tcW w:w="1235" w:type="pct"/>
            <w:tcMar>
              <w:left w:w="28" w:type="dxa"/>
              <w:right w:w="28" w:type="dxa"/>
            </w:tcMar>
            <w:vAlign w:val="center"/>
          </w:tcPr>
          <w:p w14:paraId="310E4679">
            <w:pPr>
              <w:adjustRightInd w:val="0"/>
              <w:spacing w:line="0" w:lineRule="atLeast"/>
              <w:rPr>
                <w:rFonts w:hint="eastAsia" w:hAnsi="宋体" w:cs="宋体"/>
                <w:color w:val="000000"/>
                <w:spacing w:val="-10"/>
                <w:sz w:val="21"/>
                <w:szCs w:val="21"/>
              </w:rPr>
            </w:pPr>
            <w:r>
              <w:rPr>
                <w:rFonts w:hint="eastAsia" w:hAnsi="宋体" w:cs="宋体"/>
                <w:color w:val="000000"/>
                <w:spacing w:val="-10"/>
                <w:kern w:val="0"/>
                <w:sz w:val="21"/>
                <w:szCs w:val="21"/>
              </w:rPr>
              <w:t>拟建工程施工期中采取节水措施，用水量较小，管道试压废水进行综合利用，节约了水资源；运营期不新增用水，不会超过用水总量控制指标</w:t>
            </w:r>
          </w:p>
        </w:tc>
        <w:tc>
          <w:tcPr>
            <w:tcW w:w="285" w:type="pct"/>
            <w:tcMar>
              <w:left w:w="28" w:type="dxa"/>
              <w:right w:w="28" w:type="dxa"/>
            </w:tcMar>
            <w:vAlign w:val="center"/>
          </w:tcPr>
          <w:p w14:paraId="2618FC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78556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49" w:hRule="atLeast"/>
          <w:jc w:val="center"/>
        </w:trPr>
        <w:tc>
          <w:tcPr>
            <w:tcW w:w="257" w:type="pct"/>
            <w:vMerge w:val="continue"/>
            <w:tcMar>
              <w:left w:w="28" w:type="dxa"/>
              <w:right w:w="28" w:type="dxa"/>
            </w:tcMar>
            <w:vAlign w:val="center"/>
          </w:tcPr>
          <w:p w14:paraId="1FCB42CA">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52325ADD">
            <w:pPr>
              <w:adjustRightInd w:val="0"/>
              <w:spacing w:line="0" w:lineRule="atLeast"/>
              <w:jc w:val="center"/>
              <w:rPr>
                <w:rFonts w:hint="eastAsia" w:hAnsi="宋体" w:cs="宋体"/>
                <w:color w:val="000000"/>
                <w:spacing w:val="-10"/>
                <w:kern w:val="0"/>
                <w:sz w:val="21"/>
                <w:szCs w:val="21"/>
              </w:rPr>
            </w:pPr>
          </w:p>
        </w:tc>
        <w:tc>
          <w:tcPr>
            <w:tcW w:w="312" w:type="pct"/>
            <w:vMerge w:val="continue"/>
            <w:tcMar>
              <w:left w:w="28" w:type="dxa"/>
              <w:right w:w="28" w:type="dxa"/>
            </w:tcMar>
            <w:vAlign w:val="center"/>
          </w:tcPr>
          <w:p w14:paraId="499A1829">
            <w:pPr>
              <w:adjustRightInd w:val="0"/>
              <w:spacing w:line="0" w:lineRule="atLeast"/>
              <w:jc w:val="center"/>
              <w:rPr>
                <w:rFonts w:hint="eastAsia" w:hAnsi="宋体" w:cs="宋体"/>
                <w:color w:val="000000"/>
                <w:spacing w:val="-10"/>
                <w:kern w:val="0"/>
                <w:sz w:val="21"/>
                <w:szCs w:val="21"/>
              </w:rPr>
            </w:pPr>
          </w:p>
        </w:tc>
        <w:tc>
          <w:tcPr>
            <w:tcW w:w="2653" w:type="pct"/>
            <w:tcMar>
              <w:left w:w="28" w:type="dxa"/>
              <w:right w:w="28" w:type="dxa"/>
            </w:tcMar>
            <w:vAlign w:val="center"/>
          </w:tcPr>
          <w:p w14:paraId="2E8AD13B">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-5】持续推进伊犁河、额尔齐斯河、额敏河、玛纳斯河、乌伦古湖、博斯腾湖等流域生态治理，加强生态修复。推动重点行业重点企业绿色发展，严格落实水污染物排放标准。加强农副食品加工、化工、印染、棉浆粕、粘胶纤维等企业综合治理和清洁化改造。</w:t>
            </w:r>
          </w:p>
        </w:tc>
        <w:tc>
          <w:tcPr>
            <w:tcW w:w="1235" w:type="pct"/>
            <w:tcMar>
              <w:left w:w="28" w:type="dxa"/>
              <w:right w:w="28" w:type="dxa"/>
            </w:tcMar>
            <w:vAlign w:val="center"/>
          </w:tcPr>
          <w:p w14:paraId="10CFFEE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85" w:type="pct"/>
            <w:tcMar>
              <w:left w:w="28" w:type="dxa"/>
              <w:right w:w="28" w:type="dxa"/>
            </w:tcMar>
            <w:vAlign w:val="center"/>
          </w:tcPr>
          <w:p w14:paraId="1952DA5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5986CD53">
      <w:pPr>
        <w:adjustRightInd w:val="0"/>
        <w:spacing w:line="480" w:lineRule="exact"/>
        <w:ind w:firstLine="383" w:firstLineChars="146"/>
        <w:rPr>
          <w:rFonts w:hint="eastAsia" w:ascii="黑体" w:hAnsi="黑体" w:eastAsia="黑体"/>
          <w:color w:val="000000"/>
          <w:szCs w:val="24"/>
        </w:rPr>
      </w:pPr>
      <w:r>
        <w:rPr>
          <w:rFonts w:ascii="黑体" w:hAnsi="黑体" w:eastAsia="黑体" w:cs="宋体"/>
          <w:color w:val="000000"/>
          <w:szCs w:val="24"/>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63"/>
        <w:gridCol w:w="465"/>
        <w:gridCol w:w="568"/>
        <w:gridCol w:w="4351"/>
        <w:gridCol w:w="2708"/>
        <w:gridCol w:w="460"/>
      </w:tblGrid>
      <w:tr w14:paraId="1D0A7A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7" w:type="pct"/>
            <w:tcMar>
              <w:left w:w="28" w:type="dxa"/>
              <w:right w:w="28" w:type="dxa"/>
            </w:tcMar>
            <w:vAlign w:val="center"/>
          </w:tcPr>
          <w:p w14:paraId="6F7CE741">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86" w:type="pct"/>
            <w:gridSpan w:val="3"/>
            <w:tcMar>
              <w:left w:w="28" w:type="dxa"/>
              <w:right w:w="28" w:type="dxa"/>
            </w:tcMar>
            <w:vAlign w:val="center"/>
          </w:tcPr>
          <w:p w14:paraId="3F592E78">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502" w:type="pct"/>
            <w:tcMar>
              <w:left w:w="28" w:type="dxa"/>
              <w:right w:w="28" w:type="dxa"/>
            </w:tcMar>
            <w:vAlign w:val="center"/>
          </w:tcPr>
          <w:p w14:paraId="7D82BE3E">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255" w:type="pct"/>
            <w:tcMar>
              <w:left w:w="28" w:type="dxa"/>
              <w:right w:w="28" w:type="dxa"/>
            </w:tcMar>
            <w:vAlign w:val="center"/>
          </w:tcPr>
          <w:p w14:paraId="4EB5A930">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tr w14:paraId="4065B5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3" w:hRule="atLeast"/>
          <w:jc w:val="center"/>
        </w:trPr>
        <w:tc>
          <w:tcPr>
            <w:tcW w:w="257" w:type="pct"/>
            <w:vMerge w:val="restart"/>
            <w:tcMar>
              <w:left w:w="28" w:type="dxa"/>
              <w:right w:w="28" w:type="dxa"/>
            </w:tcMar>
            <w:vAlign w:val="center"/>
          </w:tcPr>
          <w:p w14:paraId="4D60E03D">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8" w:type="pct"/>
            <w:vMerge w:val="restart"/>
            <w:tcMar>
              <w:left w:w="28" w:type="dxa"/>
              <w:right w:w="28" w:type="dxa"/>
            </w:tcMar>
            <w:vAlign w:val="center"/>
          </w:tcPr>
          <w:p w14:paraId="226D997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A2污染物排放管控</w:t>
            </w:r>
          </w:p>
        </w:tc>
        <w:tc>
          <w:tcPr>
            <w:tcW w:w="315" w:type="pct"/>
            <w:vMerge w:val="restart"/>
            <w:tcMar>
              <w:left w:w="28" w:type="dxa"/>
              <w:right w:w="28" w:type="dxa"/>
            </w:tcMar>
            <w:vAlign w:val="center"/>
          </w:tcPr>
          <w:p w14:paraId="158A9E5F">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A2.2污染控制措施要求</w:t>
            </w:r>
          </w:p>
        </w:tc>
        <w:tc>
          <w:tcPr>
            <w:tcW w:w="2413" w:type="pct"/>
            <w:tcMar>
              <w:left w:w="28" w:type="dxa"/>
              <w:right w:w="28" w:type="dxa"/>
            </w:tcMar>
            <w:vAlign w:val="center"/>
          </w:tcPr>
          <w:p w14:paraId="738095F1">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-6】推进地表水与地下水协同防治。以傍河型地下水饮用水水源为重点，防范受污染河段侧渗和垂直补给对地下水污染。加强化学品生产企业、工业聚集区、矿山开采区等污染源的地表、地下协同防治与环境风险管控。加强工业污染防治。推动重点行业、重点企业绿色发展，严格落实水污染物排放标准和排污许可制度。加强农副食品加工、化工、印染、棉浆粕、粘胶纤维、制糖等企业综合治理和清洁化改造。支持企业积极实施节水技术改造，加强工业园区污水集中处理设施运行管理，加快再生水回用设施建设，提升园区水资源循环利用水平。</w:t>
            </w:r>
          </w:p>
        </w:tc>
        <w:tc>
          <w:tcPr>
            <w:tcW w:w="1502" w:type="pct"/>
            <w:tcMar>
              <w:left w:w="28" w:type="dxa"/>
              <w:right w:w="28" w:type="dxa"/>
            </w:tcMar>
            <w:vAlign w:val="center"/>
          </w:tcPr>
          <w:p w14:paraId="1AF36AF7">
            <w:pPr>
              <w:adjustRightInd w:val="0"/>
              <w:spacing w:line="0" w:lineRule="atLeast"/>
              <w:rPr>
                <w:rFonts w:hint="eastAsia" w:hAnsi="宋体" w:cs="宋体"/>
                <w:color w:val="000000"/>
                <w:spacing w:val="-10"/>
                <w:sz w:val="21"/>
                <w:szCs w:val="21"/>
              </w:rPr>
            </w:pPr>
            <w:r>
              <w:rPr>
                <w:rFonts w:hint="eastAsia" w:hAnsi="宋体" w:cs="宋体"/>
                <w:color w:val="000000"/>
                <w:spacing w:val="-10"/>
                <w:kern w:val="0"/>
                <w:sz w:val="21"/>
                <w:szCs w:val="21"/>
              </w:rPr>
              <w:t>拟建工程施工期中采取节水措施，用水量较小，管道试压废水进行综合利用，节约了水资源；运营期不新增用水，不会超过用水总量控制指标</w:t>
            </w:r>
          </w:p>
        </w:tc>
        <w:tc>
          <w:tcPr>
            <w:tcW w:w="255" w:type="pct"/>
            <w:tcMar>
              <w:left w:w="28" w:type="dxa"/>
              <w:right w:w="28" w:type="dxa"/>
            </w:tcMar>
            <w:vAlign w:val="center"/>
          </w:tcPr>
          <w:p w14:paraId="6B789C6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912B4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00" w:hRule="atLeast"/>
          <w:jc w:val="center"/>
        </w:trPr>
        <w:tc>
          <w:tcPr>
            <w:tcW w:w="257" w:type="pct"/>
            <w:vMerge w:val="continue"/>
            <w:tcMar>
              <w:left w:w="28" w:type="dxa"/>
              <w:right w:w="28" w:type="dxa"/>
            </w:tcMar>
            <w:vAlign w:val="center"/>
          </w:tcPr>
          <w:p w14:paraId="46FC3800">
            <w:pPr>
              <w:autoSpaceDE w:val="0"/>
              <w:autoSpaceDN w:val="0"/>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6406DCF1">
            <w:pPr>
              <w:adjustRightInd w:val="0"/>
              <w:spacing w:line="0" w:lineRule="atLeast"/>
              <w:jc w:val="center"/>
              <w:rPr>
                <w:rFonts w:hint="eastAsia" w:hAnsi="宋体" w:cs="宋体"/>
                <w:color w:val="000000"/>
                <w:spacing w:val="-10"/>
                <w:kern w:val="0"/>
                <w:sz w:val="21"/>
                <w:szCs w:val="21"/>
              </w:rPr>
            </w:pPr>
          </w:p>
        </w:tc>
        <w:tc>
          <w:tcPr>
            <w:tcW w:w="315" w:type="pct"/>
            <w:vMerge w:val="continue"/>
            <w:tcMar>
              <w:left w:w="28" w:type="dxa"/>
              <w:right w:w="28" w:type="dxa"/>
            </w:tcMar>
            <w:vAlign w:val="center"/>
          </w:tcPr>
          <w:p w14:paraId="61F3C98A">
            <w:pPr>
              <w:adjustRightInd w:val="0"/>
              <w:spacing w:line="0" w:lineRule="atLeast"/>
              <w:jc w:val="center"/>
              <w:rPr>
                <w:rFonts w:hint="eastAsia" w:hAnsi="宋体" w:cs="宋体"/>
                <w:color w:val="000000"/>
                <w:spacing w:val="-10"/>
                <w:kern w:val="0"/>
                <w:sz w:val="21"/>
                <w:szCs w:val="21"/>
              </w:rPr>
            </w:pPr>
          </w:p>
        </w:tc>
        <w:tc>
          <w:tcPr>
            <w:tcW w:w="2413" w:type="pct"/>
            <w:tcMar>
              <w:left w:w="28" w:type="dxa"/>
              <w:right w:w="28" w:type="dxa"/>
            </w:tcMar>
            <w:vAlign w:val="center"/>
          </w:tcPr>
          <w:p w14:paraId="32B494FA">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【A2.2-7】强化重点区域地下水环境风险管控，对化学品生产企业工业集聚区、尾矿库、矿山开采区、危险废物处置场、垃圾填埋场等地下水污染源及周边区域，逐步开展地下水环境状况调查评估加强风险管控。</w:t>
            </w:r>
          </w:p>
        </w:tc>
        <w:tc>
          <w:tcPr>
            <w:tcW w:w="1502" w:type="pct"/>
            <w:tcMar>
              <w:left w:w="28" w:type="dxa"/>
              <w:right w:w="28" w:type="dxa"/>
            </w:tcMar>
            <w:vAlign w:val="center"/>
          </w:tcPr>
          <w:p w14:paraId="4659CE79">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拟建工程运营期无废水产生，制定完善的地下水监测计划；切实保障地下水生态环境安全</w:t>
            </w:r>
          </w:p>
        </w:tc>
        <w:tc>
          <w:tcPr>
            <w:tcW w:w="255" w:type="pct"/>
            <w:tcMar>
              <w:left w:w="28" w:type="dxa"/>
              <w:right w:w="28" w:type="dxa"/>
            </w:tcMar>
            <w:vAlign w:val="center"/>
          </w:tcPr>
          <w:p w14:paraId="394D7E8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84A2A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15" w:hRule="atLeast"/>
          <w:jc w:val="center"/>
        </w:trPr>
        <w:tc>
          <w:tcPr>
            <w:tcW w:w="257" w:type="pct"/>
            <w:vMerge w:val="continue"/>
            <w:tcMar>
              <w:left w:w="28" w:type="dxa"/>
              <w:right w:w="28" w:type="dxa"/>
            </w:tcMar>
            <w:vAlign w:val="center"/>
          </w:tcPr>
          <w:p w14:paraId="264849B6">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13CED90F">
            <w:pPr>
              <w:adjustRightInd w:val="0"/>
              <w:spacing w:line="0" w:lineRule="atLeast"/>
              <w:jc w:val="center"/>
              <w:rPr>
                <w:rFonts w:hint="eastAsia" w:hAnsi="宋体" w:cs="宋体"/>
                <w:color w:val="000000"/>
                <w:spacing w:val="-10"/>
                <w:kern w:val="0"/>
                <w:sz w:val="21"/>
                <w:szCs w:val="21"/>
              </w:rPr>
            </w:pPr>
          </w:p>
        </w:tc>
        <w:tc>
          <w:tcPr>
            <w:tcW w:w="315" w:type="pct"/>
            <w:vMerge w:val="continue"/>
            <w:tcMar>
              <w:left w:w="28" w:type="dxa"/>
              <w:right w:w="28" w:type="dxa"/>
            </w:tcMar>
            <w:vAlign w:val="center"/>
          </w:tcPr>
          <w:p w14:paraId="1D8D2DE6">
            <w:pPr>
              <w:adjustRightInd w:val="0"/>
              <w:spacing w:line="0" w:lineRule="atLeast"/>
              <w:jc w:val="center"/>
              <w:rPr>
                <w:rFonts w:hint="eastAsia" w:hAnsi="宋体" w:cs="宋体"/>
                <w:color w:val="000000"/>
                <w:spacing w:val="-10"/>
                <w:kern w:val="0"/>
                <w:sz w:val="21"/>
                <w:szCs w:val="21"/>
              </w:rPr>
            </w:pPr>
          </w:p>
        </w:tc>
        <w:tc>
          <w:tcPr>
            <w:tcW w:w="2413" w:type="pct"/>
            <w:tcMar>
              <w:left w:w="28" w:type="dxa"/>
              <w:right w:w="28" w:type="dxa"/>
            </w:tcMar>
            <w:vAlign w:val="center"/>
          </w:tcPr>
          <w:p w14:paraId="4DC4E65A">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【A2.2-8】严控土壤重金属污染，加强油（气）田开发土壤污染防治，以历史遗留工业企业污染场地为重点，开展土壤污染风险管控与修复工程。</w:t>
            </w:r>
          </w:p>
        </w:tc>
        <w:tc>
          <w:tcPr>
            <w:tcW w:w="1502" w:type="pct"/>
            <w:tcMar>
              <w:left w:w="28" w:type="dxa"/>
              <w:right w:w="28" w:type="dxa"/>
            </w:tcMar>
            <w:vAlign w:val="center"/>
          </w:tcPr>
          <w:p w14:paraId="581AC92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塔中Ⅰ号气田Ⅲ区已开展历史遗留污油泥清理工作，已完成受污染土壤清理工作</w:t>
            </w:r>
          </w:p>
        </w:tc>
        <w:tc>
          <w:tcPr>
            <w:tcW w:w="255" w:type="pct"/>
            <w:tcMar>
              <w:left w:w="28" w:type="dxa"/>
              <w:right w:w="28" w:type="dxa"/>
            </w:tcMar>
            <w:vAlign w:val="center"/>
          </w:tcPr>
          <w:p w14:paraId="1E1A25F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B18EB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15" w:hRule="atLeast"/>
          <w:jc w:val="center"/>
        </w:trPr>
        <w:tc>
          <w:tcPr>
            <w:tcW w:w="257" w:type="pct"/>
            <w:vMerge w:val="continue"/>
            <w:tcMar>
              <w:left w:w="28" w:type="dxa"/>
              <w:right w:w="28" w:type="dxa"/>
            </w:tcMar>
            <w:vAlign w:val="center"/>
          </w:tcPr>
          <w:p w14:paraId="1332F154">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61D9A1E9">
            <w:pPr>
              <w:adjustRightInd w:val="0"/>
              <w:spacing w:line="0" w:lineRule="atLeast"/>
              <w:jc w:val="center"/>
              <w:rPr>
                <w:rFonts w:hint="eastAsia" w:hAnsi="宋体" w:cs="宋体"/>
                <w:color w:val="000000"/>
                <w:spacing w:val="-10"/>
                <w:kern w:val="0"/>
                <w:sz w:val="21"/>
                <w:szCs w:val="21"/>
              </w:rPr>
            </w:pPr>
          </w:p>
        </w:tc>
        <w:tc>
          <w:tcPr>
            <w:tcW w:w="315" w:type="pct"/>
            <w:vMerge w:val="continue"/>
            <w:tcMar>
              <w:left w:w="28" w:type="dxa"/>
              <w:right w:w="28" w:type="dxa"/>
            </w:tcMar>
            <w:vAlign w:val="center"/>
          </w:tcPr>
          <w:p w14:paraId="60061E2F">
            <w:pPr>
              <w:adjustRightInd w:val="0"/>
              <w:spacing w:line="0" w:lineRule="atLeast"/>
              <w:jc w:val="center"/>
              <w:rPr>
                <w:rFonts w:hint="eastAsia" w:hAnsi="宋体" w:cs="宋体"/>
                <w:color w:val="000000"/>
                <w:spacing w:val="-10"/>
                <w:kern w:val="0"/>
                <w:sz w:val="21"/>
                <w:szCs w:val="21"/>
              </w:rPr>
            </w:pPr>
          </w:p>
        </w:tc>
        <w:tc>
          <w:tcPr>
            <w:tcW w:w="2413" w:type="pct"/>
            <w:tcMar>
              <w:left w:w="28" w:type="dxa"/>
              <w:right w:w="28" w:type="dxa"/>
            </w:tcMar>
            <w:vAlign w:val="center"/>
          </w:tcPr>
          <w:p w14:paraId="1DFC15D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2.2-9】加强种植业污染防治。深入推进化肥农药减量增效，全面推广测土配方施肥，引导推动有机肥、绿肥替代化肥，集成推广化肥减量增效技术模式，加强农药包装废弃物管理。实施农膜回收行动，健全农田废旧地膜回收利用体系，提高废旧地膜回收率。推进农作物秸秆综合利用，不断完善秸秆收储运用体系，形成布局合理、多元利用的秸秆综合利用格局。</w:t>
            </w:r>
          </w:p>
        </w:tc>
        <w:tc>
          <w:tcPr>
            <w:tcW w:w="1502" w:type="pct"/>
            <w:tcMar>
              <w:left w:w="28" w:type="dxa"/>
              <w:right w:w="28" w:type="dxa"/>
            </w:tcMar>
            <w:vAlign w:val="center"/>
          </w:tcPr>
          <w:p w14:paraId="0382860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55" w:type="pct"/>
            <w:tcMar>
              <w:left w:w="28" w:type="dxa"/>
              <w:right w:w="28" w:type="dxa"/>
            </w:tcMar>
            <w:vAlign w:val="center"/>
          </w:tcPr>
          <w:p w14:paraId="4677D99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19BF6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15" w:hRule="atLeast"/>
          <w:jc w:val="center"/>
        </w:trPr>
        <w:tc>
          <w:tcPr>
            <w:tcW w:w="257" w:type="pct"/>
            <w:vMerge w:val="continue"/>
            <w:tcMar>
              <w:left w:w="28" w:type="dxa"/>
              <w:right w:w="28" w:type="dxa"/>
            </w:tcMar>
            <w:vAlign w:val="center"/>
          </w:tcPr>
          <w:p w14:paraId="0494976F">
            <w:pPr>
              <w:adjustRightInd w:val="0"/>
              <w:spacing w:line="0" w:lineRule="atLeast"/>
              <w:jc w:val="center"/>
              <w:rPr>
                <w:rFonts w:hint="eastAsia" w:hAnsi="宋体" w:cs="宋体"/>
                <w:color w:val="000000"/>
                <w:spacing w:val="-10"/>
                <w:kern w:val="0"/>
                <w:sz w:val="21"/>
                <w:szCs w:val="21"/>
              </w:rPr>
            </w:pPr>
          </w:p>
        </w:tc>
        <w:tc>
          <w:tcPr>
            <w:tcW w:w="258" w:type="pct"/>
            <w:tcMar>
              <w:left w:w="28" w:type="dxa"/>
              <w:right w:w="28" w:type="dxa"/>
            </w:tcMar>
            <w:vAlign w:val="center"/>
          </w:tcPr>
          <w:p w14:paraId="206D8F22">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A3环境风险防控</w:t>
            </w:r>
          </w:p>
        </w:tc>
        <w:tc>
          <w:tcPr>
            <w:tcW w:w="315" w:type="pct"/>
            <w:tcMar>
              <w:left w:w="28" w:type="dxa"/>
              <w:right w:w="28" w:type="dxa"/>
            </w:tcMar>
            <w:vAlign w:val="center"/>
          </w:tcPr>
          <w:p w14:paraId="24F2691D">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A3.1人居环境要求</w:t>
            </w:r>
          </w:p>
        </w:tc>
        <w:tc>
          <w:tcPr>
            <w:tcW w:w="2413" w:type="pct"/>
            <w:tcMar>
              <w:left w:w="28" w:type="dxa"/>
              <w:right w:w="28" w:type="dxa"/>
            </w:tcMar>
            <w:vAlign w:val="center"/>
          </w:tcPr>
          <w:p w14:paraId="7A1F999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【A3.1-1】建立和完善重污染天气兵地联合应急预案、预报预警应急机制和会商联动机制。“鸟一昌一石”区域内可能影响相邻行政区域大气环境的项目，兵地间、城市间必须相互征求意见。</w:t>
            </w:r>
          </w:p>
        </w:tc>
        <w:tc>
          <w:tcPr>
            <w:tcW w:w="1502" w:type="pct"/>
            <w:tcMar>
              <w:left w:w="28" w:type="dxa"/>
              <w:right w:w="28" w:type="dxa"/>
            </w:tcMar>
            <w:vAlign w:val="center"/>
          </w:tcPr>
          <w:p w14:paraId="6FE5541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55" w:type="pct"/>
            <w:tcMar>
              <w:left w:w="28" w:type="dxa"/>
              <w:right w:w="28" w:type="dxa"/>
            </w:tcMar>
            <w:vAlign w:val="center"/>
          </w:tcPr>
          <w:p w14:paraId="5379A57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1E078251">
      <w:pPr>
        <w:adjustRightInd w:val="0"/>
        <w:spacing w:line="480" w:lineRule="exact"/>
        <w:ind w:firstLine="383" w:firstLineChars="146"/>
        <w:rPr>
          <w:rFonts w:hint="eastAsia" w:ascii="黑体" w:hAnsi="黑体" w:eastAsia="黑体"/>
          <w:color w:val="000000"/>
          <w:szCs w:val="24"/>
        </w:rPr>
      </w:pPr>
      <w:r>
        <w:rPr>
          <w:rFonts w:ascii="黑体" w:hAnsi="黑体" w:eastAsia="黑体" w:cs="宋体"/>
          <w:color w:val="000000"/>
          <w:szCs w:val="24"/>
        </w:rPr>
        <w:br w:type="page"/>
      </w:r>
      <w:r>
        <w:rPr>
          <w:rFonts w:hint="eastAsia" w:ascii="黑体" w:hAnsi="黑体" w:eastAsia="黑体" w:cs="宋体"/>
          <w:color w:val="000000"/>
          <w:szCs w:val="24"/>
        </w:rPr>
        <w:t>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63"/>
        <w:gridCol w:w="465"/>
        <w:gridCol w:w="568"/>
        <w:gridCol w:w="4351"/>
        <w:gridCol w:w="2595"/>
        <w:gridCol w:w="573"/>
      </w:tblGrid>
      <w:tr w14:paraId="17966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7" w:type="pct"/>
            <w:tcMar>
              <w:left w:w="28" w:type="dxa"/>
              <w:right w:w="28" w:type="dxa"/>
            </w:tcMar>
            <w:vAlign w:val="center"/>
          </w:tcPr>
          <w:p w14:paraId="738FF73F">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86" w:type="pct"/>
            <w:gridSpan w:val="3"/>
            <w:tcMar>
              <w:left w:w="28" w:type="dxa"/>
              <w:right w:w="28" w:type="dxa"/>
            </w:tcMar>
            <w:vAlign w:val="center"/>
          </w:tcPr>
          <w:p w14:paraId="286ACCCC">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439" w:type="pct"/>
            <w:tcMar>
              <w:left w:w="28" w:type="dxa"/>
              <w:right w:w="28" w:type="dxa"/>
            </w:tcMar>
            <w:vAlign w:val="center"/>
          </w:tcPr>
          <w:p w14:paraId="280D0319">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318" w:type="pct"/>
            <w:tcMar>
              <w:left w:w="28" w:type="dxa"/>
              <w:right w:w="28" w:type="dxa"/>
            </w:tcMar>
            <w:vAlign w:val="center"/>
          </w:tcPr>
          <w:p w14:paraId="04A529A7">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tr w14:paraId="7767F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466" w:hRule="atLeast"/>
          <w:jc w:val="center"/>
        </w:trPr>
        <w:tc>
          <w:tcPr>
            <w:tcW w:w="257" w:type="pct"/>
            <w:vMerge w:val="restart"/>
            <w:tcMar>
              <w:left w:w="28" w:type="dxa"/>
              <w:right w:w="28" w:type="dxa"/>
            </w:tcMar>
            <w:vAlign w:val="center"/>
          </w:tcPr>
          <w:p w14:paraId="3B2521C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新疆维吾尔自治区总体管控要求</w:t>
            </w:r>
          </w:p>
        </w:tc>
        <w:tc>
          <w:tcPr>
            <w:tcW w:w="258" w:type="pct"/>
            <w:vMerge w:val="restart"/>
            <w:tcMar>
              <w:left w:w="28" w:type="dxa"/>
              <w:right w:w="28" w:type="dxa"/>
            </w:tcMar>
            <w:vAlign w:val="center"/>
          </w:tcPr>
          <w:p w14:paraId="7E3B8485">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A3环境风险防控</w:t>
            </w:r>
          </w:p>
        </w:tc>
        <w:tc>
          <w:tcPr>
            <w:tcW w:w="315" w:type="pct"/>
            <w:vMerge w:val="restart"/>
            <w:tcMar>
              <w:left w:w="28" w:type="dxa"/>
              <w:right w:w="28" w:type="dxa"/>
            </w:tcMar>
            <w:vAlign w:val="center"/>
          </w:tcPr>
          <w:p w14:paraId="6F6973C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A3.1人居环境要求</w:t>
            </w:r>
          </w:p>
        </w:tc>
        <w:tc>
          <w:tcPr>
            <w:tcW w:w="2413" w:type="pct"/>
            <w:tcMar>
              <w:left w:w="28" w:type="dxa"/>
              <w:right w:w="28" w:type="dxa"/>
            </w:tcMar>
            <w:vAlign w:val="center"/>
          </w:tcPr>
          <w:p w14:paraId="381E1804">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3.1-2】对跨国境河流、涉及县级及以上集中式饮用水水源地的河流、其他重要环境敏感目标的河流，建立健全流域上下游突发水污染事件联防联动机制，建立流域环境应急基础信息动态更新长效机制，绘制全流域“一河一策一图”。建立健全跨部门、跨区域的环境应急协调联动处置机制，强化流域上下游、兵地各部门协调，实施联合监测、联合执法、应急联动、信息共享，形成“政府引导、多元联动、社会参与、专业救援”的环境应急处置机制，持续开展应急综合演练，实现从被动应对到主动防控的重大转变。加强流域突发水环境事件应急能力建设，提升应急响应水平，加强监测预警拦污控污、信息通报、协同处置、基础保障等工作，防范重大生态环境风险，坚决守住生态环境安全底线。</w:t>
            </w:r>
          </w:p>
        </w:tc>
        <w:tc>
          <w:tcPr>
            <w:tcW w:w="1439" w:type="pct"/>
            <w:tcMar>
              <w:left w:w="28" w:type="dxa"/>
              <w:right w:w="28" w:type="dxa"/>
            </w:tcMar>
            <w:vAlign w:val="center"/>
          </w:tcPr>
          <w:p w14:paraId="3386B22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318" w:type="pct"/>
            <w:tcMar>
              <w:left w:w="28" w:type="dxa"/>
              <w:right w:w="28" w:type="dxa"/>
            </w:tcMar>
            <w:vAlign w:val="center"/>
          </w:tcPr>
          <w:p w14:paraId="6E30C78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764F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16" w:hRule="atLeast"/>
          <w:jc w:val="center"/>
        </w:trPr>
        <w:tc>
          <w:tcPr>
            <w:tcW w:w="257" w:type="pct"/>
            <w:vMerge w:val="continue"/>
            <w:tcMar>
              <w:left w:w="28" w:type="dxa"/>
              <w:right w:w="28" w:type="dxa"/>
            </w:tcMar>
            <w:vAlign w:val="center"/>
          </w:tcPr>
          <w:p w14:paraId="53A0105A">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76E2D4E2">
            <w:pPr>
              <w:adjustRightInd w:val="0"/>
              <w:spacing w:line="0" w:lineRule="atLeast"/>
              <w:jc w:val="center"/>
              <w:rPr>
                <w:rFonts w:hint="eastAsia" w:hAnsi="宋体" w:cs="宋体"/>
                <w:color w:val="000000"/>
                <w:spacing w:val="-10"/>
                <w:kern w:val="0"/>
                <w:sz w:val="21"/>
                <w:szCs w:val="21"/>
              </w:rPr>
            </w:pPr>
          </w:p>
        </w:tc>
        <w:tc>
          <w:tcPr>
            <w:tcW w:w="315" w:type="pct"/>
            <w:vMerge w:val="continue"/>
            <w:tcMar>
              <w:left w:w="28" w:type="dxa"/>
              <w:right w:w="28" w:type="dxa"/>
            </w:tcMar>
            <w:vAlign w:val="center"/>
          </w:tcPr>
          <w:p w14:paraId="1AAF0504">
            <w:pPr>
              <w:adjustRightInd w:val="0"/>
              <w:spacing w:line="0" w:lineRule="atLeast"/>
              <w:jc w:val="center"/>
              <w:rPr>
                <w:rFonts w:hint="eastAsia" w:hAnsi="宋体" w:cs="宋体"/>
                <w:color w:val="000000"/>
                <w:spacing w:val="-10"/>
                <w:kern w:val="0"/>
                <w:sz w:val="21"/>
                <w:szCs w:val="21"/>
              </w:rPr>
            </w:pPr>
          </w:p>
        </w:tc>
        <w:tc>
          <w:tcPr>
            <w:tcW w:w="2413" w:type="pct"/>
            <w:tcMar>
              <w:left w:w="28" w:type="dxa"/>
              <w:right w:w="28" w:type="dxa"/>
            </w:tcMar>
            <w:vAlign w:val="center"/>
          </w:tcPr>
          <w:p w14:paraId="33FD5BA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【A3.1-3】强化重污染天气监测预报预警能力，建立和完善重污染天气兵地联合应急预案、预警应急机制和会商联动机制，加强轻、中度污染天气管控。</w:t>
            </w:r>
          </w:p>
        </w:tc>
        <w:tc>
          <w:tcPr>
            <w:tcW w:w="1439" w:type="pct"/>
            <w:tcMar>
              <w:left w:w="28" w:type="dxa"/>
              <w:right w:w="28" w:type="dxa"/>
            </w:tcMar>
            <w:vAlign w:val="center"/>
          </w:tcPr>
          <w:p w14:paraId="4697B1A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318" w:type="pct"/>
            <w:tcMar>
              <w:left w:w="28" w:type="dxa"/>
              <w:right w:w="28" w:type="dxa"/>
            </w:tcMar>
            <w:vAlign w:val="center"/>
          </w:tcPr>
          <w:p w14:paraId="1272C1B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6A50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633" w:hRule="atLeast"/>
          <w:jc w:val="center"/>
        </w:trPr>
        <w:tc>
          <w:tcPr>
            <w:tcW w:w="257" w:type="pct"/>
            <w:vMerge w:val="continue"/>
            <w:tcMar>
              <w:left w:w="28" w:type="dxa"/>
              <w:right w:w="28" w:type="dxa"/>
            </w:tcMar>
            <w:vAlign w:val="center"/>
          </w:tcPr>
          <w:p w14:paraId="4945A815">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4821D0D7">
            <w:pPr>
              <w:adjustRightInd w:val="0"/>
              <w:spacing w:line="0" w:lineRule="atLeast"/>
              <w:jc w:val="center"/>
              <w:rPr>
                <w:rFonts w:hint="eastAsia" w:hAnsi="宋体" w:cs="宋体"/>
                <w:color w:val="000000"/>
                <w:spacing w:val="-10"/>
                <w:kern w:val="0"/>
                <w:sz w:val="21"/>
                <w:szCs w:val="21"/>
              </w:rPr>
            </w:pPr>
          </w:p>
        </w:tc>
        <w:tc>
          <w:tcPr>
            <w:tcW w:w="315" w:type="pct"/>
            <w:vMerge w:val="restart"/>
            <w:tcMar>
              <w:left w:w="28" w:type="dxa"/>
              <w:right w:w="28" w:type="dxa"/>
            </w:tcMar>
            <w:vAlign w:val="center"/>
          </w:tcPr>
          <w:p w14:paraId="0D3D1149">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A3.2联防联控要求</w:t>
            </w:r>
          </w:p>
        </w:tc>
        <w:tc>
          <w:tcPr>
            <w:tcW w:w="2413" w:type="pct"/>
            <w:tcMar>
              <w:left w:w="28" w:type="dxa"/>
              <w:right w:w="28" w:type="dxa"/>
            </w:tcMar>
            <w:vAlign w:val="center"/>
          </w:tcPr>
          <w:p w14:paraId="003744BC">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-1】提升饮用水安全保障水平。以县级及以上集中式饮用水水源地为重点，推进饮用水水源保护区规范化建设，统筹推进备用水源或应急水源建设。单一水源供水的重点城市于2025年底前基本完成备用水源或应急水源建设，有条件的地区开展兵地互为备用水源建设。梯次推进农村集中式饮用水水源保护区划定，到2025年完成乡镇级集中式饮用水水源保护区划定与勘界立标。开展“千万人”农村饮用水水源保护区环境风险排查整治，加强农村水源水质监测，依法清理饮用水水源保护区内违法建筑和排污口，实施从水源到水龙头全过程监管。强化饮用水水源保护区环境应急管理，完善重大突发环境事件的物资和技术储备。针对汇水区、补给区存在兵地跨界的，建立统一的饮用水水源应急和执法机制，共享应急物资。</w:t>
            </w:r>
          </w:p>
        </w:tc>
        <w:tc>
          <w:tcPr>
            <w:tcW w:w="1439" w:type="pct"/>
            <w:tcMar>
              <w:left w:w="28" w:type="dxa"/>
              <w:right w:w="28" w:type="dxa"/>
            </w:tcMar>
            <w:vAlign w:val="center"/>
          </w:tcPr>
          <w:p w14:paraId="59D1176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318" w:type="pct"/>
            <w:tcMar>
              <w:left w:w="28" w:type="dxa"/>
              <w:right w:w="28" w:type="dxa"/>
            </w:tcMar>
            <w:vAlign w:val="center"/>
          </w:tcPr>
          <w:p w14:paraId="42071B0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5E053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446" w:hRule="atLeast"/>
          <w:jc w:val="center"/>
        </w:trPr>
        <w:tc>
          <w:tcPr>
            <w:tcW w:w="257" w:type="pct"/>
            <w:vMerge w:val="continue"/>
            <w:tcMar>
              <w:left w:w="28" w:type="dxa"/>
              <w:right w:w="28" w:type="dxa"/>
            </w:tcMar>
            <w:vAlign w:val="center"/>
          </w:tcPr>
          <w:p w14:paraId="57178E72">
            <w:pPr>
              <w:adjustRightInd w:val="0"/>
              <w:spacing w:line="0" w:lineRule="atLeast"/>
              <w:jc w:val="center"/>
              <w:rPr>
                <w:rFonts w:hint="eastAsia" w:hAnsi="宋体" w:cs="宋体"/>
                <w:color w:val="000000"/>
                <w:spacing w:val="-10"/>
                <w:kern w:val="0"/>
                <w:sz w:val="21"/>
                <w:szCs w:val="21"/>
              </w:rPr>
            </w:pPr>
          </w:p>
        </w:tc>
        <w:tc>
          <w:tcPr>
            <w:tcW w:w="258" w:type="pct"/>
            <w:vMerge w:val="continue"/>
            <w:tcMar>
              <w:left w:w="28" w:type="dxa"/>
              <w:right w:w="28" w:type="dxa"/>
            </w:tcMar>
            <w:vAlign w:val="center"/>
          </w:tcPr>
          <w:p w14:paraId="22D0C4E7">
            <w:pPr>
              <w:adjustRightInd w:val="0"/>
              <w:spacing w:line="0" w:lineRule="atLeast"/>
              <w:jc w:val="center"/>
              <w:rPr>
                <w:rFonts w:hint="eastAsia" w:hAnsi="宋体" w:cs="宋体"/>
                <w:color w:val="000000"/>
                <w:spacing w:val="-10"/>
                <w:kern w:val="0"/>
                <w:sz w:val="21"/>
                <w:szCs w:val="21"/>
              </w:rPr>
            </w:pPr>
          </w:p>
        </w:tc>
        <w:tc>
          <w:tcPr>
            <w:tcW w:w="315" w:type="pct"/>
            <w:vMerge w:val="continue"/>
            <w:tcMar>
              <w:left w:w="28" w:type="dxa"/>
              <w:right w:w="28" w:type="dxa"/>
            </w:tcMar>
            <w:vAlign w:val="center"/>
          </w:tcPr>
          <w:p w14:paraId="1CC915D7">
            <w:pPr>
              <w:adjustRightInd w:val="0"/>
              <w:spacing w:line="0" w:lineRule="atLeast"/>
              <w:jc w:val="center"/>
              <w:rPr>
                <w:rFonts w:hint="eastAsia" w:hAnsi="宋体" w:cs="宋体"/>
                <w:color w:val="000000"/>
                <w:spacing w:val="-10"/>
                <w:kern w:val="0"/>
                <w:sz w:val="21"/>
                <w:szCs w:val="21"/>
              </w:rPr>
            </w:pPr>
          </w:p>
        </w:tc>
        <w:tc>
          <w:tcPr>
            <w:tcW w:w="2413" w:type="pct"/>
            <w:tcMar>
              <w:left w:w="28" w:type="dxa"/>
              <w:right w:w="28" w:type="dxa"/>
            </w:tcMar>
            <w:vAlign w:val="center"/>
          </w:tcPr>
          <w:p w14:paraId="352572E0">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【A3.2-2】依法推行农用地分类管理制度，强化受污染耕地安全利用和风险管控。因地制宜制定实施安全利用方案，鼓励采取种植结构调整等措施，确保受污染耕地全部实现安全利用。</w:t>
            </w:r>
          </w:p>
        </w:tc>
        <w:tc>
          <w:tcPr>
            <w:tcW w:w="1439" w:type="pct"/>
            <w:tcMar>
              <w:left w:w="28" w:type="dxa"/>
              <w:right w:w="28" w:type="dxa"/>
            </w:tcMar>
            <w:vAlign w:val="center"/>
          </w:tcPr>
          <w:p w14:paraId="75338CB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拟建工程不涉及受污染耕地</w:t>
            </w:r>
          </w:p>
        </w:tc>
        <w:tc>
          <w:tcPr>
            <w:tcW w:w="318" w:type="pct"/>
            <w:tcMar>
              <w:left w:w="28" w:type="dxa"/>
              <w:right w:w="28" w:type="dxa"/>
            </w:tcMar>
            <w:vAlign w:val="center"/>
          </w:tcPr>
          <w:p w14:paraId="62C11094">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w:t>
            </w:r>
          </w:p>
        </w:tc>
      </w:tr>
    </w:tbl>
    <w:p w14:paraId="5E2BC410">
      <w:pPr>
        <w:adjustRightInd w:val="0"/>
        <w:spacing w:line="480" w:lineRule="exact"/>
        <w:rPr>
          <w:rFonts w:ascii="黑体" w:hAnsi="黑体" w:eastAsia="黑体"/>
          <w:color w:val="000000"/>
          <w:szCs w:val="24"/>
        </w:rPr>
      </w:pPr>
      <w:r>
        <w:rPr>
          <w:color w:val="000000"/>
          <w:szCs w:val="24"/>
        </w:rPr>
        <w:br w:type="page"/>
      </w:r>
      <w:r>
        <w:rPr>
          <w:rFonts w:hint="eastAsia" w:ascii="黑体" w:hAnsi="黑体" w:eastAsia="黑体" w:cs="宋体"/>
          <w:color w:val="000000"/>
          <w:szCs w:val="24"/>
        </w:rPr>
        <w:t xml:space="preserve">  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57"/>
        <w:gridCol w:w="462"/>
        <w:gridCol w:w="911"/>
        <w:gridCol w:w="4082"/>
        <w:gridCol w:w="2376"/>
        <w:gridCol w:w="727"/>
      </w:tblGrid>
      <w:tr w14:paraId="71743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tcMar>
              <w:left w:w="28" w:type="dxa"/>
              <w:right w:w="28" w:type="dxa"/>
            </w:tcMar>
            <w:vAlign w:val="center"/>
          </w:tcPr>
          <w:p w14:paraId="3DAC8F99">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名称</w:t>
            </w:r>
          </w:p>
        </w:tc>
        <w:tc>
          <w:tcPr>
            <w:tcW w:w="3024" w:type="pct"/>
            <w:gridSpan w:val="3"/>
            <w:tcMar>
              <w:left w:w="28" w:type="dxa"/>
              <w:right w:w="28" w:type="dxa"/>
            </w:tcMar>
            <w:vAlign w:val="center"/>
          </w:tcPr>
          <w:p w14:paraId="25B4277C">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管控要求</w:t>
            </w:r>
          </w:p>
        </w:tc>
        <w:tc>
          <w:tcPr>
            <w:tcW w:w="1317" w:type="pct"/>
            <w:tcMar>
              <w:left w:w="28" w:type="dxa"/>
              <w:right w:w="28" w:type="dxa"/>
            </w:tcMar>
            <w:vAlign w:val="center"/>
          </w:tcPr>
          <w:p w14:paraId="77887C31">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拟建工程</w:t>
            </w:r>
          </w:p>
        </w:tc>
        <w:tc>
          <w:tcPr>
            <w:tcW w:w="403" w:type="pct"/>
            <w:tcMar>
              <w:left w:w="28" w:type="dxa"/>
              <w:right w:w="28" w:type="dxa"/>
            </w:tcMar>
            <w:vAlign w:val="center"/>
          </w:tcPr>
          <w:p w14:paraId="223EB73C">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符合性</w:t>
            </w:r>
          </w:p>
        </w:tc>
      </w:tr>
      <w:tr w14:paraId="19C97E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restart"/>
            <w:tcMar>
              <w:left w:w="28" w:type="dxa"/>
              <w:right w:w="28" w:type="dxa"/>
            </w:tcMar>
            <w:vAlign w:val="center"/>
          </w:tcPr>
          <w:p w14:paraId="10DAA318">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6" w:type="pct"/>
            <w:vMerge w:val="restart"/>
            <w:tcMar>
              <w:left w:w="28" w:type="dxa"/>
              <w:right w:w="28" w:type="dxa"/>
            </w:tcMar>
            <w:vAlign w:val="center"/>
          </w:tcPr>
          <w:p w14:paraId="2CB5314F">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A3环境风险防控</w:t>
            </w:r>
          </w:p>
        </w:tc>
        <w:tc>
          <w:tcPr>
            <w:tcW w:w="505" w:type="pct"/>
            <w:vMerge w:val="restart"/>
            <w:tcMar>
              <w:left w:w="28" w:type="dxa"/>
              <w:right w:w="28" w:type="dxa"/>
            </w:tcMar>
            <w:vAlign w:val="center"/>
          </w:tcPr>
          <w:p w14:paraId="7C0E94DF">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A3.2</w:t>
            </w:r>
          </w:p>
          <w:p w14:paraId="285B146A">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联防联控要求</w:t>
            </w:r>
          </w:p>
        </w:tc>
        <w:tc>
          <w:tcPr>
            <w:tcW w:w="2262" w:type="pct"/>
            <w:tcMar>
              <w:left w:w="28" w:type="dxa"/>
              <w:right w:w="28" w:type="dxa"/>
            </w:tcMar>
            <w:vAlign w:val="center"/>
          </w:tcPr>
          <w:p w14:paraId="5D724DE9">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-3】加强新污染物多环境介质协同治理。排放重点管控新污染物的企事业单位应采取污染控制措施，达到相关污染物排放标准及环境质量目标要求；按照排污许可管理有关要求，依法申领排污许可证或填写排污登记表，并在其中载明执行的污染控制标准要求及采取的污染控制措施。排放重点管控新污染物的企事业单位和其他生产经营者应按照相关法律法规要求，对排放（污）口及其周边环境定期开展环境监测，评估环境风险，排查整治环境安全隐患，依法公开新污染物信息，采取措施防范环境风险。土壤污染重点监管单位应严格控制有毒有害物质排放，建立土壤污染隐患排查制度防止有毒有害物质渗漏、流失、扬散。</w:t>
            </w:r>
          </w:p>
        </w:tc>
        <w:tc>
          <w:tcPr>
            <w:tcW w:w="1317" w:type="pct"/>
            <w:tcMar>
              <w:left w:w="28" w:type="dxa"/>
              <w:right w:w="28" w:type="dxa"/>
            </w:tcMar>
            <w:vAlign w:val="center"/>
          </w:tcPr>
          <w:p w14:paraId="2C92404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403" w:type="pct"/>
            <w:tcMar>
              <w:left w:w="28" w:type="dxa"/>
              <w:right w:w="28" w:type="dxa"/>
            </w:tcMar>
            <w:vAlign w:val="center"/>
          </w:tcPr>
          <w:p w14:paraId="0C68FA9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1BFBD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003F1E7A">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269B908E">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0930F290">
            <w:pPr>
              <w:adjustRightInd w:val="0"/>
              <w:spacing w:line="0" w:lineRule="atLeast"/>
              <w:jc w:val="center"/>
              <w:rPr>
                <w:rFonts w:hint="eastAsia" w:hAnsi="宋体" w:cs="宋体"/>
                <w:color w:val="000000"/>
                <w:spacing w:val="-10"/>
                <w:kern w:val="0"/>
                <w:sz w:val="21"/>
                <w:szCs w:val="21"/>
              </w:rPr>
            </w:pPr>
          </w:p>
        </w:tc>
        <w:tc>
          <w:tcPr>
            <w:tcW w:w="2262" w:type="pct"/>
            <w:tcMar>
              <w:left w:w="28" w:type="dxa"/>
              <w:right w:w="28" w:type="dxa"/>
            </w:tcMar>
            <w:vAlign w:val="center"/>
          </w:tcPr>
          <w:p w14:paraId="563EF5A8">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-4】加强环境风险预警防控。加强涉危险废物企业、涉重金属企业、化工园区、集中式饮用水水源地及重点流域环境风险调查评估，实施分类分级风险管控，协同推进重点区域、流域生态环境污染综合防治、风险防控与生态修复。</w:t>
            </w:r>
          </w:p>
        </w:tc>
        <w:tc>
          <w:tcPr>
            <w:tcW w:w="1317" w:type="pct"/>
            <w:tcMar>
              <w:left w:w="28" w:type="dxa"/>
              <w:right w:w="28" w:type="dxa"/>
            </w:tcMar>
            <w:vAlign w:val="center"/>
          </w:tcPr>
          <w:p w14:paraId="7F3F5CD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拟建工程已提出一系列环境风险防范措施及应急要求，本次建设内容纳入塔中采油气管理区现有应急预案中，定期按照应急预案内容进行应急演练，逐步提高应急演练范围与级别，出现风险事故时能够及时应对</w:t>
            </w:r>
          </w:p>
        </w:tc>
        <w:tc>
          <w:tcPr>
            <w:tcW w:w="403" w:type="pct"/>
            <w:tcMar>
              <w:left w:w="28" w:type="dxa"/>
              <w:right w:w="28" w:type="dxa"/>
            </w:tcMar>
            <w:vAlign w:val="center"/>
          </w:tcPr>
          <w:p w14:paraId="6098BF1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1C7A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1AC39781">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0F68C0A3">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2DF499F0">
            <w:pPr>
              <w:adjustRightInd w:val="0"/>
              <w:spacing w:line="0" w:lineRule="atLeast"/>
              <w:jc w:val="center"/>
              <w:rPr>
                <w:rFonts w:hint="eastAsia" w:hAnsi="宋体" w:cs="宋体"/>
                <w:color w:val="000000"/>
                <w:spacing w:val="-10"/>
                <w:kern w:val="0"/>
                <w:sz w:val="21"/>
                <w:szCs w:val="21"/>
              </w:rPr>
            </w:pPr>
          </w:p>
        </w:tc>
        <w:tc>
          <w:tcPr>
            <w:tcW w:w="2262" w:type="pct"/>
            <w:tcMar>
              <w:left w:w="28" w:type="dxa"/>
              <w:right w:w="28" w:type="dxa"/>
            </w:tcMar>
            <w:vAlign w:val="center"/>
          </w:tcPr>
          <w:p w14:paraId="637BBA3B">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-5】强化生态环境应急管理。实施企业突发生态环境应急预案电子化备案，完成县级以上政府突发环境事件应急预案修编。完善区域和企业应急处置物资储备系统，结合新疆各地特征污染物的特性，加强应急物资储备及应急物资信息化建设，掌握社会应急物资储备动态信息，妥善应对各类突发生态环境事件。加强应急监测装备配置，定期开展应急演练，增强实战能力。</w:t>
            </w:r>
          </w:p>
        </w:tc>
        <w:tc>
          <w:tcPr>
            <w:tcW w:w="1317" w:type="pct"/>
            <w:tcMar>
              <w:left w:w="28" w:type="dxa"/>
              <w:right w:w="28" w:type="dxa"/>
            </w:tcMar>
            <w:vAlign w:val="center"/>
          </w:tcPr>
          <w:p w14:paraId="74396FB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拟建工程已提出一系列环境风险防范措施及应急要求，本次建设内容纳入塔中采油气管理区现有应急预案中，定期按照应急预案内容进行应急演练，逐步提高应急演练范围与级别，出现风险事故时能够及时应对</w:t>
            </w:r>
          </w:p>
        </w:tc>
        <w:tc>
          <w:tcPr>
            <w:tcW w:w="403" w:type="pct"/>
            <w:tcMar>
              <w:left w:w="28" w:type="dxa"/>
              <w:right w:w="28" w:type="dxa"/>
            </w:tcMar>
            <w:vAlign w:val="center"/>
          </w:tcPr>
          <w:p w14:paraId="7D9D441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B76B7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0DE7A2A0">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2B4B24F5">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5932370A">
            <w:pPr>
              <w:adjustRightInd w:val="0"/>
              <w:spacing w:line="0" w:lineRule="atLeast"/>
              <w:jc w:val="center"/>
              <w:rPr>
                <w:rFonts w:hint="eastAsia" w:hAnsi="宋体" w:cs="宋体"/>
                <w:color w:val="000000"/>
                <w:spacing w:val="-10"/>
                <w:kern w:val="0"/>
                <w:sz w:val="21"/>
                <w:szCs w:val="21"/>
              </w:rPr>
            </w:pPr>
          </w:p>
        </w:tc>
        <w:tc>
          <w:tcPr>
            <w:tcW w:w="2262" w:type="pct"/>
            <w:tcMar>
              <w:left w:w="28" w:type="dxa"/>
              <w:right w:w="28" w:type="dxa"/>
            </w:tcMar>
            <w:vAlign w:val="center"/>
          </w:tcPr>
          <w:p w14:paraId="1913A846">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3.2-6】强化兵地联防联控联治，落实兵地统一规划、统一政策统一标准、统一要求、统一推进的防治管理措施，完善重大项目环境影响评价区域会商、重污染天气兵地联合应急联动机制。建立兵地生态环境联合执法和联合监测长效机制。</w:t>
            </w:r>
          </w:p>
        </w:tc>
        <w:tc>
          <w:tcPr>
            <w:tcW w:w="1317" w:type="pct"/>
            <w:tcMar>
              <w:left w:w="28" w:type="dxa"/>
              <w:right w:w="28" w:type="dxa"/>
            </w:tcMar>
            <w:vAlign w:val="center"/>
          </w:tcPr>
          <w:p w14:paraId="05A9249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403" w:type="pct"/>
            <w:tcMar>
              <w:left w:w="28" w:type="dxa"/>
              <w:right w:w="28" w:type="dxa"/>
            </w:tcMar>
            <w:vAlign w:val="center"/>
          </w:tcPr>
          <w:p w14:paraId="015575F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25CA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62B7ECC9">
            <w:pPr>
              <w:adjustRightInd w:val="0"/>
              <w:spacing w:line="0" w:lineRule="atLeast"/>
              <w:jc w:val="center"/>
              <w:rPr>
                <w:rFonts w:hint="eastAsia" w:hAnsi="宋体" w:cs="宋体"/>
                <w:color w:val="000000"/>
                <w:spacing w:val="-10"/>
                <w:kern w:val="0"/>
                <w:sz w:val="21"/>
                <w:szCs w:val="21"/>
              </w:rPr>
            </w:pPr>
          </w:p>
        </w:tc>
        <w:tc>
          <w:tcPr>
            <w:tcW w:w="256" w:type="pct"/>
            <w:tcMar>
              <w:left w:w="28" w:type="dxa"/>
              <w:right w:w="28" w:type="dxa"/>
            </w:tcMar>
            <w:vAlign w:val="center"/>
          </w:tcPr>
          <w:p w14:paraId="5D2635D1">
            <w:pPr>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A4资源利用要求</w:t>
            </w:r>
          </w:p>
        </w:tc>
        <w:tc>
          <w:tcPr>
            <w:tcW w:w="505" w:type="pct"/>
            <w:tcMar>
              <w:left w:w="28" w:type="dxa"/>
              <w:right w:w="28" w:type="dxa"/>
            </w:tcMar>
            <w:vAlign w:val="center"/>
          </w:tcPr>
          <w:p w14:paraId="516959E0">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A4.1</w:t>
            </w:r>
          </w:p>
          <w:p w14:paraId="4D9327A4">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水资源</w:t>
            </w:r>
          </w:p>
        </w:tc>
        <w:tc>
          <w:tcPr>
            <w:tcW w:w="2262" w:type="pct"/>
            <w:tcMar>
              <w:left w:w="28" w:type="dxa"/>
              <w:right w:w="28" w:type="dxa"/>
            </w:tcMar>
            <w:vAlign w:val="center"/>
          </w:tcPr>
          <w:p w14:paraId="14C881D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【A4.1-1】自治区用水总量2025年、2030年控制在国家下达的指标内。</w:t>
            </w:r>
          </w:p>
        </w:tc>
        <w:tc>
          <w:tcPr>
            <w:tcW w:w="1317" w:type="pct"/>
            <w:tcMar>
              <w:left w:w="28" w:type="dxa"/>
              <w:right w:w="28" w:type="dxa"/>
            </w:tcMar>
            <w:vAlign w:val="center"/>
          </w:tcPr>
          <w:p w14:paraId="5094A75F">
            <w:pPr>
              <w:spacing w:line="0" w:lineRule="atLeast"/>
              <w:rPr>
                <w:rFonts w:hint="eastAsia" w:hAnsi="宋体" w:cs="宋体"/>
                <w:color w:val="000000"/>
                <w:spacing w:val="-10"/>
                <w:sz w:val="21"/>
                <w:szCs w:val="21"/>
                <w:lang w:bidi="ar"/>
              </w:rPr>
            </w:pPr>
            <w:r>
              <w:rPr>
                <w:rFonts w:hint="eastAsia" w:hAnsi="宋体" w:cs="宋体"/>
                <w:color w:val="000000"/>
                <w:spacing w:val="-10"/>
                <w:kern w:val="0"/>
                <w:sz w:val="21"/>
                <w:szCs w:val="21"/>
              </w:rPr>
              <w:t>拟建工程施工期中采取节水措施，用水量较小，管道试压废水进行综合利用，节约了水资源；运营期不新增用水，不会超过用水总量控制指标</w:t>
            </w:r>
          </w:p>
        </w:tc>
        <w:tc>
          <w:tcPr>
            <w:tcW w:w="403" w:type="pct"/>
            <w:tcMar>
              <w:left w:w="28" w:type="dxa"/>
              <w:right w:w="28" w:type="dxa"/>
            </w:tcMar>
            <w:vAlign w:val="center"/>
          </w:tcPr>
          <w:p w14:paraId="2CFFABD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符合</w:t>
            </w:r>
          </w:p>
        </w:tc>
      </w:tr>
    </w:tbl>
    <w:p w14:paraId="69737750">
      <w:pPr>
        <w:adjustRightInd w:val="0"/>
        <w:spacing w:line="480" w:lineRule="exact"/>
        <w:rPr>
          <w:rFonts w:ascii="黑体" w:hAnsi="黑体" w:eastAsia="黑体"/>
          <w:color w:val="000000"/>
          <w:szCs w:val="24"/>
        </w:rPr>
      </w:pPr>
      <w:r>
        <w:rPr>
          <w:color w:val="000000"/>
          <w:szCs w:val="24"/>
        </w:rPr>
        <w:br w:type="page"/>
      </w:r>
      <w:bookmarkStart w:id="132" w:name="OLE_LINK38"/>
      <w:bookmarkStart w:id="133" w:name="OLE_LINK39"/>
      <w:r>
        <w:rPr>
          <w:rFonts w:hint="eastAsia" w:ascii="黑体" w:hAnsi="黑体" w:eastAsia="黑体" w:cs="宋体"/>
          <w:color w:val="000000"/>
          <w:szCs w:val="24"/>
        </w:rPr>
        <w:t xml:space="preserve">  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57"/>
        <w:gridCol w:w="462"/>
        <w:gridCol w:w="911"/>
        <w:gridCol w:w="4008"/>
        <w:gridCol w:w="2450"/>
        <w:gridCol w:w="727"/>
      </w:tblGrid>
      <w:tr w14:paraId="2F04A3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tcMar>
              <w:left w:w="28" w:type="dxa"/>
              <w:right w:w="28" w:type="dxa"/>
            </w:tcMar>
            <w:vAlign w:val="center"/>
          </w:tcPr>
          <w:p w14:paraId="34C6CC02">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83" w:type="pct"/>
            <w:gridSpan w:val="3"/>
            <w:tcMar>
              <w:left w:w="28" w:type="dxa"/>
              <w:right w:w="28" w:type="dxa"/>
            </w:tcMar>
            <w:vAlign w:val="center"/>
          </w:tcPr>
          <w:p w14:paraId="5965D4F8">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管控要求</w:t>
            </w:r>
          </w:p>
        </w:tc>
        <w:tc>
          <w:tcPr>
            <w:tcW w:w="1358" w:type="pct"/>
            <w:tcMar>
              <w:left w:w="28" w:type="dxa"/>
              <w:right w:w="28" w:type="dxa"/>
            </w:tcMar>
            <w:vAlign w:val="center"/>
          </w:tcPr>
          <w:p w14:paraId="35B8DBBF">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w:t>
            </w:r>
          </w:p>
        </w:tc>
        <w:tc>
          <w:tcPr>
            <w:tcW w:w="403" w:type="pct"/>
            <w:tcMar>
              <w:left w:w="28" w:type="dxa"/>
              <w:right w:w="28" w:type="dxa"/>
            </w:tcMar>
            <w:vAlign w:val="center"/>
          </w:tcPr>
          <w:p w14:paraId="1A1AD0EA">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符合性</w:t>
            </w:r>
          </w:p>
        </w:tc>
      </w:tr>
      <w:bookmarkEnd w:id="132"/>
      <w:bookmarkEnd w:id="133"/>
      <w:tr w14:paraId="1E3104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55" w:hRule="atLeast"/>
          <w:jc w:val="center"/>
        </w:trPr>
        <w:tc>
          <w:tcPr>
            <w:tcW w:w="254" w:type="pct"/>
            <w:vMerge w:val="restart"/>
            <w:tcMar>
              <w:left w:w="28" w:type="dxa"/>
              <w:right w:w="28" w:type="dxa"/>
            </w:tcMar>
            <w:vAlign w:val="center"/>
          </w:tcPr>
          <w:p w14:paraId="40FDBF1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新疆维吾尔自治区总体管控要求</w:t>
            </w:r>
          </w:p>
        </w:tc>
        <w:tc>
          <w:tcPr>
            <w:tcW w:w="256" w:type="pct"/>
            <w:vMerge w:val="restart"/>
            <w:tcMar>
              <w:left w:w="28" w:type="dxa"/>
              <w:right w:w="28" w:type="dxa"/>
            </w:tcMar>
            <w:vAlign w:val="center"/>
          </w:tcPr>
          <w:p w14:paraId="176B12D0">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A4资源利用要求</w:t>
            </w:r>
          </w:p>
        </w:tc>
        <w:tc>
          <w:tcPr>
            <w:tcW w:w="505" w:type="pct"/>
            <w:vMerge w:val="restart"/>
            <w:tcMar>
              <w:left w:w="28" w:type="dxa"/>
              <w:right w:w="28" w:type="dxa"/>
            </w:tcMar>
            <w:vAlign w:val="center"/>
          </w:tcPr>
          <w:p w14:paraId="10ABD58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A4.1</w:t>
            </w:r>
          </w:p>
          <w:p w14:paraId="38E26563">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水资源</w:t>
            </w:r>
          </w:p>
        </w:tc>
        <w:tc>
          <w:tcPr>
            <w:tcW w:w="2221" w:type="pct"/>
            <w:tcMar>
              <w:left w:w="28" w:type="dxa"/>
              <w:right w:w="28" w:type="dxa"/>
            </w:tcMar>
            <w:vAlign w:val="center"/>
          </w:tcPr>
          <w:p w14:paraId="71A713C0">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【A4.1-2】加大城镇污水再生利用工程建设力度，推进区域再生水循环利用，到2025年，城市生活污水再生利用率力争达到60%。</w:t>
            </w:r>
          </w:p>
          <w:p w14:paraId="3F5DEB2C">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【A4.1-3】加强农村水利基础设施建设，推进农村供水保障工程，农村自来水普及率、集中供水率分别达到99.3%、99.7%。</w:t>
            </w:r>
          </w:p>
        </w:tc>
        <w:tc>
          <w:tcPr>
            <w:tcW w:w="1358" w:type="pct"/>
            <w:tcMar>
              <w:left w:w="28" w:type="dxa"/>
              <w:right w:w="28" w:type="dxa"/>
            </w:tcMar>
            <w:vAlign w:val="center"/>
          </w:tcPr>
          <w:p w14:paraId="29C477F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拟建工程不涉及相关内容</w:t>
            </w:r>
          </w:p>
        </w:tc>
        <w:tc>
          <w:tcPr>
            <w:tcW w:w="403" w:type="pct"/>
            <w:tcMar>
              <w:left w:w="28" w:type="dxa"/>
              <w:right w:w="28" w:type="dxa"/>
            </w:tcMar>
            <w:vAlign w:val="center"/>
          </w:tcPr>
          <w:p w14:paraId="7F3EF85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C0372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95" w:hRule="atLeast"/>
          <w:jc w:val="center"/>
        </w:trPr>
        <w:tc>
          <w:tcPr>
            <w:tcW w:w="254" w:type="pct"/>
            <w:vMerge w:val="continue"/>
            <w:tcMar>
              <w:left w:w="28" w:type="dxa"/>
              <w:right w:w="28" w:type="dxa"/>
            </w:tcMar>
            <w:vAlign w:val="center"/>
          </w:tcPr>
          <w:p w14:paraId="65D0FDAE">
            <w:pPr>
              <w:autoSpaceDE w:val="0"/>
              <w:autoSpaceDN w:val="0"/>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300B6FAB">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0E841E3E">
            <w:pPr>
              <w:adjustRightInd w:val="0"/>
              <w:spacing w:line="0" w:lineRule="atLeast"/>
              <w:jc w:val="center"/>
              <w:rPr>
                <w:rFonts w:hint="eastAsia" w:hAnsi="宋体" w:cs="宋体"/>
                <w:color w:val="000000"/>
                <w:spacing w:val="-10"/>
                <w:kern w:val="0"/>
                <w:sz w:val="21"/>
                <w:szCs w:val="21"/>
              </w:rPr>
            </w:pPr>
          </w:p>
        </w:tc>
        <w:tc>
          <w:tcPr>
            <w:tcW w:w="2221" w:type="pct"/>
            <w:tcMar>
              <w:left w:w="28" w:type="dxa"/>
              <w:right w:w="28" w:type="dxa"/>
            </w:tcMar>
            <w:vAlign w:val="center"/>
          </w:tcPr>
          <w:p w14:paraId="0945A7AA">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【A4.1-3】地下水资源利用实行总量控制和水位控制。取用地下水资源，应当按照国家和自治区有关规定申请取水许可。地下水利用应当以浅层地下水为主。</w:t>
            </w:r>
          </w:p>
        </w:tc>
        <w:tc>
          <w:tcPr>
            <w:tcW w:w="1358" w:type="pct"/>
            <w:tcMar>
              <w:left w:w="28" w:type="dxa"/>
              <w:right w:w="28" w:type="dxa"/>
            </w:tcMar>
            <w:vAlign w:val="center"/>
          </w:tcPr>
          <w:p w14:paraId="55216627">
            <w:pPr>
              <w:adjustRightInd w:val="0"/>
              <w:spacing w:line="0" w:lineRule="atLeast"/>
              <w:rPr>
                <w:rFonts w:hint="eastAsia" w:hAnsi="宋体" w:cs="宋体"/>
                <w:color w:val="000000"/>
                <w:spacing w:val="-10"/>
                <w:sz w:val="21"/>
                <w:szCs w:val="21"/>
              </w:rPr>
            </w:pPr>
            <w:r>
              <w:rPr>
                <w:rFonts w:hint="eastAsia" w:hAnsi="宋体" w:cs="宋体"/>
                <w:color w:val="000000"/>
                <w:spacing w:val="-10"/>
                <w:kern w:val="0"/>
                <w:sz w:val="21"/>
                <w:szCs w:val="21"/>
              </w:rPr>
              <w:t>拟建工程施工期中采取节水措施，用水量较小，管道试压废水进行综合利用，节约了水资源；运营期不新增用水，不会超过用水总量控制指标</w:t>
            </w:r>
          </w:p>
        </w:tc>
        <w:tc>
          <w:tcPr>
            <w:tcW w:w="403" w:type="pct"/>
            <w:tcMar>
              <w:left w:w="28" w:type="dxa"/>
              <w:right w:w="28" w:type="dxa"/>
            </w:tcMar>
            <w:vAlign w:val="center"/>
          </w:tcPr>
          <w:p w14:paraId="26DC51C8">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122B0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06" w:hRule="atLeast"/>
          <w:jc w:val="center"/>
        </w:trPr>
        <w:tc>
          <w:tcPr>
            <w:tcW w:w="254" w:type="pct"/>
            <w:vMerge w:val="continue"/>
            <w:tcMar>
              <w:left w:w="28" w:type="dxa"/>
              <w:right w:w="28" w:type="dxa"/>
            </w:tcMar>
            <w:vAlign w:val="center"/>
          </w:tcPr>
          <w:p w14:paraId="3AEF05E9">
            <w:pPr>
              <w:adjustRightInd w:val="0"/>
              <w:spacing w:line="0" w:lineRule="atLeast"/>
              <w:jc w:val="center"/>
              <w:rPr>
                <w:rFonts w:hint="eastAsia" w:hAnsi="宋体" w:cs="宋体"/>
                <w:color w:val="000000"/>
                <w:spacing w:val="-10"/>
                <w:sz w:val="21"/>
                <w:szCs w:val="21"/>
              </w:rPr>
            </w:pPr>
          </w:p>
        </w:tc>
        <w:tc>
          <w:tcPr>
            <w:tcW w:w="256" w:type="pct"/>
            <w:vMerge w:val="continue"/>
            <w:tcMar>
              <w:left w:w="28" w:type="dxa"/>
              <w:right w:w="28" w:type="dxa"/>
            </w:tcMar>
            <w:vAlign w:val="center"/>
          </w:tcPr>
          <w:p w14:paraId="70A79156">
            <w:pPr>
              <w:adjustRightInd w:val="0"/>
              <w:spacing w:line="0" w:lineRule="atLeast"/>
              <w:jc w:val="center"/>
              <w:rPr>
                <w:rFonts w:hint="eastAsia" w:hAnsi="宋体" w:cs="宋体"/>
                <w:color w:val="000000"/>
                <w:spacing w:val="-10"/>
                <w:sz w:val="21"/>
                <w:szCs w:val="21"/>
              </w:rPr>
            </w:pPr>
          </w:p>
        </w:tc>
        <w:tc>
          <w:tcPr>
            <w:tcW w:w="505" w:type="pct"/>
            <w:tcMar>
              <w:left w:w="28" w:type="dxa"/>
              <w:right w:w="28" w:type="dxa"/>
            </w:tcMar>
            <w:vAlign w:val="center"/>
          </w:tcPr>
          <w:p w14:paraId="2A5D0ED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A4.2</w:t>
            </w:r>
          </w:p>
          <w:p w14:paraId="7628CDE8">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土地资源</w:t>
            </w:r>
          </w:p>
        </w:tc>
        <w:tc>
          <w:tcPr>
            <w:tcW w:w="2221" w:type="pct"/>
            <w:tcMar>
              <w:left w:w="28" w:type="dxa"/>
              <w:right w:w="28" w:type="dxa"/>
            </w:tcMar>
            <w:vAlign w:val="center"/>
          </w:tcPr>
          <w:p w14:paraId="585CF659">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【A4.2-1】土地资源上线指标控制在最终批复的国土空间规划控制指标内。</w:t>
            </w:r>
          </w:p>
        </w:tc>
        <w:tc>
          <w:tcPr>
            <w:tcW w:w="1358" w:type="pct"/>
            <w:tcMar>
              <w:left w:w="28" w:type="dxa"/>
              <w:right w:w="28" w:type="dxa"/>
            </w:tcMar>
            <w:vAlign w:val="center"/>
          </w:tcPr>
          <w:p w14:paraId="19BCDDA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拟建工程占地面积较小，对土地资源占用较少，土地资源消耗符合要求</w:t>
            </w:r>
          </w:p>
        </w:tc>
        <w:tc>
          <w:tcPr>
            <w:tcW w:w="403" w:type="pct"/>
            <w:tcMar>
              <w:left w:w="28" w:type="dxa"/>
              <w:right w:w="28" w:type="dxa"/>
            </w:tcMar>
            <w:vAlign w:val="center"/>
          </w:tcPr>
          <w:p w14:paraId="2D02F4B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6BE29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824" w:hRule="atLeast"/>
          <w:jc w:val="center"/>
        </w:trPr>
        <w:tc>
          <w:tcPr>
            <w:tcW w:w="254" w:type="pct"/>
            <w:vMerge w:val="continue"/>
            <w:tcMar>
              <w:left w:w="28" w:type="dxa"/>
              <w:right w:w="28" w:type="dxa"/>
            </w:tcMar>
            <w:vAlign w:val="center"/>
          </w:tcPr>
          <w:p w14:paraId="620785DF">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71F27840">
            <w:pPr>
              <w:adjustRightInd w:val="0"/>
              <w:spacing w:line="0" w:lineRule="atLeast"/>
              <w:jc w:val="center"/>
              <w:rPr>
                <w:rFonts w:hint="eastAsia" w:hAnsi="宋体" w:cs="宋体"/>
                <w:color w:val="000000"/>
                <w:spacing w:val="-10"/>
                <w:kern w:val="0"/>
                <w:sz w:val="21"/>
                <w:szCs w:val="21"/>
              </w:rPr>
            </w:pPr>
          </w:p>
        </w:tc>
        <w:tc>
          <w:tcPr>
            <w:tcW w:w="505" w:type="pct"/>
            <w:vMerge w:val="restart"/>
            <w:tcMar>
              <w:left w:w="28" w:type="dxa"/>
              <w:right w:w="28" w:type="dxa"/>
            </w:tcMar>
            <w:vAlign w:val="center"/>
          </w:tcPr>
          <w:p w14:paraId="7D4F4549">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A4.3</w:t>
            </w:r>
          </w:p>
          <w:p w14:paraId="02B16F79">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能源利用</w:t>
            </w:r>
          </w:p>
        </w:tc>
        <w:tc>
          <w:tcPr>
            <w:tcW w:w="2221" w:type="pct"/>
            <w:tcMar>
              <w:left w:w="28" w:type="dxa"/>
              <w:right w:w="28" w:type="dxa"/>
            </w:tcMar>
            <w:vAlign w:val="center"/>
          </w:tcPr>
          <w:p w14:paraId="1156971D">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【A4.3-1】单位地区生产总值二氧化碳排放降低水平完成国家下达指标。</w:t>
            </w:r>
          </w:p>
          <w:p w14:paraId="6AB5EC21">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【A4.3-2】到2025年，自治区万元国内生产总值能耗比2020年下降14.5%。</w:t>
            </w:r>
          </w:p>
          <w:p w14:paraId="0C525047">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【A4.3-3】到2025年，非化石能源占一次能源消费比重达18%以上</w:t>
            </w:r>
          </w:p>
        </w:tc>
        <w:tc>
          <w:tcPr>
            <w:tcW w:w="1358" w:type="pct"/>
            <w:tcMar>
              <w:left w:w="28" w:type="dxa"/>
              <w:right w:w="28" w:type="dxa"/>
            </w:tcMar>
            <w:vAlign w:val="center"/>
          </w:tcPr>
          <w:p w14:paraId="1213DF2D">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拟建工程运营期不涉及温室气体排放</w:t>
            </w:r>
          </w:p>
        </w:tc>
        <w:tc>
          <w:tcPr>
            <w:tcW w:w="403" w:type="pct"/>
            <w:tcMar>
              <w:left w:w="28" w:type="dxa"/>
              <w:right w:w="28" w:type="dxa"/>
            </w:tcMar>
            <w:vAlign w:val="center"/>
          </w:tcPr>
          <w:p w14:paraId="1CC34B96">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37438E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03" w:hRule="atLeast"/>
          <w:jc w:val="center"/>
        </w:trPr>
        <w:tc>
          <w:tcPr>
            <w:tcW w:w="254" w:type="pct"/>
            <w:vMerge w:val="continue"/>
            <w:tcMar>
              <w:left w:w="28" w:type="dxa"/>
              <w:right w:w="28" w:type="dxa"/>
            </w:tcMar>
            <w:vAlign w:val="center"/>
          </w:tcPr>
          <w:p w14:paraId="1F716910">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3BD4952D">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76FD3D2B">
            <w:pPr>
              <w:adjustRightInd w:val="0"/>
              <w:spacing w:line="0" w:lineRule="atLeast"/>
              <w:jc w:val="center"/>
              <w:rPr>
                <w:rFonts w:hint="eastAsia" w:hAnsi="宋体" w:cs="宋体"/>
                <w:color w:val="000000"/>
                <w:spacing w:val="-10"/>
                <w:kern w:val="0"/>
                <w:sz w:val="21"/>
                <w:szCs w:val="21"/>
              </w:rPr>
            </w:pPr>
          </w:p>
        </w:tc>
        <w:tc>
          <w:tcPr>
            <w:tcW w:w="2221" w:type="pct"/>
            <w:tcMar>
              <w:left w:w="28" w:type="dxa"/>
              <w:right w:w="28" w:type="dxa"/>
            </w:tcMar>
            <w:vAlign w:val="center"/>
          </w:tcPr>
          <w:p w14:paraId="53464E58">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【A4.3-4】鼓励使用清洁能源或电厂热力、工业余热等替代锅炉炉窑燃料用煤。</w:t>
            </w:r>
          </w:p>
        </w:tc>
        <w:tc>
          <w:tcPr>
            <w:tcW w:w="1358" w:type="pct"/>
            <w:tcMar>
              <w:left w:w="28" w:type="dxa"/>
              <w:right w:w="28" w:type="dxa"/>
            </w:tcMar>
            <w:vAlign w:val="center"/>
          </w:tcPr>
          <w:p w14:paraId="3075316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项目不涉及</w:t>
            </w:r>
          </w:p>
        </w:tc>
        <w:tc>
          <w:tcPr>
            <w:tcW w:w="403" w:type="pct"/>
            <w:tcMar>
              <w:left w:w="28" w:type="dxa"/>
              <w:right w:w="28" w:type="dxa"/>
            </w:tcMar>
            <w:vAlign w:val="center"/>
          </w:tcPr>
          <w:p w14:paraId="0FAEAF7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7B7523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72" w:hRule="atLeast"/>
          <w:jc w:val="center"/>
        </w:trPr>
        <w:tc>
          <w:tcPr>
            <w:tcW w:w="254" w:type="pct"/>
            <w:vMerge w:val="continue"/>
            <w:tcMar>
              <w:left w:w="28" w:type="dxa"/>
              <w:right w:w="28" w:type="dxa"/>
            </w:tcMar>
            <w:vAlign w:val="center"/>
          </w:tcPr>
          <w:p w14:paraId="73A2F4C8">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3E879485">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3C7778F0">
            <w:pPr>
              <w:adjustRightInd w:val="0"/>
              <w:spacing w:line="0" w:lineRule="atLeast"/>
              <w:jc w:val="center"/>
              <w:rPr>
                <w:rFonts w:hint="eastAsia" w:hAnsi="宋体" w:cs="宋体"/>
                <w:color w:val="000000"/>
                <w:spacing w:val="-10"/>
                <w:kern w:val="0"/>
                <w:sz w:val="21"/>
                <w:szCs w:val="21"/>
              </w:rPr>
            </w:pPr>
          </w:p>
        </w:tc>
        <w:tc>
          <w:tcPr>
            <w:tcW w:w="2221" w:type="pct"/>
            <w:tcMar>
              <w:left w:w="28" w:type="dxa"/>
              <w:right w:w="28" w:type="dxa"/>
            </w:tcMar>
            <w:vAlign w:val="center"/>
          </w:tcPr>
          <w:p w14:paraId="4783A943">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【A4.3-5】以碳达峰碳中和工作为引领，着力提高能源资源利用效率。引导重点行业深入实施清洁生产改造，钢铁、建材、石油化工等重点行业以及其他行业重点用能单位持续开展节能降耗。</w:t>
            </w:r>
          </w:p>
        </w:tc>
        <w:tc>
          <w:tcPr>
            <w:tcW w:w="1358" w:type="pct"/>
            <w:tcMar>
              <w:left w:w="28" w:type="dxa"/>
              <w:right w:w="28" w:type="dxa"/>
            </w:tcMar>
            <w:vAlign w:val="center"/>
          </w:tcPr>
          <w:p w14:paraId="47778D9D">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拟建工程运营期不涉及温室气体排放</w:t>
            </w:r>
          </w:p>
        </w:tc>
        <w:tc>
          <w:tcPr>
            <w:tcW w:w="403" w:type="pct"/>
            <w:tcMar>
              <w:left w:w="28" w:type="dxa"/>
              <w:right w:w="28" w:type="dxa"/>
            </w:tcMar>
            <w:vAlign w:val="center"/>
          </w:tcPr>
          <w:p w14:paraId="0EC99276">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016F7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76" w:hRule="atLeast"/>
          <w:jc w:val="center"/>
        </w:trPr>
        <w:tc>
          <w:tcPr>
            <w:tcW w:w="254" w:type="pct"/>
            <w:vMerge w:val="continue"/>
            <w:tcMar>
              <w:left w:w="28" w:type="dxa"/>
              <w:right w:w="28" w:type="dxa"/>
            </w:tcMar>
            <w:vAlign w:val="center"/>
          </w:tcPr>
          <w:p w14:paraId="46A0A07B">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4B8D971A">
            <w:pPr>
              <w:adjustRightInd w:val="0"/>
              <w:spacing w:line="0" w:lineRule="atLeast"/>
              <w:jc w:val="center"/>
              <w:rPr>
                <w:rFonts w:hint="eastAsia" w:hAnsi="宋体" w:cs="宋体"/>
                <w:color w:val="000000"/>
                <w:spacing w:val="-10"/>
                <w:kern w:val="0"/>
                <w:sz w:val="21"/>
                <w:szCs w:val="21"/>
              </w:rPr>
            </w:pPr>
          </w:p>
        </w:tc>
        <w:tc>
          <w:tcPr>
            <w:tcW w:w="505" w:type="pct"/>
            <w:vMerge w:val="continue"/>
            <w:tcMar>
              <w:left w:w="28" w:type="dxa"/>
              <w:right w:w="28" w:type="dxa"/>
            </w:tcMar>
            <w:vAlign w:val="center"/>
          </w:tcPr>
          <w:p w14:paraId="2DAD48DB">
            <w:pPr>
              <w:adjustRightInd w:val="0"/>
              <w:spacing w:line="0" w:lineRule="atLeast"/>
              <w:jc w:val="center"/>
              <w:rPr>
                <w:rFonts w:hint="eastAsia" w:hAnsi="宋体" w:cs="宋体"/>
                <w:color w:val="000000"/>
                <w:spacing w:val="-10"/>
                <w:kern w:val="0"/>
                <w:sz w:val="21"/>
                <w:szCs w:val="21"/>
              </w:rPr>
            </w:pPr>
          </w:p>
        </w:tc>
        <w:tc>
          <w:tcPr>
            <w:tcW w:w="2221" w:type="pct"/>
            <w:tcMar>
              <w:left w:w="28" w:type="dxa"/>
              <w:right w:w="28" w:type="dxa"/>
            </w:tcMar>
            <w:vAlign w:val="center"/>
          </w:tcPr>
          <w:p w14:paraId="4CE0ECF0">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【A4.3-6】深入推进碳达峰碳中和行动。推动能源清洁低碳转型，加强能耗“双控”管理，优化能源消费结构。新增原料用能不纳入能源消费总量控制。持续推进散煤整治。</w:t>
            </w:r>
          </w:p>
        </w:tc>
        <w:tc>
          <w:tcPr>
            <w:tcW w:w="1358" w:type="pct"/>
            <w:tcMar>
              <w:left w:w="28" w:type="dxa"/>
              <w:right w:w="28" w:type="dxa"/>
            </w:tcMar>
            <w:vAlign w:val="center"/>
          </w:tcPr>
          <w:p w14:paraId="1B69DA41">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拟建工程运营期不涉及温室气体排放</w:t>
            </w:r>
          </w:p>
        </w:tc>
        <w:tc>
          <w:tcPr>
            <w:tcW w:w="403" w:type="pct"/>
            <w:tcMar>
              <w:left w:w="28" w:type="dxa"/>
              <w:right w:w="28" w:type="dxa"/>
            </w:tcMar>
            <w:vAlign w:val="center"/>
          </w:tcPr>
          <w:p w14:paraId="23994ED1">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343D27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02" w:hRule="atLeast"/>
          <w:jc w:val="center"/>
        </w:trPr>
        <w:tc>
          <w:tcPr>
            <w:tcW w:w="254" w:type="pct"/>
            <w:vMerge w:val="continue"/>
            <w:tcMar>
              <w:left w:w="28" w:type="dxa"/>
              <w:right w:w="28" w:type="dxa"/>
            </w:tcMar>
            <w:vAlign w:val="center"/>
          </w:tcPr>
          <w:p w14:paraId="69E9BDE0">
            <w:pPr>
              <w:adjustRightInd w:val="0"/>
              <w:spacing w:line="0" w:lineRule="atLeas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4B08B116">
            <w:pPr>
              <w:adjustRightInd w:val="0"/>
              <w:spacing w:line="0" w:lineRule="atLeast"/>
              <w:jc w:val="center"/>
              <w:rPr>
                <w:rFonts w:hint="eastAsia" w:hAnsi="宋体" w:cs="宋体"/>
                <w:color w:val="000000"/>
                <w:spacing w:val="-10"/>
                <w:kern w:val="0"/>
                <w:sz w:val="21"/>
                <w:szCs w:val="21"/>
              </w:rPr>
            </w:pPr>
          </w:p>
        </w:tc>
        <w:tc>
          <w:tcPr>
            <w:tcW w:w="505" w:type="pct"/>
            <w:tcMar>
              <w:left w:w="28" w:type="dxa"/>
              <w:right w:w="28" w:type="dxa"/>
            </w:tcMar>
            <w:vAlign w:val="center"/>
          </w:tcPr>
          <w:p w14:paraId="669BDB8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A4.4禁燃区要求</w:t>
            </w:r>
          </w:p>
        </w:tc>
        <w:tc>
          <w:tcPr>
            <w:tcW w:w="2221" w:type="pct"/>
            <w:tcMar>
              <w:left w:w="28" w:type="dxa"/>
              <w:right w:w="28" w:type="dxa"/>
            </w:tcMar>
            <w:vAlign w:val="center"/>
          </w:tcPr>
          <w:p w14:paraId="7AB2ACE1">
            <w:pPr>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【A4.4-1】在禁燃区内，禁止销售、燃用高污染燃料；禁止新建、扩建燃用高污染燃料的设施。已建成的，应当在规定期限内改用清洁能源。</w:t>
            </w:r>
          </w:p>
        </w:tc>
        <w:tc>
          <w:tcPr>
            <w:tcW w:w="1358" w:type="pct"/>
            <w:tcMar>
              <w:left w:w="28" w:type="dxa"/>
              <w:right w:w="28" w:type="dxa"/>
            </w:tcMar>
            <w:vAlign w:val="center"/>
          </w:tcPr>
          <w:p w14:paraId="2B7349A7">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拟建工程不涉及煤炭的消耗，不涉及燃用</w:t>
            </w:r>
            <w:r>
              <w:rPr>
                <w:rFonts w:hint="eastAsia" w:hAnsi="宋体" w:cs="宋体"/>
                <w:color w:val="000000"/>
                <w:spacing w:val="-10"/>
                <w:kern w:val="0"/>
                <w:sz w:val="21"/>
                <w:szCs w:val="21"/>
              </w:rPr>
              <w:t>高污染燃料的设施</w:t>
            </w:r>
          </w:p>
        </w:tc>
        <w:tc>
          <w:tcPr>
            <w:tcW w:w="403" w:type="pct"/>
            <w:tcMar>
              <w:left w:w="28" w:type="dxa"/>
              <w:right w:w="28" w:type="dxa"/>
            </w:tcMar>
            <w:vAlign w:val="center"/>
          </w:tcPr>
          <w:p w14:paraId="178C0181">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w:t>
            </w:r>
          </w:p>
        </w:tc>
      </w:tr>
    </w:tbl>
    <w:p w14:paraId="11FAAF9B">
      <w:pPr>
        <w:adjustRightInd w:val="0"/>
        <w:spacing w:line="480" w:lineRule="exact"/>
        <w:rPr>
          <w:rFonts w:ascii="黑体" w:hAnsi="黑体" w:eastAsia="黑体"/>
          <w:color w:val="000000"/>
          <w:szCs w:val="24"/>
        </w:rPr>
      </w:pPr>
      <w:r>
        <w:rPr>
          <w:color w:val="000000"/>
        </w:rPr>
        <w:br w:type="page"/>
      </w:r>
      <w:r>
        <w:rPr>
          <w:rFonts w:hint="eastAsia" w:ascii="黑体" w:hAnsi="黑体" w:eastAsia="黑体" w:cs="宋体"/>
          <w:color w:val="000000"/>
          <w:szCs w:val="24"/>
        </w:rPr>
        <w:t xml:space="preserve">  续表</w:t>
      </w:r>
      <w:r>
        <w:rPr>
          <w:rFonts w:hint="eastAsia" w:ascii="黑体" w:hAnsi="黑体" w:eastAsia="黑体"/>
          <w:color w:val="000000"/>
          <w:szCs w:val="24"/>
        </w:rPr>
        <w:t>3.5-4</w:t>
      </w:r>
      <w:r>
        <w:rPr>
          <w:rFonts w:hint="eastAsia" w:ascii="黑体" w:hAnsi="黑体" w:eastAsia="黑体" w:cs="宋体"/>
          <w:color w:val="000000"/>
          <w:szCs w:val="24"/>
        </w:rPr>
        <w:t xml:space="preserve">  </w:t>
      </w:r>
      <w:r>
        <w:rPr>
          <w:rFonts w:hint="eastAsia" w:ascii="黑体" w:hAnsi="黑体" w:eastAsia="黑体"/>
          <w:color w:val="000000"/>
          <w:szCs w:val="24"/>
        </w:rPr>
        <w:t>拟建工程与新疆维吾尔自治区总体管控要求符合性分析一览表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57"/>
        <w:gridCol w:w="462"/>
        <w:gridCol w:w="673"/>
        <w:gridCol w:w="4806"/>
        <w:gridCol w:w="1890"/>
        <w:gridCol w:w="727"/>
      </w:tblGrid>
      <w:tr w14:paraId="18E75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tcMar>
              <w:left w:w="28" w:type="dxa"/>
              <w:right w:w="28" w:type="dxa"/>
            </w:tcMar>
            <w:vAlign w:val="center"/>
          </w:tcPr>
          <w:p w14:paraId="625F9834">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名称</w:t>
            </w:r>
          </w:p>
        </w:tc>
        <w:tc>
          <w:tcPr>
            <w:tcW w:w="3294" w:type="pct"/>
            <w:gridSpan w:val="3"/>
            <w:tcMar>
              <w:left w:w="28" w:type="dxa"/>
              <w:right w:w="28" w:type="dxa"/>
            </w:tcMar>
            <w:vAlign w:val="center"/>
          </w:tcPr>
          <w:p w14:paraId="5DDA9E92">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管控要求</w:t>
            </w:r>
          </w:p>
        </w:tc>
        <w:tc>
          <w:tcPr>
            <w:tcW w:w="1048" w:type="pct"/>
            <w:tcMar>
              <w:left w:w="28" w:type="dxa"/>
              <w:right w:w="28" w:type="dxa"/>
            </w:tcMar>
            <w:vAlign w:val="center"/>
          </w:tcPr>
          <w:p w14:paraId="5A4B4986">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拟建工程</w:t>
            </w:r>
          </w:p>
        </w:tc>
        <w:tc>
          <w:tcPr>
            <w:tcW w:w="403" w:type="pct"/>
            <w:tcMar>
              <w:left w:w="28" w:type="dxa"/>
              <w:right w:w="28" w:type="dxa"/>
            </w:tcMar>
            <w:vAlign w:val="center"/>
          </w:tcPr>
          <w:p w14:paraId="1A213AB8">
            <w:pPr>
              <w:autoSpaceDE w:val="0"/>
              <w:autoSpaceDN w:val="0"/>
              <w:adjustRightInd w:val="0"/>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符合性</w:t>
            </w:r>
          </w:p>
        </w:tc>
      </w:tr>
      <w:tr w14:paraId="3F73E5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restart"/>
            <w:tcMar>
              <w:left w:w="28" w:type="dxa"/>
              <w:right w:w="28" w:type="dxa"/>
            </w:tcMar>
            <w:vAlign w:val="center"/>
          </w:tcPr>
          <w:p w14:paraId="7A3D95FF">
            <w:pPr>
              <w:autoSpaceDE w:val="0"/>
              <w:autoSpaceDN w:val="0"/>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新疆维吾尔自治区总体管控要求</w:t>
            </w:r>
          </w:p>
        </w:tc>
        <w:tc>
          <w:tcPr>
            <w:tcW w:w="256" w:type="pct"/>
            <w:vMerge w:val="restart"/>
            <w:tcMar>
              <w:left w:w="28" w:type="dxa"/>
              <w:right w:w="28" w:type="dxa"/>
            </w:tcMar>
            <w:vAlign w:val="center"/>
          </w:tcPr>
          <w:p w14:paraId="16455990">
            <w:pPr>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A4资源利用要求</w:t>
            </w:r>
          </w:p>
        </w:tc>
        <w:tc>
          <w:tcPr>
            <w:tcW w:w="373" w:type="pct"/>
            <w:vMerge w:val="restart"/>
            <w:tcMar>
              <w:left w:w="28" w:type="dxa"/>
              <w:right w:w="28" w:type="dxa"/>
            </w:tcMar>
            <w:vAlign w:val="center"/>
          </w:tcPr>
          <w:p w14:paraId="66314AEC">
            <w:pPr>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A4.5资源综合利用</w:t>
            </w:r>
          </w:p>
        </w:tc>
        <w:tc>
          <w:tcPr>
            <w:tcW w:w="2665" w:type="pct"/>
            <w:tcMar>
              <w:left w:w="28" w:type="dxa"/>
              <w:right w:w="28" w:type="dxa"/>
            </w:tcMar>
            <w:vAlign w:val="center"/>
          </w:tcPr>
          <w:p w14:paraId="3C79C329">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A4.5-1】加强固体废物源头减量、资源化利用和无害化处置，最大限度减少填埋量。推进工业固体废物精细化、名录化环境管理，促进大宗工业固废综合利用、主要农业废弃物全量利用。加快构建废旧物资回收和循环利用体系，健全强制报废制度和废旧家电、消费电子等耐用消费品回收处理体系，推行生产企业“逆向回收”模式。以尾矿和共伴生矿、煤矸石、炉渣、粉煤灰、脱硫石膏、冶炼渣、建筑垃圾等为重点，持续推进固体废物综合利用和环境整治不断提高大宗固体废物资源化利用水平。推行生活垃圾分类，加快建设县（市）生活垃圾处理设施，到2025年，全疆城市生活垃圾无害化处理率达到99%以上。</w:t>
            </w:r>
          </w:p>
        </w:tc>
        <w:tc>
          <w:tcPr>
            <w:tcW w:w="1048" w:type="pct"/>
            <w:tcMar>
              <w:left w:w="28" w:type="dxa"/>
              <w:right w:w="28" w:type="dxa"/>
            </w:tcMar>
            <w:vAlign w:val="center"/>
          </w:tcPr>
          <w:p w14:paraId="05F145B4">
            <w:pPr>
              <w:autoSpaceDE w:val="0"/>
              <w:autoSpaceDN w:val="0"/>
              <w:adjustRightInd w:val="0"/>
              <w:spacing w:line="260" w:lineRule="exact"/>
              <w:rPr>
                <w:rFonts w:hAnsi="宋体" w:cs="宋体"/>
                <w:color w:val="000000"/>
                <w:spacing w:val="-10"/>
                <w:sz w:val="21"/>
                <w:szCs w:val="21"/>
              </w:rPr>
            </w:pPr>
            <w:r>
              <w:rPr>
                <w:rFonts w:hint="eastAsia" w:hAnsi="宋体" w:cs="宋体"/>
                <w:color w:val="000000"/>
                <w:spacing w:val="-10"/>
                <w:sz w:val="21"/>
                <w:szCs w:val="21"/>
              </w:rPr>
              <w:t>拟建工程运营期无固废产生</w:t>
            </w:r>
          </w:p>
        </w:tc>
        <w:tc>
          <w:tcPr>
            <w:tcW w:w="403" w:type="pct"/>
            <w:tcMar>
              <w:left w:w="28" w:type="dxa"/>
              <w:right w:w="28" w:type="dxa"/>
            </w:tcMar>
            <w:vAlign w:val="center"/>
          </w:tcPr>
          <w:p w14:paraId="6F6D84A4">
            <w:pPr>
              <w:autoSpaceDE w:val="0"/>
              <w:autoSpaceDN w:val="0"/>
              <w:adjustRightInd w:val="0"/>
              <w:spacing w:line="260" w:lineRule="exact"/>
              <w:jc w:val="center"/>
              <w:rPr>
                <w:rFonts w:hint="eastAsia" w:hAnsi="宋体" w:cs="宋体"/>
                <w:color w:val="000000"/>
                <w:spacing w:val="-10"/>
                <w:sz w:val="21"/>
                <w:szCs w:val="21"/>
              </w:rPr>
            </w:pPr>
            <w:r>
              <w:rPr>
                <w:rFonts w:hint="eastAsia" w:hAnsi="宋体" w:cs="宋体"/>
                <w:color w:val="000000"/>
                <w:spacing w:val="-10"/>
                <w:kern w:val="0"/>
                <w:sz w:val="21"/>
                <w:szCs w:val="21"/>
              </w:rPr>
              <w:t>--</w:t>
            </w:r>
          </w:p>
        </w:tc>
      </w:tr>
      <w:tr w14:paraId="5ADE2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2710140E">
            <w:pPr>
              <w:adjustRightInd w:val="0"/>
              <w:spacing w:line="260" w:lineRule="exac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69E61330">
            <w:pPr>
              <w:adjustRightInd w:val="0"/>
              <w:spacing w:line="260" w:lineRule="exact"/>
              <w:jc w:val="center"/>
              <w:rPr>
                <w:rFonts w:hint="eastAsia" w:hAnsi="宋体" w:cs="宋体"/>
                <w:color w:val="000000"/>
                <w:spacing w:val="-10"/>
                <w:kern w:val="0"/>
                <w:sz w:val="21"/>
                <w:szCs w:val="21"/>
              </w:rPr>
            </w:pPr>
          </w:p>
        </w:tc>
        <w:tc>
          <w:tcPr>
            <w:tcW w:w="373" w:type="pct"/>
            <w:vMerge w:val="continue"/>
            <w:tcMar>
              <w:left w:w="28" w:type="dxa"/>
              <w:right w:w="28" w:type="dxa"/>
            </w:tcMar>
            <w:vAlign w:val="center"/>
          </w:tcPr>
          <w:p w14:paraId="092E7001">
            <w:pPr>
              <w:adjustRightInd w:val="0"/>
              <w:spacing w:line="260" w:lineRule="exact"/>
              <w:jc w:val="center"/>
              <w:rPr>
                <w:rFonts w:hint="eastAsia" w:hAnsi="宋体" w:cs="宋体"/>
                <w:color w:val="000000"/>
                <w:spacing w:val="-10"/>
                <w:sz w:val="21"/>
                <w:szCs w:val="21"/>
              </w:rPr>
            </w:pPr>
          </w:p>
        </w:tc>
        <w:tc>
          <w:tcPr>
            <w:tcW w:w="2665" w:type="pct"/>
            <w:tcMar>
              <w:left w:w="28" w:type="dxa"/>
              <w:right w:w="28" w:type="dxa"/>
            </w:tcMar>
            <w:vAlign w:val="center"/>
          </w:tcPr>
          <w:p w14:paraId="49CBDB23">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A4.5-2】推动工业固废按元素价值综合开发利用，加快推进尾矿（共伴生矿）、粉煤灰、煤矸石、冶炼渣、工业副产石膏、赤泥、化工废渣等工业固废在有价组分提取、建材生产、市政设施建设、井下充填、生态修复、土壤治理等领域的规模化利用。着力提升工业固废在生产纤维材料、微晶玻璃、超细化填料、低碳水泥、固废基高性能混凝土、预制件、节能型建筑材料等领域的高值化利用水平。</w:t>
            </w:r>
          </w:p>
        </w:tc>
        <w:tc>
          <w:tcPr>
            <w:tcW w:w="1048" w:type="pct"/>
            <w:tcMar>
              <w:left w:w="28" w:type="dxa"/>
              <w:right w:w="28" w:type="dxa"/>
            </w:tcMar>
            <w:vAlign w:val="center"/>
          </w:tcPr>
          <w:p w14:paraId="1A17B958">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拟建工程不涉及相关</w:t>
            </w:r>
          </w:p>
          <w:p w14:paraId="2054C251">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内容。</w:t>
            </w:r>
          </w:p>
        </w:tc>
        <w:tc>
          <w:tcPr>
            <w:tcW w:w="403" w:type="pct"/>
            <w:tcMar>
              <w:left w:w="28" w:type="dxa"/>
              <w:right w:w="28" w:type="dxa"/>
            </w:tcMar>
            <w:vAlign w:val="center"/>
          </w:tcPr>
          <w:p w14:paraId="0DFB6548">
            <w:pPr>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167518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7A18439A">
            <w:pPr>
              <w:adjustRightInd w:val="0"/>
              <w:spacing w:line="260" w:lineRule="exac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6AEB998F">
            <w:pPr>
              <w:adjustRightInd w:val="0"/>
              <w:spacing w:line="260" w:lineRule="exact"/>
              <w:jc w:val="center"/>
              <w:rPr>
                <w:rFonts w:hint="eastAsia" w:hAnsi="宋体" w:cs="宋体"/>
                <w:color w:val="000000"/>
                <w:spacing w:val="-10"/>
                <w:kern w:val="0"/>
                <w:sz w:val="21"/>
                <w:szCs w:val="21"/>
              </w:rPr>
            </w:pPr>
          </w:p>
        </w:tc>
        <w:tc>
          <w:tcPr>
            <w:tcW w:w="373" w:type="pct"/>
            <w:vMerge w:val="continue"/>
            <w:tcMar>
              <w:left w:w="28" w:type="dxa"/>
              <w:right w:w="28" w:type="dxa"/>
            </w:tcMar>
            <w:vAlign w:val="center"/>
          </w:tcPr>
          <w:p w14:paraId="43C809CB">
            <w:pPr>
              <w:adjustRightInd w:val="0"/>
              <w:spacing w:line="260" w:lineRule="exact"/>
              <w:jc w:val="center"/>
              <w:rPr>
                <w:rFonts w:hint="eastAsia" w:hAnsi="宋体" w:cs="宋体"/>
                <w:color w:val="000000"/>
                <w:spacing w:val="-10"/>
                <w:kern w:val="0"/>
                <w:sz w:val="21"/>
                <w:szCs w:val="21"/>
              </w:rPr>
            </w:pPr>
          </w:p>
        </w:tc>
        <w:tc>
          <w:tcPr>
            <w:tcW w:w="2665" w:type="pct"/>
            <w:tcMar>
              <w:left w:w="28" w:type="dxa"/>
              <w:right w:w="28" w:type="dxa"/>
            </w:tcMar>
            <w:vAlign w:val="center"/>
          </w:tcPr>
          <w:p w14:paraId="0E3905B1">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A4.5-3】结合工业领域减污降碳要求，加快探索钢铁、有色、化工、建材等重点行业工业固体废物减量化路径，全面推行清洁生产全面推进绿色矿山、“无废”矿区建设，推广尾矿等大宗工业固体废物环境友好型井下充填回填，减少尾矿库贮存量。推动大宗工业固体废物在提取有价组分、生产建材、筑路、生态修复、土壤治理等领域的规模化利用。</w:t>
            </w:r>
          </w:p>
        </w:tc>
        <w:tc>
          <w:tcPr>
            <w:tcW w:w="1048" w:type="pct"/>
            <w:tcMar>
              <w:left w:w="28" w:type="dxa"/>
              <w:right w:w="28" w:type="dxa"/>
            </w:tcMar>
            <w:vAlign w:val="center"/>
          </w:tcPr>
          <w:p w14:paraId="081AFD1C">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拟建工程不涉及相关</w:t>
            </w:r>
          </w:p>
          <w:p w14:paraId="3088905A">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内容。</w:t>
            </w:r>
          </w:p>
        </w:tc>
        <w:tc>
          <w:tcPr>
            <w:tcW w:w="403" w:type="pct"/>
            <w:tcMar>
              <w:left w:w="28" w:type="dxa"/>
              <w:right w:w="28" w:type="dxa"/>
            </w:tcMar>
            <w:vAlign w:val="center"/>
          </w:tcPr>
          <w:p w14:paraId="0162A537">
            <w:pPr>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08984D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4" w:type="pct"/>
            <w:vMerge w:val="continue"/>
            <w:tcMar>
              <w:left w:w="28" w:type="dxa"/>
              <w:right w:w="28" w:type="dxa"/>
            </w:tcMar>
            <w:vAlign w:val="center"/>
          </w:tcPr>
          <w:p w14:paraId="2CE4EDF0">
            <w:pPr>
              <w:adjustRightInd w:val="0"/>
              <w:spacing w:line="260" w:lineRule="exact"/>
              <w:jc w:val="center"/>
              <w:rPr>
                <w:rFonts w:hint="eastAsia" w:hAnsi="宋体" w:cs="宋体"/>
                <w:color w:val="000000"/>
                <w:spacing w:val="-10"/>
                <w:kern w:val="0"/>
                <w:sz w:val="21"/>
                <w:szCs w:val="21"/>
              </w:rPr>
            </w:pPr>
          </w:p>
        </w:tc>
        <w:tc>
          <w:tcPr>
            <w:tcW w:w="256" w:type="pct"/>
            <w:vMerge w:val="continue"/>
            <w:tcMar>
              <w:left w:w="28" w:type="dxa"/>
              <w:right w:w="28" w:type="dxa"/>
            </w:tcMar>
            <w:vAlign w:val="center"/>
          </w:tcPr>
          <w:p w14:paraId="6B7600B7">
            <w:pPr>
              <w:adjustRightInd w:val="0"/>
              <w:spacing w:line="260" w:lineRule="exact"/>
              <w:jc w:val="center"/>
              <w:rPr>
                <w:rFonts w:hint="eastAsia" w:hAnsi="宋体" w:cs="宋体"/>
                <w:color w:val="000000"/>
                <w:spacing w:val="-10"/>
                <w:kern w:val="0"/>
                <w:sz w:val="21"/>
                <w:szCs w:val="21"/>
              </w:rPr>
            </w:pPr>
          </w:p>
        </w:tc>
        <w:tc>
          <w:tcPr>
            <w:tcW w:w="373" w:type="pct"/>
            <w:vMerge w:val="continue"/>
            <w:tcMar>
              <w:left w:w="28" w:type="dxa"/>
              <w:right w:w="28" w:type="dxa"/>
            </w:tcMar>
            <w:vAlign w:val="center"/>
          </w:tcPr>
          <w:p w14:paraId="42F892E2">
            <w:pPr>
              <w:adjustRightInd w:val="0"/>
              <w:spacing w:line="260" w:lineRule="exact"/>
              <w:jc w:val="center"/>
              <w:rPr>
                <w:rFonts w:hint="eastAsia" w:hAnsi="宋体" w:cs="宋体"/>
                <w:color w:val="000000"/>
                <w:spacing w:val="-10"/>
                <w:kern w:val="0"/>
                <w:sz w:val="21"/>
                <w:szCs w:val="21"/>
              </w:rPr>
            </w:pPr>
          </w:p>
        </w:tc>
        <w:tc>
          <w:tcPr>
            <w:tcW w:w="2665" w:type="pct"/>
            <w:tcMar>
              <w:left w:w="28" w:type="dxa"/>
              <w:right w:w="28" w:type="dxa"/>
            </w:tcMar>
            <w:vAlign w:val="center"/>
          </w:tcPr>
          <w:p w14:paraId="57576A66">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A4.5-4】发展生态种植、生态养殖，建立农业循环经济发展模式促进农业固体废物综合利用。鼓励和引导农民采用增施有机肥秸秆还田、种植绿肥等技术，持续减少化肥农药使用比例。加大畜禽粪污和秸秆资源化利用先进技术和新型市场模式的集成推广，推动形成长效运行机制。</w:t>
            </w:r>
          </w:p>
        </w:tc>
        <w:tc>
          <w:tcPr>
            <w:tcW w:w="1048" w:type="pct"/>
            <w:tcMar>
              <w:left w:w="28" w:type="dxa"/>
              <w:right w:w="28" w:type="dxa"/>
            </w:tcMar>
            <w:vAlign w:val="center"/>
          </w:tcPr>
          <w:p w14:paraId="08A28C2E">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拟建工程不涉及相关</w:t>
            </w:r>
          </w:p>
          <w:p w14:paraId="67B9BCA9">
            <w:pPr>
              <w:adjustRightInd w:val="0"/>
              <w:spacing w:line="260" w:lineRule="exact"/>
              <w:rPr>
                <w:rFonts w:hint="eastAsia" w:hAnsi="宋体" w:cs="宋体"/>
                <w:color w:val="000000"/>
                <w:spacing w:val="-10"/>
                <w:kern w:val="0"/>
                <w:sz w:val="21"/>
                <w:szCs w:val="21"/>
              </w:rPr>
            </w:pPr>
            <w:r>
              <w:rPr>
                <w:rFonts w:hint="eastAsia" w:hAnsi="宋体" w:cs="宋体"/>
                <w:color w:val="000000"/>
                <w:spacing w:val="-10"/>
                <w:kern w:val="0"/>
                <w:sz w:val="21"/>
                <w:szCs w:val="21"/>
              </w:rPr>
              <w:t>内容。</w:t>
            </w:r>
          </w:p>
        </w:tc>
        <w:tc>
          <w:tcPr>
            <w:tcW w:w="403" w:type="pct"/>
            <w:tcMar>
              <w:left w:w="28" w:type="dxa"/>
              <w:right w:w="28" w:type="dxa"/>
            </w:tcMar>
            <w:vAlign w:val="center"/>
          </w:tcPr>
          <w:p w14:paraId="28084C72">
            <w:pPr>
              <w:adjustRightInd w:val="0"/>
              <w:spacing w:line="260"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bl>
    <w:p w14:paraId="1E4273EF">
      <w:pPr>
        <w:adjustRightInd w:val="0"/>
        <w:spacing w:before="160" w:line="480" w:lineRule="exact"/>
        <w:ind w:firstLine="515" w:firstLineChars="196"/>
        <w:rPr>
          <w:rFonts w:hint="eastAsia" w:ascii="黑体" w:hAnsi="黑体" w:eastAsia="黑体"/>
          <w:color w:val="000000"/>
          <w:szCs w:val="24"/>
        </w:rPr>
      </w:pPr>
      <w:r>
        <w:rPr>
          <w:rFonts w:hint="eastAsia" w:ascii="黑体" w:hAnsi="黑体" w:eastAsia="黑体" w:cs="宋体"/>
          <w:color w:val="000000"/>
          <w:szCs w:val="24"/>
        </w:rPr>
        <w:t>表</w:t>
      </w:r>
      <w:r>
        <w:rPr>
          <w:rFonts w:hint="eastAsia" w:ascii="黑体" w:hAnsi="黑体" w:eastAsia="黑体"/>
          <w:color w:val="000000"/>
          <w:szCs w:val="24"/>
        </w:rPr>
        <w:t>3.5-5</w:t>
      </w:r>
      <w:r>
        <w:rPr>
          <w:rFonts w:hint="eastAsia" w:ascii="黑体" w:hAnsi="黑体" w:eastAsia="黑体" w:cs="宋体"/>
          <w:color w:val="000000"/>
          <w:szCs w:val="24"/>
        </w:rPr>
        <w:t xml:space="preserve">  </w:t>
      </w:r>
      <w:r>
        <w:rPr>
          <w:rFonts w:hint="eastAsia" w:ascii="黑体" w:hAnsi="黑体" w:eastAsia="黑体"/>
          <w:color w:val="000000"/>
          <w:szCs w:val="24"/>
        </w:rPr>
        <w:t>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85"/>
        <w:gridCol w:w="633"/>
        <w:gridCol w:w="3289"/>
        <w:gridCol w:w="3693"/>
        <w:gridCol w:w="537"/>
      </w:tblGrid>
      <w:tr w14:paraId="0EE169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tcMar>
              <w:left w:w="28" w:type="dxa"/>
              <w:right w:w="28" w:type="dxa"/>
            </w:tcMar>
            <w:vAlign w:val="center"/>
          </w:tcPr>
          <w:p w14:paraId="27F69563">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170" w:type="pct"/>
            <w:gridSpan w:val="2"/>
            <w:tcMar>
              <w:left w:w="28" w:type="dxa"/>
              <w:right w:w="28" w:type="dxa"/>
            </w:tcMar>
            <w:vAlign w:val="center"/>
          </w:tcPr>
          <w:p w14:paraId="134EB92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2043" w:type="pct"/>
            <w:tcMar>
              <w:left w:w="28" w:type="dxa"/>
              <w:right w:w="28" w:type="dxa"/>
            </w:tcMar>
            <w:vAlign w:val="center"/>
          </w:tcPr>
          <w:p w14:paraId="08FEF65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7" w:type="pct"/>
            <w:tcMar>
              <w:left w:w="28" w:type="dxa"/>
              <w:right w:w="28" w:type="dxa"/>
            </w:tcMar>
            <w:vAlign w:val="center"/>
          </w:tcPr>
          <w:p w14:paraId="0FCA7F28">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340343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tcMar>
              <w:left w:w="28" w:type="dxa"/>
              <w:right w:w="28" w:type="dxa"/>
            </w:tcMar>
            <w:vAlign w:val="center"/>
          </w:tcPr>
          <w:p w14:paraId="1119B790">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阿克苏地区总体管控要求</w:t>
            </w:r>
          </w:p>
        </w:tc>
        <w:tc>
          <w:tcPr>
            <w:tcW w:w="350" w:type="pct"/>
            <w:tcMar>
              <w:left w:w="28" w:type="dxa"/>
              <w:right w:w="28" w:type="dxa"/>
            </w:tcMar>
            <w:vAlign w:val="center"/>
          </w:tcPr>
          <w:p w14:paraId="147F290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空间布局约束</w:t>
            </w:r>
          </w:p>
        </w:tc>
        <w:tc>
          <w:tcPr>
            <w:tcW w:w="1820" w:type="pct"/>
            <w:tcMar>
              <w:left w:w="28" w:type="dxa"/>
              <w:right w:w="28" w:type="dxa"/>
            </w:tcMar>
            <w:vAlign w:val="center"/>
          </w:tcPr>
          <w:p w14:paraId="39AA239F">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1.1禁止新建、改（扩）建《产业结构调整指导目录（2024年本）》中淘汰类项目。禁止引入《市场准入负面清单（2022年版）》禁止准入类事项。</w:t>
            </w:r>
          </w:p>
        </w:tc>
        <w:tc>
          <w:tcPr>
            <w:tcW w:w="2043" w:type="pct"/>
            <w:tcMar>
              <w:left w:w="28" w:type="dxa"/>
              <w:right w:w="28" w:type="dxa"/>
            </w:tcMar>
            <w:vAlign w:val="center"/>
          </w:tcPr>
          <w:p w14:paraId="35BC5774">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拟建工程为油气开采项目</w:t>
            </w:r>
            <w:r>
              <w:rPr>
                <w:rFonts w:hint="eastAsia" w:hAnsi="宋体" w:cs="宋体"/>
                <w:color w:val="000000"/>
                <w:spacing w:val="-10"/>
                <w:kern w:val="0"/>
                <w:sz w:val="21"/>
                <w:szCs w:val="21"/>
              </w:rPr>
              <w:t>，属于</w:t>
            </w:r>
            <w:r>
              <w:rPr>
                <w:rFonts w:hint="eastAsia" w:hAnsi="宋体" w:cs="宋体"/>
                <w:color w:val="000000"/>
                <w:spacing w:val="-10"/>
                <w:sz w:val="21"/>
                <w:szCs w:val="21"/>
              </w:rPr>
              <w:t>《产业结构调整指导目录（2024年本）》（国家发展改革委令 2023年 第7号）</w:t>
            </w:r>
            <w:r>
              <w:rPr>
                <w:rFonts w:hint="eastAsia" w:hAnsi="宋体" w:cs="宋体"/>
                <w:color w:val="000000"/>
                <w:spacing w:val="-10"/>
                <w:kern w:val="0"/>
                <w:sz w:val="21"/>
                <w:szCs w:val="21"/>
              </w:rPr>
              <w:t>中的鼓励类项目，符合国家当前产业政策要求；不属于《市场准入负面清单（2025年版）》（发改体改规〔2025〕466号）中禁止准入类项目</w:t>
            </w:r>
          </w:p>
        </w:tc>
        <w:tc>
          <w:tcPr>
            <w:tcW w:w="297" w:type="pct"/>
            <w:tcMar>
              <w:left w:w="28" w:type="dxa"/>
              <w:right w:w="28" w:type="dxa"/>
            </w:tcMar>
            <w:vAlign w:val="center"/>
          </w:tcPr>
          <w:p w14:paraId="55EB685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31182B48">
      <w:pPr>
        <w:adjustRightInd w:val="0"/>
        <w:spacing w:before="160" w:line="480" w:lineRule="exact"/>
        <w:ind w:firstLine="515" w:firstLineChars="196"/>
        <w:rPr>
          <w:rFonts w:hint="eastAsia" w:ascii="黑体" w:hAnsi="黑体" w:eastAsia="黑体"/>
          <w:color w:val="000000"/>
          <w:szCs w:val="24"/>
        </w:rPr>
      </w:pPr>
      <w:r>
        <w:rPr>
          <w:rFonts w:hint="eastAsia" w:ascii="黑体" w:hAnsi="黑体" w:eastAsia="黑体" w:cs="宋体"/>
          <w:color w:val="000000"/>
          <w:szCs w:val="24"/>
        </w:rPr>
        <w:t>续表</w:t>
      </w:r>
      <w:r>
        <w:rPr>
          <w:rFonts w:hint="eastAsia" w:ascii="黑体" w:hAnsi="黑体" w:eastAsia="黑体"/>
          <w:color w:val="000000"/>
          <w:szCs w:val="24"/>
        </w:rPr>
        <w:t>3.5-5</w:t>
      </w:r>
      <w:r>
        <w:rPr>
          <w:rFonts w:hint="eastAsia" w:ascii="黑体" w:hAnsi="黑体" w:eastAsia="黑体" w:cs="宋体"/>
          <w:color w:val="000000"/>
          <w:szCs w:val="24"/>
        </w:rPr>
        <w:t xml:space="preserve">  </w:t>
      </w:r>
      <w:r>
        <w:rPr>
          <w:rFonts w:hint="eastAsia" w:ascii="黑体" w:hAnsi="黑体" w:eastAsia="黑体"/>
          <w:color w:val="000000"/>
          <w:szCs w:val="24"/>
        </w:rPr>
        <w:t>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85"/>
        <w:gridCol w:w="633"/>
        <w:gridCol w:w="3289"/>
        <w:gridCol w:w="3693"/>
        <w:gridCol w:w="537"/>
      </w:tblGrid>
      <w:tr w14:paraId="3DE3AA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tcMar>
              <w:left w:w="28" w:type="dxa"/>
              <w:right w:w="28" w:type="dxa"/>
            </w:tcMar>
            <w:vAlign w:val="center"/>
          </w:tcPr>
          <w:p w14:paraId="24B5F427">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170" w:type="pct"/>
            <w:gridSpan w:val="2"/>
            <w:tcMar>
              <w:left w:w="28" w:type="dxa"/>
              <w:right w:w="28" w:type="dxa"/>
            </w:tcMar>
            <w:vAlign w:val="center"/>
          </w:tcPr>
          <w:p w14:paraId="3499941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2043" w:type="pct"/>
            <w:tcMar>
              <w:left w:w="28" w:type="dxa"/>
              <w:right w:w="28" w:type="dxa"/>
            </w:tcMar>
            <w:vAlign w:val="center"/>
          </w:tcPr>
          <w:p w14:paraId="01A21A8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7" w:type="pct"/>
            <w:tcMar>
              <w:left w:w="28" w:type="dxa"/>
              <w:right w:w="28" w:type="dxa"/>
            </w:tcMar>
            <w:vAlign w:val="center"/>
          </w:tcPr>
          <w:p w14:paraId="54E921E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4C07DB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48" w:hRule="atLeast"/>
          <w:jc w:val="center"/>
        </w:trPr>
        <w:tc>
          <w:tcPr>
            <w:tcW w:w="490" w:type="pct"/>
            <w:vMerge w:val="restart"/>
            <w:tcMar>
              <w:left w:w="28" w:type="dxa"/>
              <w:right w:w="28" w:type="dxa"/>
            </w:tcMar>
            <w:vAlign w:val="center"/>
          </w:tcPr>
          <w:p w14:paraId="7BD7EB4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阿克苏地区总体管控要求</w:t>
            </w:r>
          </w:p>
        </w:tc>
        <w:tc>
          <w:tcPr>
            <w:tcW w:w="350" w:type="pct"/>
            <w:vMerge w:val="restart"/>
            <w:tcMar>
              <w:left w:w="28" w:type="dxa"/>
              <w:right w:w="28" w:type="dxa"/>
            </w:tcMar>
            <w:vAlign w:val="center"/>
          </w:tcPr>
          <w:p w14:paraId="1011E5A2">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空间布局约束</w:t>
            </w:r>
          </w:p>
        </w:tc>
        <w:tc>
          <w:tcPr>
            <w:tcW w:w="1820" w:type="pct"/>
            <w:tcMar>
              <w:left w:w="28" w:type="dxa"/>
              <w:right w:w="28" w:type="dxa"/>
            </w:tcMar>
            <w:vAlign w:val="center"/>
          </w:tcPr>
          <w:p w14:paraId="26DBEAFA">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1.2国家重点生态功能区内禁止新建、改扩建产业准入负面清单中禁止类项目。</w:t>
            </w:r>
          </w:p>
        </w:tc>
        <w:tc>
          <w:tcPr>
            <w:tcW w:w="2043" w:type="pct"/>
            <w:tcMar>
              <w:left w:w="28" w:type="dxa"/>
              <w:right w:w="28" w:type="dxa"/>
            </w:tcMar>
            <w:vAlign w:val="center"/>
          </w:tcPr>
          <w:p w14:paraId="7EEC9ED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拟建工程为油气开采项目</w:t>
            </w:r>
            <w:r>
              <w:rPr>
                <w:rFonts w:hint="eastAsia" w:hAnsi="宋体" w:cs="宋体"/>
                <w:color w:val="000000"/>
                <w:spacing w:val="-10"/>
                <w:kern w:val="0"/>
                <w:sz w:val="21"/>
                <w:szCs w:val="21"/>
              </w:rPr>
              <w:t>，属于</w:t>
            </w:r>
            <w:r>
              <w:rPr>
                <w:rFonts w:hint="eastAsia" w:hAnsi="宋体" w:cs="宋体"/>
                <w:color w:val="000000"/>
                <w:spacing w:val="-10"/>
                <w:sz w:val="21"/>
                <w:szCs w:val="21"/>
              </w:rPr>
              <w:t>《产业结构调整指导目录（2024年本）》（国家发展改革委令 2023年 第7号）</w:t>
            </w:r>
            <w:r>
              <w:rPr>
                <w:rFonts w:hint="eastAsia" w:hAnsi="宋体" w:cs="宋体"/>
                <w:color w:val="000000"/>
                <w:spacing w:val="-10"/>
                <w:kern w:val="0"/>
                <w:sz w:val="21"/>
                <w:szCs w:val="21"/>
              </w:rPr>
              <w:t>中的鼓励类项目，符合国家当前产业政策要求；不属于《市场准入负面清单（2025年版）》（发改体改规〔2025〕466号）中禁止准入类项目</w:t>
            </w:r>
          </w:p>
        </w:tc>
        <w:tc>
          <w:tcPr>
            <w:tcW w:w="297" w:type="pct"/>
            <w:tcMar>
              <w:left w:w="28" w:type="dxa"/>
              <w:right w:w="28" w:type="dxa"/>
            </w:tcMar>
            <w:vAlign w:val="center"/>
          </w:tcPr>
          <w:p w14:paraId="20C976ED">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70873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7C94B9F1">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3EB9D36E">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6B35D768">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1.3禁止建设不符合国家和自治区环境保护标准的项目。</w:t>
            </w:r>
          </w:p>
        </w:tc>
        <w:tc>
          <w:tcPr>
            <w:tcW w:w="2043" w:type="pct"/>
            <w:tcMar>
              <w:left w:w="28" w:type="dxa"/>
              <w:right w:w="28" w:type="dxa"/>
            </w:tcMar>
            <w:vAlign w:val="center"/>
          </w:tcPr>
          <w:p w14:paraId="13D8A11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拟建工程符合国家和自治区环境保护标准</w:t>
            </w:r>
          </w:p>
        </w:tc>
        <w:tc>
          <w:tcPr>
            <w:tcW w:w="297" w:type="pct"/>
            <w:tcMar>
              <w:left w:w="28" w:type="dxa"/>
              <w:right w:w="28" w:type="dxa"/>
            </w:tcMar>
            <w:vAlign w:val="center"/>
          </w:tcPr>
          <w:p w14:paraId="427D15E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A5E24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57" w:hRule="atLeast"/>
          <w:jc w:val="center"/>
        </w:trPr>
        <w:tc>
          <w:tcPr>
            <w:tcW w:w="490" w:type="pct"/>
            <w:vMerge w:val="continue"/>
            <w:tcMar>
              <w:left w:w="28" w:type="dxa"/>
              <w:right w:w="28" w:type="dxa"/>
            </w:tcMar>
            <w:vAlign w:val="center"/>
          </w:tcPr>
          <w:p w14:paraId="2B8DD72A">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411CC3EF">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44C29FE7">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1.4禁止新建、改建、扩建列入淘汰类目录的高污染工业项目。禁止使用列入淘汰类目录的工艺、设备、产品。</w:t>
            </w:r>
          </w:p>
        </w:tc>
        <w:tc>
          <w:tcPr>
            <w:tcW w:w="2043" w:type="pct"/>
            <w:tcMar>
              <w:left w:w="28" w:type="dxa"/>
              <w:right w:w="28" w:type="dxa"/>
            </w:tcMar>
            <w:vAlign w:val="center"/>
          </w:tcPr>
          <w:p w14:paraId="3C5BFE05">
            <w:pPr>
              <w:adjustRightInd w:val="0"/>
              <w:spacing w:line="0" w:lineRule="atLeast"/>
              <w:rPr>
                <w:rFonts w:hint="eastAsia" w:hAnsi="宋体" w:cs="宋体"/>
                <w:color w:val="000000"/>
                <w:spacing w:val="-10"/>
                <w:kern w:val="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列入淘汰类目录的高污染工业项目</w:t>
            </w:r>
          </w:p>
        </w:tc>
        <w:tc>
          <w:tcPr>
            <w:tcW w:w="297" w:type="pct"/>
            <w:tcMar>
              <w:left w:w="28" w:type="dxa"/>
              <w:right w:w="28" w:type="dxa"/>
            </w:tcMar>
            <w:vAlign w:val="center"/>
          </w:tcPr>
          <w:p w14:paraId="333A9F8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5D0291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767" w:hRule="atLeast"/>
          <w:jc w:val="center"/>
        </w:trPr>
        <w:tc>
          <w:tcPr>
            <w:tcW w:w="490" w:type="pct"/>
            <w:vMerge w:val="continue"/>
            <w:tcMar>
              <w:left w:w="28" w:type="dxa"/>
              <w:right w:w="28" w:type="dxa"/>
            </w:tcMar>
            <w:vAlign w:val="center"/>
          </w:tcPr>
          <w:p w14:paraId="23B4D2EC">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323AAC13">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7BD227C4">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1.5禁止在饮用水水源保护区、风景名胜区、自然保护区的核心区和缓冲区、城镇居民区、文化教育科学研究区等人口集中区域以及法律、法规规定的其他禁止养殖区域建设畜禽养殖场、养殖小区。</w:t>
            </w:r>
          </w:p>
        </w:tc>
        <w:tc>
          <w:tcPr>
            <w:tcW w:w="2043" w:type="pct"/>
            <w:tcMar>
              <w:left w:w="28" w:type="dxa"/>
              <w:right w:w="28" w:type="dxa"/>
            </w:tcMar>
            <w:vAlign w:val="center"/>
          </w:tcPr>
          <w:p w14:paraId="506B241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w:t>
            </w:r>
          </w:p>
        </w:tc>
        <w:tc>
          <w:tcPr>
            <w:tcW w:w="297" w:type="pct"/>
            <w:tcMar>
              <w:left w:w="28" w:type="dxa"/>
              <w:right w:w="28" w:type="dxa"/>
            </w:tcMar>
            <w:vAlign w:val="center"/>
          </w:tcPr>
          <w:p w14:paraId="5A11CFF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4A646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41EC9D15">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6EF6C079">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0ED48206">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1.6禁止在水源涵养区、地下水源、饮用水源、自然保护区、风景名胜区、森林公园、重要湿地及人群密集区等生态敏感区域内进行煤炭、石油、天然气开发。</w:t>
            </w:r>
          </w:p>
        </w:tc>
        <w:tc>
          <w:tcPr>
            <w:tcW w:w="2043" w:type="pct"/>
            <w:tcMar>
              <w:left w:w="28" w:type="dxa"/>
              <w:right w:w="28" w:type="dxa"/>
            </w:tcMar>
            <w:vAlign w:val="center"/>
          </w:tcPr>
          <w:p w14:paraId="52AB0695">
            <w:pPr>
              <w:adjustRightInd w:val="0"/>
              <w:spacing w:line="0" w:lineRule="atLeast"/>
              <w:rPr>
                <w:rFonts w:hint="eastAsia" w:hAnsi="宋体" w:cs="宋体"/>
                <w:color w:val="000000"/>
                <w:spacing w:val="-10"/>
                <w:kern w:val="0"/>
                <w:sz w:val="21"/>
                <w:szCs w:val="21"/>
              </w:rPr>
            </w:pPr>
            <w:r>
              <w:rPr>
                <w:rFonts w:hint="eastAsia" w:hAnsi="宋体" w:cs="宋体"/>
                <w:color w:val="000000"/>
                <w:spacing w:val="-10"/>
                <w:sz w:val="21"/>
                <w:szCs w:val="21"/>
              </w:rPr>
              <w:t>拟建工程占地范围内不涉及水源涵养区、地下水源、饮用水源、自然保护区、风景名胜区、森林公园、重要湿地及人群密集区等生态敏感区域</w:t>
            </w:r>
          </w:p>
        </w:tc>
        <w:tc>
          <w:tcPr>
            <w:tcW w:w="297" w:type="pct"/>
            <w:tcMar>
              <w:left w:w="28" w:type="dxa"/>
              <w:right w:w="28" w:type="dxa"/>
            </w:tcMar>
            <w:vAlign w:val="center"/>
          </w:tcPr>
          <w:p w14:paraId="2754116F">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7EEB23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4DCF57F9">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1715784D">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7E13FA74">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1.7禁止向沙漠、滩涂、盐碱地、沼泽地等非法排污、倾倒有毒有害物质。</w:t>
            </w:r>
          </w:p>
        </w:tc>
        <w:tc>
          <w:tcPr>
            <w:tcW w:w="2043" w:type="pct"/>
            <w:tcMar>
              <w:left w:w="28" w:type="dxa"/>
              <w:right w:w="28" w:type="dxa"/>
            </w:tcMar>
            <w:vAlign w:val="center"/>
          </w:tcPr>
          <w:p w14:paraId="4141AD3D">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拟建工程施工期产生的危险废物均交由具有危险废物处置单位处置，运营期无固废产生</w:t>
            </w:r>
          </w:p>
        </w:tc>
        <w:tc>
          <w:tcPr>
            <w:tcW w:w="297" w:type="pct"/>
            <w:tcMar>
              <w:left w:w="28" w:type="dxa"/>
              <w:right w:w="28" w:type="dxa"/>
            </w:tcMar>
            <w:vAlign w:val="center"/>
          </w:tcPr>
          <w:p w14:paraId="032B71E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6918A0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45F77213">
            <w:pPr>
              <w:adjustRightInd w:val="0"/>
              <w:spacing w:line="0" w:lineRule="atLeast"/>
              <w:jc w:val="center"/>
              <w:rPr>
                <w:rFonts w:hint="eastAsia" w:hAnsi="宋体" w:cs="宋体"/>
                <w:color w:val="000000"/>
                <w:spacing w:val="-10"/>
                <w:sz w:val="21"/>
                <w:szCs w:val="21"/>
              </w:rPr>
            </w:pPr>
          </w:p>
        </w:tc>
        <w:tc>
          <w:tcPr>
            <w:tcW w:w="350" w:type="pct"/>
            <w:vMerge w:val="continue"/>
            <w:tcMar>
              <w:left w:w="28" w:type="dxa"/>
              <w:right w:w="28" w:type="dxa"/>
            </w:tcMar>
            <w:vAlign w:val="center"/>
          </w:tcPr>
          <w:p w14:paraId="6A3B6843">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6E48172D">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1.8禁止利用渗坑、裂隙、溶洞或者采用稀释等方法处置危险废物。</w:t>
            </w:r>
          </w:p>
        </w:tc>
        <w:tc>
          <w:tcPr>
            <w:tcW w:w="2043" w:type="pct"/>
            <w:tcMar>
              <w:left w:w="28" w:type="dxa"/>
              <w:right w:w="28" w:type="dxa"/>
            </w:tcMar>
            <w:vAlign w:val="center"/>
          </w:tcPr>
          <w:p w14:paraId="67A0F1FD">
            <w:pPr>
              <w:adjustRightInd w:val="0"/>
              <w:spacing w:line="0" w:lineRule="atLeast"/>
              <w:rPr>
                <w:rFonts w:hAnsi="宋体" w:cs="宋体"/>
                <w:color w:val="000000"/>
                <w:spacing w:val="-10"/>
                <w:kern w:val="0"/>
                <w:sz w:val="21"/>
                <w:szCs w:val="21"/>
              </w:rPr>
            </w:pPr>
            <w:r>
              <w:rPr>
                <w:rFonts w:hint="eastAsia" w:hAnsi="宋体" w:cs="宋体"/>
                <w:color w:val="000000"/>
                <w:spacing w:val="-10"/>
                <w:sz w:val="21"/>
                <w:szCs w:val="21"/>
              </w:rPr>
              <w:t>拟建工程施工期产生的危险废物均交由具有危险废物处置单位处置，运营期无固废产生</w:t>
            </w:r>
          </w:p>
        </w:tc>
        <w:tc>
          <w:tcPr>
            <w:tcW w:w="297" w:type="pct"/>
            <w:tcMar>
              <w:left w:w="28" w:type="dxa"/>
              <w:right w:w="28" w:type="dxa"/>
            </w:tcMar>
            <w:vAlign w:val="center"/>
          </w:tcPr>
          <w:p w14:paraId="3A7E0F87">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4126AC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57220083">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3CC12CC6">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481F207A">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1.9禁止在地区范围内引进能（水）耗不符合相关国家标准中准入值要求且污染物排放和环境风险防控不符合国家（地方）标准及有关产业准入条件的高污染（排放）、高能（水）耗、高环境风险的工业项目。</w:t>
            </w:r>
          </w:p>
        </w:tc>
        <w:tc>
          <w:tcPr>
            <w:tcW w:w="2043" w:type="pct"/>
            <w:tcMar>
              <w:left w:w="28" w:type="dxa"/>
              <w:right w:w="28" w:type="dxa"/>
            </w:tcMar>
            <w:vAlign w:val="center"/>
          </w:tcPr>
          <w:p w14:paraId="7062EA70">
            <w:pPr>
              <w:adjustRightInd w:val="0"/>
              <w:spacing w:line="0" w:lineRule="atLeast"/>
              <w:rPr>
                <w:rFonts w:hint="eastAsia" w:hAnsi="宋体" w:cs="宋体"/>
                <w:color w:val="000000"/>
                <w:spacing w:val="-10"/>
                <w:kern w:val="0"/>
                <w:sz w:val="21"/>
                <w:szCs w:val="21"/>
              </w:rPr>
            </w:pPr>
            <w:r>
              <w:rPr>
                <w:rFonts w:hint="eastAsia" w:hAnsi="宋体" w:cs="宋体"/>
                <w:color w:val="000000"/>
                <w:spacing w:val="-10"/>
                <w:sz w:val="21"/>
                <w:szCs w:val="21"/>
              </w:rPr>
              <w:t>拟建工程不属于高污染（排放）、高能（水）耗、高环境风险的工业项目</w:t>
            </w:r>
          </w:p>
        </w:tc>
        <w:tc>
          <w:tcPr>
            <w:tcW w:w="297" w:type="pct"/>
            <w:tcMar>
              <w:left w:w="28" w:type="dxa"/>
              <w:right w:w="28" w:type="dxa"/>
            </w:tcMar>
            <w:vAlign w:val="center"/>
          </w:tcPr>
          <w:p w14:paraId="15412FCA">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0A316A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tcMar>
              <w:left w:w="28" w:type="dxa"/>
              <w:right w:w="28" w:type="dxa"/>
            </w:tcMar>
            <w:vAlign w:val="center"/>
          </w:tcPr>
          <w:p w14:paraId="3A4C89A1">
            <w:pPr>
              <w:adjustRightInd w:val="0"/>
              <w:spacing w:line="0" w:lineRule="atLeast"/>
              <w:jc w:val="center"/>
              <w:rPr>
                <w:rFonts w:hint="eastAsia" w:hAnsi="宋体" w:cs="宋体"/>
                <w:color w:val="000000"/>
                <w:spacing w:val="-10"/>
                <w:kern w:val="0"/>
                <w:sz w:val="21"/>
                <w:szCs w:val="21"/>
              </w:rPr>
            </w:pPr>
          </w:p>
        </w:tc>
        <w:tc>
          <w:tcPr>
            <w:tcW w:w="350" w:type="pct"/>
            <w:vMerge w:val="continue"/>
            <w:tcMar>
              <w:left w:w="28" w:type="dxa"/>
              <w:right w:w="28" w:type="dxa"/>
            </w:tcMar>
            <w:vAlign w:val="center"/>
          </w:tcPr>
          <w:p w14:paraId="587B924C">
            <w:pPr>
              <w:adjustRightInd w:val="0"/>
              <w:spacing w:line="0" w:lineRule="atLeast"/>
              <w:jc w:val="center"/>
              <w:rPr>
                <w:rFonts w:hint="eastAsia" w:hAnsi="宋体" w:cs="宋体"/>
                <w:color w:val="000000"/>
                <w:spacing w:val="-10"/>
                <w:kern w:val="0"/>
                <w:sz w:val="21"/>
                <w:szCs w:val="21"/>
              </w:rPr>
            </w:pPr>
          </w:p>
        </w:tc>
        <w:tc>
          <w:tcPr>
            <w:tcW w:w="1820" w:type="pct"/>
            <w:tcMar>
              <w:left w:w="28" w:type="dxa"/>
              <w:right w:w="28" w:type="dxa"/>
            </w:tcMar>
            <w:vAlign w:val="center"/>
          </w:tcPr>
          <w:p w14:paraId="30C62FA0">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1.10坚决遏制高耗能高排放低水平项目盲目发展。严把高耗能高排放低水平项目准入关口，严格落实污染物排放区域削减要求，对不符合规定的项目坚决停批停建。依法依规淘汰落后产能和化解过剩产能。</w:t>
            </w:r>
          </w:p>
        </w:tc>
        <w:tc>
          <w:tcPr>
            <w:tcW w:w="2043" w:type="pct"/>
            <w:tcMar>
              <w:left w:w="28" w:type="dxa"/>
              <w:right w:w="28" w:type="dxa"/>
            </w:tcMar>
            <w:vAlign w:val="center"/>
          </w:tcPr>
          <w:p w14:paraId="37A4399C">
            <w:pPr>
              <w:adjustRightInd w:val="0"/>
              <w:spacing w:line="0" w:lineRule="atLeast"/>
              <w:rPr>
                <w:rFonts w:hint="eastAsia" w:hAnsi="宋体" w:cs="宋体"/>
                <w:color w:val="000000"/>
                <w:spacing w:val="-10"/>
                <w:kern w:val="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高耗能高排放低水平项目</w:t>
            </w:r>
          </w:p>
        </w:tc>
        <w:tc>
          <w:tcPr>
            <w:tcW w:w="297" w:type="pct"/>
            <w:tcMar>
              <w:left w:w="28" w:type="dxa"/>
              <w:right w:w="28" w:type="dxa"/>
            </w:tcMar>
            <w:vAlign w:val="center"/>
          </w:tcPr>
          <w:p w14:paraId="4FB4782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bl>
    <w:p w14:paraId="025C39E4">
      <w:pPr>
        <w:adjustRightInd w:val="0"/>
        <w:spacing w:line="480" w:lineRule="exact"/>
        <w:ind w:firstLine="526" w:firstLineChars="200"/>
        <w:rPr>
          <w:rFonts w:hint="eastAsia" w:ascii="黑体" w:hAnsi="黑体" w:eastAsia="黑体"/>
          <w:color w:val="000000"/>
          <w:szCs w:val="24"/>
        </w:rPr>
      </w:pPr>
      <w:r>
        <w:rPr>
          <w:rFonts w:hint="eastAsia" w:hAnsi="宋体" w:cs="宋体"/>
          <w:color w:val="000000"/>
          <w:kern w:val="0"/>
          <w:szCs w:val="24"/>
        </w:rPr>
        <w:br w:type="page"/>
      </w:r>
      <w:r>
        <w:rPr>
          <w:rFonts w:hint="eastAsia" w:ascii="黑体" w:hAnsi="黑体" w:eastAsia="黑体" w:cs="宋体"/>
          <w:color w:val="000000"/>
          <w:kern w:val="0"/>
          <w:szCs w:val="24"/>
        </w:rPr>
        <w:t>续</w:t>
      </w:r>
      <w:r>
        <w:rPr>
          <w:rFonts w:hint="eastAsia" w:ascii="黑体" w:hAnsi="黑体" w:eastAsia="黑体" w:cs="宋体"/>
          <w:color w:val="000000"/>
          <w:szCs w:val="24"/>
        </w:rPr>
        <w:t>表</w:t>
      </w:r>
      <w:r>
        <w:rPr>
          <w:rFonts w:hint="eastAsia" w:ascii="黑体" w:hAnsi="黑体" w:eastAsia="黑体"/>
          <w:color w:val="000000"/>
          <w:szCs w:val="24"/>
        </w:rPr>
        <w:t>3.5-5</w:t>
      </w:r>
      <w:r>
        <w:rPr>
          <w:rFonts w:hint="eastAsia" w:ascii="黑体" w:hAnsi="黑体" w:eastAsia="黑体" w:cs="宋体"/>
          <w:color w:val="000000"/>
          <w:szCs w:val="24"/>
        </w:rPr>
        <w:t xml:space="preserve"> </w:t>
      </w:r>
      <w:r>
        <w:rPr>
          <w:rFonts w:hint="eastAsia" w:ascii="黑体" w:hAnsi="黑体" w:eastAsia="黑体"/>
          <w:color w:val="000000"/>
          <w:szCs w:val="24"/>
        </w:rPr>
        <w:t>拟建工程与《阿克苏地区生态环境准入清单更新情况说明（2023年）》符合性分析一览表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73"/>
        <w:gridCol w:w="627"/>
        <w:gridCol w:w="4271"/>
        <w:gridCol w:w="2710"/>
        <w:gridCol w:w="534"/>
      </w:tblGrid>
      <w:tr w14:paraId="10DFCA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4" w:type="pct"/>
            <w:tcMar>
              <w:left w:w="28" w:type="dxa"/>
              <w:right w:w="28" w:type="dxa"/>
            </w:tcMar>
            <w:vAlign w:val="center"/>
          </w:tcPr>
          <w:p w14:paraId="70A7AA9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717" w:type="pct"/>
            <w:gridSpan w:val="2"/>
            <w:tcMar>
              <w:left w:w="28" w:type="dxa"/>
              <w:right w:w="28" w:type="dxa"/>
            </w:tcMar>
            <w:vAlign w:val="center"/>
          </w:tcPr>
          <w:p w14:paraId="4F84159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503" w:type="pct"/>
            <w:tcMar>
              <w:left w:w="28" w:type="dxa"/>
              <w:right w:w="28" w:type="dxa"/>
            </w:tcMar>
            <w:vAlign w:val="center"/>
          </w:tcPr>
          <w:p w14:paraId="5BAFDD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6" w:type="pct"/>
            <w:tcMar>
              <w:left w:w="28" w:type="dxa"/>
              <w:right w:w="28" w:type="dxa"/>
            </w:tcMar>
            <w:vAlign w:val="center"/>
          </w:tcPr>
          <w:p w14:paraId="04D1C2DC">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0CF783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4" w:type="pct"/>
            <w:vMerge w:val="restart"/>
            <w:tcMar>
              <w:left w:w="28" w:type="dxa"/>
              <w:right w:w="28" w:type="dxa"/>
            </w:tcMar>
            <w:vAlign w:val="center"/>
          </w:tcPr>
          <w:p w14:paraId="6331148C">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阿克苏地区总体管控要求</w:t>
            </w:r>
          </w:p>
        </w:tc>
        <w:tc>
          <w:tcPr>
            <w:tcW w:w="348" w:type="pct"/>
            <w:vMerge w:val="restart"/>
            <w:tcMar>
              <w:left w:w="28" w:type="dxa"/>
              <w:right w:w="28" w:type="dxa"/>
            </w:tcMar>
            <w:vAlign w:val="center"/>
          </w:tcPr>
          <w:p w14:paraId="29B44951">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空间布局约束</w:t>
            </w:r>
          </w:p>
        </w:tc>
        <w:tc>
          <w:tcPr>
            <w:tcW w:w="2369" w:type="pct"/>
            <w:tcMar>
              <w:left w:w="28" w:type="dxa"/>
              <w:right w:w="28" w:type="dxa"/>
            </w:tcMar>
            <w:vAlign w:val="center"/>
          </w:tcPr>
          <w:p w14:paraId="544C45C1">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w:t>
            </w:r>
            <w:r>
              <w:rPr>
                <w:rFonts w:hint="eastAsia" w:hAnsi="宋体" w:cs="宋体"/>
                <w:color w:val="000000"/>
                <w:spacing w:val="-13"/>
                <w:kern w:val="21"/>
                <w:sz w:val="21"/>
                <w:szCs w:val="21"/>
              </w:rPr>
              <w:t>.11引导化工项目进区入园，促进高水平集聚发展。推动化工园区规范化发展，依法依规利用综合标准倒逼园区防范化解安全环境风险，加快园区污染防治等基础设施建设，加强园区污水管网排查整治，提升本质安全和清洁生产水平。引导园区内企业循环生产、产业耦合发展，鼓励化工园区间错位、差异化发展，与冶金、建材、纺织、电子等行业协同布局。鼓励化工园区建设科技创新及科研成果孵化平台、智能化管理系统。严格执行危险化学品“禁限控”目录，新建危险化学品生产项目必须进入一般或较低安全风险的化工园区（与其他行业生产装置配套建设的项目除外），引导其他石化化工项目在化工园区发展。</w:t>
            </w:r>
          </w:p>
        </w:tc>
        <w:tc>
          <w:tcPr>
            <w:tcW w:w="1503" w:type="pct"/>
            <w:tcMar>
              <w:left w:w="28" w:type="dxa"/>
              <w:right w:w="28" w:type="dxa"/>
            </w:tcMar>
            <w:vAlign w:val="center"/>
          </w:tcPr>
          <w:p w14:paraId="1525431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kern w:val="21"/>
                <w:sz w:val="21"/>
                <w:szCs w:val="21"/>
              </w:rPr>
              <w:t>拟建工程不属于化工项目</w:t>
            </w:r>
          </w:p>
        </w:tc>
        <w:tc>
          <w:tcPr>
            <w:tcW w:w="296" w:type="pct"/>
            <w:tcMar>
              <w:left w:w="28" w:type="dxa"/>
              <w:right w:w="28" w:type="dxa"/>
            </w:tcMar>
            <w:vAlign w:val="center"/>
          </w:tcPr>
          <w:p w14:paraId="40D25133">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378F63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4" w:type="pct"/>
            <w:vMerge w:val="continue"/>
            <w:tcMar>
              <w:left w:w="28" w:type="dxa"/>
              <w:right w:w="28" w:type="dxa"/>
            </w:tcMar>
            <w:vAlign w:val="center"/>
          </w:tcPr>
          <w:p w14:paraId="2E1C83C4">
            <w:pPr>
              <w:adjustRightInd w:val="0"/>
              <w:spacing w:line="0" w:lineRule="atLeast"/>
              <w:jc w:val="center"/>
              <w:rPr>
                <w:rFonts w:hint="eastAsia" w:hAnsi="宋体" w:cs="宋体"/>
                <w:color w:val="000000"/>
                <w:spacing w:val="-10"/>
                <w:kern w:val="0"/>
                <w:sz w:val="21"/>
                <w:szCs w:val="21"/>
              </w:rPr>
            </w:pPr>
          </w:p>
        </w:tc>
        <w:tc>
          <w:tcPr>
            <w:tcW w:w="348" w:type="pct"/>
            <w:vMerge w:val="continue"/>
            <w:tcMar>
              <w:left w:w="28" w:type="dxa"/>
              <w:right w:w="28" w:type="dxa"/>
            </w:tcMar>
            <w:vAlign w:val="center"/>
          </w:tcPr>
          <w:p w14:paraId="5BA9232E">
            <w:pPr>
              <w:adjustRightInd w:val="0"/>
              <w:spacing w:line="0" w:lineRule="atLeast"/>
              <w:jc w:val="center"/>
              <w:rPr>
                <w:rFonts w:hint="eastAsia" w:hAnsi="宋体" w:cs="宋体"/>
                <w:color w:val="000000"/>
                <w:spacing w:val="-10"/>
                <w:kern w:val="0"/>
                <w:sz w:val="21"/>
                <w:szCs w:val="21"/>
              </w:rPr>
            </w:pPr>
          </w:p>
        </w:tc>
        <w:tc>
          <w:tcPr>
            <w:tcW w:w="2369" w:type="pct"/>
            <w:tcMar>
              <w:left w:w="28" w:type="dxa"/>
              <w:right w:w="28" w:type="dxa"/>
            </w:tcMar>
            <w:vAlign w:val="center"/>
          </w:tcPr>
          <w:p w14:paraId="0E010932">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1.12严禁新建自治区《禁止、控制和限制危险化学品目录》中淘汰类、禁止类危险化学品化工项目。坚决遏制“两高”项目盲目发展，石化、现代煤化工项目应纳入国家产业规划。严格执行生态保护红线、永久基本农田管控要求，禁止新（改、扩）建化工项目违规占用生态保护红线和永久基本农田。</w:t>
            </w:r>
          </w:p>
        </w:tc>
        <w:tc>
          <w:tcPr>
            <w:tcW w:w="1503" w:type="pct"/>
            <w:tcMar>
              <w:left w:w="28" w:type="dxa"/>
              <w:right w:w="28" w:type="dxa"/>
            </w:tcMar>
            <w:vAlign w:val="center"/>
          </w:tcPr>
          <w:p w14:paraId="4421C8A2">
            <w:pPr>
              <w:adjustRightInd w:val="0"/>
              <w:spacing w:line="0" w:lineRule="atLeast"/>
              <w:rPr>
                <w:rFonts w:hAnsi="宋体" w:cs="宋体"/>
                <w:color w:val="000000"/>
                <w:spacing w:val="-10"/>
                <w:sz w:val="21"/>
                <w:szCs w:val="21"/>
              </w:rPr>
            </w:pPr>
            <w:r>
              <w:rPr>
                <w:rFonts w:hint="eastAsia" w:hAnsi="宋体" w:cs="宋体"/>
                <w:color w:val="000000"/>
                <w:spacing w:val="-10"/>
                <w:sz w:val="21"/>
                <w:szCs w:val="21"/>
              </w:rPr>
              <w:t>拟建工程不属于</w:t>
            </w:r>
            <w:r>
              <w:rPr>
                <w:rFonts w:hint="eastAsia" w:hAnsi="宋体" w:cs="宋体"/>
                <w:color w:val="000000"/>
                <w:spacing w:val="-10"/>
                <w:kern w:val="21"/>
                <w:sz w:val="21"/>
                <w:szCs w:val="21"/>
              </w:rPr>
              <w:t>危险化学品化工项目，不属于新（改、扩）建化工项目</w:t>
            </w:r>
          </w:p>
        </w:tc>
        <w:tc>
          <w:tcPr>
            <w:tcW w:w="296" w:type="pct"/>
            <w:tcMar>
              <w:left w:w="28" w:type="dxa"/>
              <w:right w:w="28" w:type="dxa"/>
            </w:tcMar>
            <w:vAlign w:val="center"/>
          </w:tcPr>
          <w:p w14:paraId="60C0309A">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符合</w:t>
            </w:r>
          </w:p>
        </w:tc>
      </w:tr>
      <w:tr w14:paraId="76866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4" w:type="pct"/>
            <w:vMerge w:val="continue"/>
            <w:tcMar>
              <w:left w:w="28" w:type="dxa"/>
              <w:right w:w="28" w:type="dxa"/>
            </w:tcMar>
            <w:vAlign w:val="center"/>
          </w:tcPr>
          <w:p w14:paraId="7A05A56D">
            <w:pPr>
              <w:adjustRightInd w:val="0"/>
              <w:spacing w:line="0" w:lineRule="atLeast"/>
              <w:jc w:val="center"/>
              <w:rPr>
                <w:rFonts w:hint="eastAsia" w:hAnsi="宋体" w:cs="宋体"/>
                <w:color w:val="000000"/>
                <w:spacing w:val="-10"/>
                <w:kern w:val="0"/>
                <w:sz w:val="21"/>
                <w:szCs w:val="21"/>
              </w:rPr>
            </w:pPr>
          </w:p>
        </w:tc>
        <w:tc>
          <w:tcPr>
            <w:tcW w:w="348" w:type="pct"/>
            <w:vMerge w:val="continue"/>
            <w:tcMar>
              <w:left w:w="28" w:type="dxa"/>
              <w:right w:w="28" w:type="dxa"/>
            </w:tcMar>
            <w:vAlign w:val="center"/>
          </w:tcPr>
          <w:p w14:paraId="53C19318">
            <w:pPr>
              <w:adjustRightInd w:val="0"/>
              <w:spacing w:line="0" w:lineRule="atLeast"/>
              <w:jc w:val="center"/>
              <w:rPr>
                <w:rFonts w:hint="eastAsia" w:hAnsi="宋体" w:cs="宋体"/>
                <w:color w:val="000000"/>
                <w:spacing w:val="-10"/>
                <w:kern w:val="0"/>
                <w:sz w:val="21"/>
                <w:szCs w:val="21"/>
              </w:rPr>
            </w:pPr>
          </w:p>
        </w:tc>
        <w:tc>
          <w:tcPr>
            <w:tcW w:w="2369" w:type="pct"/>
            <w:tcMar>
              <w:left w:w="28" w:type="dxa"/>
              <w:right w:w="28" w:type="dxa"/>
            </w:tcMar>
            <w:vAlign w:val="center"/>
          </w:tcPr>
          <w:p w14:paraId="49ACCEB2">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1.13推动涉重金属产业集中优化发展，禁止新建用汞的电石法（聚）氯乙烯生产工艺，新建、扩建的重有色金属冶炼、电镀、制革企业优先选择布设在依法合规设立并依法开展规划环境影响评价的产业园区。</w:t>
            </w:r>
          </w:p>
        </w:tc>
        <w:tc>
          <w:tcPr>
            <w:tcW w:w="1503" w:type="pct"/>
            <w:tcMar>
              <w:left w:w="28" w:type="dxa"/>
              <w:right w:w="28" w:type="dxa"/>
            </w:tcMar>
            <w:vAlign w:val="center"/>
          </w:tcPr>
          <w:p w14:paraId="3C46862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6" w:type="pct"/>
            <w:tcMar>
              <w:left w:w="28" w:type="dxa"/>
              <w:right w:w="28" w:type="dxa"/>
            </w:tcMar>
            <w:vAlign w:val="center"/>
          </w:tcPr>
          <w:p w14:paraId="08952308">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2EF449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181" w:hRule="atLeast"/>
          <w:jc w:val="center"/>
        </w:trPr>
        <w:tc>
          <w:tcPr>
            <w:tcW w:w="484" w:type="pct"/>
            <w:vMerge w:val="continue"/>
            <w:tcMar>
              <w:left w:w="28" w:type="dxa"/>
              <w:right w:w="28" w:type="dxa"/>
            </w:tcMar>
            <w:vAlign w:val="center"/>
          </w:tcPr>
          <w:p w14:paraId="31CDAF9D">
            <w:pPr>
              <w:adjustRightInd w:val="0"/>
              <w:spacing w:line="0" w:lineRule="atLeast"/>
              <w:jc w:val="center"/>
              <w:rPr>
                <w:rFonts w:hint="eastAsia" w:hAnsi="宋体"/>
                <w:color w:val="000000"/>
                <w:spacing w:val="-10"/>
                <w:sz w:val="21"/>
                <w:szCs w:val="21"/>
              </w:rPr>
            </w:pPr>
          </w:p>
        </w:tc>
        <w:tc>
          <w:tcPr>
            <w:tcW w:w="348" w:type="pct"/>
            <w:vMerge w:val="continue"/>
            <w:tcMar>
              <w:left w:w="28" w:type="dxa"/>
              <w:right w:w="28" w:type="dxa"/>
            </w:tcMar>
            <w:vAlign w:val="center"/>
          </w:tcPr>
          <w:p w14:paraId="75C4B8F7">
            <w:pPr>
              <w:adjustRightInd w:val="0"/>
              <w:spacing w:line="0" w:lineRule="atLeast"/>
              <w:jc w:val="center"/>
              <w:rPr>
                <w:rFonts w:hint="eastAsia" w:hAnsi="宋体" w:cs="宋体"/>
                <w:color w:val="000000"/>
                <w:spacing w:val="-10"/>
                <w:kern w:val="0"/>
                <w:sz w:val="21"/>
                <w:szCs w:val="21"/>
              </w:rPr>
            </w:pPr>
          </w:p>
        </w:tc>
        <w:tc>
          <w:tcPr>
            <w:tcW w:w="2369" w:type="pct"/>
            <w:tcMar>
              <w:left w:w="28" w:type="dxa"/>
              <w:right w:w="28" w:type="dxa"/>
            </w:tcMar>
            <w:vAlign w:val="center"/>
          </w:tcPr>
          <w:p w14:paraId="12B9577B">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1.14永久基本农田集中区域禁止规划新建可能造成土壤污染的建设项目。涉及有毒有害物质可能造成土壤污染的新（改、扩）建项目，提出并落实土壤和地下水污染防治要求。</w:t>
            </w:r>
          </w:p>
        </w:tc>
        <w:tc>
          <w:tcPr>
            <w:tcW w:w="1503" w:type="pct"/>
            <w:tcMar>
              <w:left w:w="28" w:type="dxa"/>
              <w:right w:w="28" w:type="dxa"/>
            </w:tcMar>
            <w:vAlign w:val="center"/>
          </w:tcPr>
          <w:p w14:paraId="5D7B47EB">
            <w:pPr>
              <w:spacing w:line="0" w:lineRule="atLeast"/>
              <w:jc w:val="left"/>
              <w:rPr>
                <w:rFonts w:hint="eastAsia" w:hAnsi="宋体" w:cs="宋体"/>
                <w:bCs/>
                <w:color w:val="000000"/>
                <w:spacing w:val="-10"/>
                <w:kern w:val="21"/>
                <w:sz w:val="21"/>
                <w:szCs w:val="21"/>
              </w:rPr>
            </w:pPr>
            <w:r>
              <w:rPr>
                <w:rFonts w:hint="eastAsia" w:hAnsi="宋体" w:cs="宋体"/>
                <w:color w:val="000000"/>
                <w:spacing w:val="-10"/>
                <w:sz w:val="21"/>
                <w:szCs w:val="21"/>
              </w:rPr>
              <w:t>拟建工程不占用永久基本农田</w:t>
            </w:r>
          </w:p>
        </w:tc>
        <w:tc>
          <w:tcPr>
            <w:tcW w:w="296" w:type="pct"/>
            <w:tcMar>
              <w:left w:w="28" w:type="dxa"/>
              <w:right w:w="28" w:type="dxa"/>
            </w:tcMar>
            <w:vAlign w:val="center"/>
          </w:tcPr>
          <w:p w14:paraId="0D94D24A">
            <w:pPr>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符合</w:t>
            </w:r>
          </w:p>
        </w:tc>
      </w:tr>
      <w:tr w14:paraId="4E54EA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60" w:hRule="atLeast"/>
          <w:jc w:val="center"/>
        </w:trPr>
        <w:tc>
          <w:tcPr>
            <w:tcW w:w="484" w:type="pct"/>
            <w:vMerge w:val="continue"/>
            <w:tcMar>
              <w:left w:w="28" w:type="dxa"/>
              <w:right w:w="28" w:type="dxa"/>
            </w:tcMar>
            <w:vAlign w:val="center"/>
          </w:tcPr>
          <w:p w14:paraId="0ACCDC45">
            <w:pPr>
              <w:adjustRightInd w:val="0"/>
              <w:spacing w:line="0" w:lineRule="atLeast"/>
              <w:jc w:val="center"/>
              <w:rPr>
                <w:rFonts w:hint="eastAsia" w:hAnsi="宋体"/>
                <w:color w:val="000000"/>
                <w:spacing w:val="-10"/>
                <w:sz w:val="21"/>
                <w:szCs w:val="21"/>
              </w:rPr>
            </w:pPr>
          </w:p>
        </w:tc>
        <w:tc>
          <w:tcPr>
            <w:tcW w:w="348" w:type="pct"/>
            <w:vMerge w:val="continue"/>
            <w:tcMar>
              <w:left w:w="28" w:type="dxa"/>
              <w:right w:w="28" w:type="dxa"/>
            </w:tcMar>
            <w:vAlign w:val="center"/>
          </w:tcPr>
          <w:p w14:paraId="5E3F36AA">
            <w:pPr>
              <w:adjustRightInd w:val="0"/>
              <w:spacing w:line="0" w:lineRule="atLeast"/>
              <w:jc w:val="center"/>
              <w:rPr>
                <w:rFonts w:hint="eastAsia" w:hAnsi="宋体" w:cs="宋体"/>
                <w:color w:val="000000"/>
                <w:spacing w:val="-10"/>
                <w:kern w:val="0"/>
                <w:sz w:val="21"/>
                <w:szCs w:val="21"/>
              </w:rPr>
            </w:pPr>
          </w:p>
        </w:tc>
        <w:tc>
          <w:tcPr>
            <w:tcW w:w="2369" w:type="pct"/>
            <w:tcMar>
              <w:left w:w="28" w:type="dxa"/>
              <w:right w:w="28" w:type="dxa"/>
            </w:tcMar>
            <w:vAlign w:val="center"/>
          </w:tcPr>
          <w:p w14:paraId="37E07092">
            <w:pPr>
              <w:spacing w:line="0" w:lineRule="atLeast"/>
              <w:rPr>
                <w:rFonts w:hAnsi="宋体" w:cs="宋体"/>
                <w:color w:val="000000"/>
                <w:spacing w:val="-10"/>
                <w:sz w:val="21"/>
                <w:szCs w:val="21"/>
              </w:rPr>
            </w:pPr>
            <w:r>
              <w:rPr>
                <w:rFonts w:hint="eastAsia" w:hAnsi="宋体" w:cs="宋体"/>
                <w:color w:val="000000"/>
                <w:spacing w:val="-10"/>
                <w:kern w:val="21"/>
                <w:sz w:val="21"/>
                <w:szCs w:val="21"/>
              </w:rPr>
              <w:t>1.15河湖岸线生态红线保护区实施最严格的保护政策，严禁一切与保护无关的开发活动，滨岸带缓冲区以维系地表径流污染拦截功能为重点，严格岸线用途管制，严控畜禽养殖业。严格控制石油加工、化学原料和化学制品制造、医药制造、化学纤维制造、有色金属冶炼、纺织印染、尾矿库等项目环境风险。制定河湖岸线开发利用负面清单，禁止不符合水体功能定位的涉水开发活动。强化河湖岸线建设项目管理，严禁以各种名义侵占河道、围垦湖泊。</w:t>
            </w:r>
          </w:p>
        </w:tc>
        <w:tc>
          <w:tcPr>
            <w:tcW w:w="1503" w:type="pct"/>
            <w:tcMar>
              <w:left w:w="28" w:type="dxa"/>
              <w:right w:w="28" w:type="dxa"/>
            </w:tcMar>
            <w:vAlign w:val="center"/>
          </w:tcPr>
          <w:p w14:paraId="6226D7BD">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拟建工程距离生态保护红线区约93.2km，不占用生态保护红线</w:t>
            </w:r>
          </w:p>
        </w:tc>
        <w:tc>
          <w:tcPr>
            <w:tcW w:w="296" w:type="pct"/>
            <w:tcMar>
              <w:left w:w="28" w:type="dxa"/>
              <w:right w:w="28" w:type="dxa"/>
            </w:tcMar>
            <w:vAlign w:val="center"/>
          </w:tcPr>
          <w:p w14:paraId="774D5BE1">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677044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4" w:type="pct"/>
            <w:vMerge w:val="continue"/>
            <w:tcMar>
              <w:left w:w="28" w:type="dxa"/>
              <w:right w:w="28" w:type="dxa"/>
            </w:tcMar>
            <w:vAlign w:val="center"/>
          </w:tcPr>
          <w:p w14:paraId="2ED9C666">
            <w:pPr>
              <w:adjustRightInd w:val="0"/>
              <w:spacing w:line="0" w:lineRule="atLeast"/>
              <w:jc w:val="center"/>
              <w:rPr>
                <w:rFonts w:hint="eastAsia" w:hAnsi="宋体"/>
                <w:color w:val="000000"/>
                <w:spacing w:val="-10"/>
                <w:sz w:val="21"/>
                <w:szCs w:val="21"/>
              </w:rPr>
            </w:pPr>
          </w:p>
        </w:tc>
        <w:tc>
          <w:tcPr>
            <w:tcW w:w="348" w:type="pct"/>
            <w:vMerge w:val="continue"/>
            <w:tcMar>
              <w:left w:w="28" w:type="dxa"/>
              <w:right w:w="28" w:type="dxa"/>
            </w:tcMar>
            <w:vAlign w:val="center"/>
          </w:tcPr>
          <w:p w14:paraId="2AA1EEC7">
            <w:pPr>
              <w:adjustRightInd w:val="0"/>
              <w:spacing w:line="0" w:lineRule="atLeast"/>
              <w:jc w:val="center"/>
              <w:rPr>
                <w:rFonts w:hint="eastAsia" w:hAnsi="宋体" w:cs="宋体"/>
                <w:color w:val="000000"/>
                <w:spacing w:val="-10"/>
                <w:kern w:val="0"/>
                <w:sz w:val="21"/>
                <w:szCs w:val="21"/>
              </w:rPr>
            </w:pPr>
          </w:p>
        </w:tc>
        <w:tc>
          <w:tcPr>
            <w:tcW w:w="2369" w:type="pct"/>
            <w:tcMar>
              <w:left w:w="28" w:type="dxa"/>
              <w:right w:w="28" w:type="dxa"/>
            </w:tcMar>
            <w:vAlign w:val="center"/>
          </w:tcPr>
          <w:p w14:paraId="7A272DFD">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1.16原则上禁止曾用于生产、使用、贮存、回收、处置有毒有害物质的工矿用地复垦为种植食用农产品的耕地。</w:t>
            </w:r>
          </w:p>
        </w:tc>
        <w:tc>
          <w:tcPr>
            <w:tcW w:w="1503" w:type="pct"/>
            <w:tcMar>
              <w:left w:w="28" w:type="dxa"/>
              <w:right w:w="28" w:type="dxa"/>
            </w:tcMar>
            <w:vAlign w:val="center"/>
          </w:tcPr>
          <w:p w14:paraId="4139F8B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6" w:type="pct"/>
            <w:tcMar>
              <w:left w:w="28" w:type="dxa"/>
              <w:right w:w="28" w:type="dxa"/>
            </w:tcMar>
            <w:vAlign w:val="center"/>
          </w:tcPr>
          <w:p w14:paraId="256E6BE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62CF4DE6">
      <w:pPr>
        <w:adjustRightInd w:val="0"/>
        <w:spacing w:line="480" w:lineRule="exact"/>
        <w:ind w:firstLine="526" w:firstLineChars="200"/>
        <w:rPr>
          <w:rFonts w:hint="eastAsia" w:ascii="黑体" w:hAnsi="黑体" w:eastAsia="黑体"/>
          <w:color w:val="000000"/>
          <w:szCs w:val="24"/>
        </w:rPr>
      </w:pPr>
      <w:r>
        <w:rPr>
          <w:rFonts w:hint="eastAsia" w:hAnsi="宋体" w:cs="宋体"/>
          <w:color w:val="000000"/>
          <w:szCs w:val="24"/>
        </w:rPr>
        <w:br w:type="page"/>
      </w:r>
      <w:r>
        <w:rPr>
          <w:rFonts w:hint="eastAsia" w:ascii="黑体" w:hAnsi="黑体" w:eastAsia="黑体" w:cs="宋体"/>
          <w:color w:val="000000"/>
          <w:szCs w:val="24"/>
        </w:rPr>
        <w:t>续表</w:t>
      </w:r>
      <w:r>
        <w:rPr>
          <w:rFonts w:hint="eastAsia" w:ascii="黑体" w:hAnsi="黑体" w:eastAsia="黑体"/>
          <w:color w:val="000000"/>
          <w:szCs w:val="24"/>
        </w:rPr>
        <w:t>3.5-5</w:t>
      </w:r>
      <w:r>
        <w:rPr>
          <w:rFonts w:hint="eastAsia" w:ascii="黑体" w:hAnsi="黑体" w:eastAsia="黑体" w:cs="宋体"/>
          <w:color w:val="000000"/>
          <w:szCs w:val="24"/>
        </w:rPr>
        <w:t xml:space="preserve"> </w:t>
      </w:r>
      <w:r>
        <w:rPr>
          <w:rFonts w:hint="eastAsia" w:ascii="黑体" w:hAnsi="黑体" w:eastAsia="黑体"/>
          <w:color w:val="000000"/>
          <w:szCs w:val="24"/>
        </w:rPr>
        <w:t>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51"/>
        <w:gridCol w:w="465"/>
        <w:gridCol w:w="5238"/>
        <w:gridCol w:w="2153"/>
        <w:gridCol w:w="530"/>
      </w:tblGrid>
      <w:tr w14:paraId="2DA872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tcMar>
              <w:left w:w="28" w:type="dxa"/>
              <w:right w:w="28" w:type="dxa"/>
            </w:tcMar>
            <w:vAlign w:val="center"/>
          </w:tcPr>
          <w:p w14:paraId="249C8B85">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3154" w:type="pct"/>
            <w:gridSpan w:val="2"/>
            <w:tcMar>
              <w:left w:w="28" w:type="dxa"/>
              <w:right w:w="28" w:type="dxa"/>
            </w:tcMar>
            <w:vAlign w:val="center"/>
          </w:tcPr>
          <w:p w14:paraId="3253696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191" w:type="pct"/>
            <w:tcMar>
              <w:left w:w="28" w:type="dxa"/>
              <w:right w:w="28" w:type="dxa"/>
            </w:tcMar>
            <w:vAlign w:val="center"/>
          </w:tcPr>
          <w:p w14:paraId="0A8D5F8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3" w:type="pct"/>
            <w:tcMar>
              <w:left w:w="28" w:type="dxa"/>
              <w:right w:w="28" w:type="dxa"/>
            </w:tcMar>
            <w:vAlign w:val="center"/>
          </w:tcPr>
          <w:p w14:paraId="20615EC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4447A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restart"/>
            <w:tcMar>
              <w:left w:w="28" w:type="dxa"/>
              <w:right w:w="28" w:type="dxa"/>
            </w:tcMar>
            <w:vAlign w:val="center"/>
          </w:tcPr>
          <w:p w14:paraId="48E49EF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阿克苏地区总体管控要求</w:t>
            </w:r>
          </w:p>
        </w:tc>
        <w:tc>
          <w:tcPr>
            <w:tcW w:w="257" w:type="pct"/>
            <w:vMerge w:val="restart"/>
            <w:tcMar>
              <w:left w:w="28" w:type="dxa"/>
              <w:right w:w="28" w:type="dxa"/>
            </w:tcMar>
            <w:vAlign w:val="center"/>
          </w:tcPr>
          <w:p w14:paraId="7AF058BA">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空间布局约束</w:t>
            </w:r>
          </w:p>
        </w:tc>
        <w:tc>
          <w:tcPr>
            <w:tcW w:w="2896" w:type="pct"/>
            <w:tcMar>
              <w:left w:w="28" w:type="dxa"/>
              <w:right w:w="28" w:type="dxa"/>
            </w:tcMar>
            <w:vAlign w:val="center"/>
          </w:tcPr>
          <w:p w14:paraId="65F00EAC">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1.17对自然保护区、森林公园、湿地公园、沙漠公园、饮用水源地等特殊类土壤应严格保护，严格执行保护区管理规定，禁止各类开发建设活动污染保护区土壤。</w:t>
            </w:r>
          </w:p>
        </w:tc>
        <w:tc>
          <w:tcPr>
            <w:tcW w:w="1191" w:type="pct"/>
            <w:tcMar>
              <w:left w:w="28" w:type="dxa"/>
              <w:right w:w="28" w:type="dxa"/>
            </w:tcMar>
            <w:vAlign w:val="center"/>
          </w:tcPr>
          <w:p w14:paraId="71E34E5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5047F22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0E9758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5E142D41">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36DC2023">
            <w:pPr>
              <w:adjustRightInd w:val="0"/>
              <w:spacing w:line="0" w:lineRule="atLeast"/>
              <w:jc w:val="center"/>
              <w:rPr>
                <w:rFonts w:hint="eastAsia" w:hAnsi="宋体" w:cs="宋体"/>
                <w:color w:val="000000"/>
                <w:spacing w:val="-10"/>
                <w:kern w:val="0"/>
                <w:sz w:val="21"/>
                <w:szCs w:val="21"/>
              </w:rPr>
            </w:pPr>
          </w:p>
        </w:tc>
        <w:tc>
          <w:tcPr>
            <w:tcW w:w="2896" w:type="pct"/>
            <w:tcMar>
              <w:left w:w="28" w:type="dxa"/>
              <w:right w:w="28" w:type="dxa"/>
            </w:tcMar>
            <w:vAlign w:val="center"/>
          </w:tcPr>
          <w:p w14:paraId="6A3DFBAB">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1.18严禁在天然水体进行网箱养殖和将规模化畜禽养殖场产生的污水和粪便排入河道。加强对畜禽养殖及屠宰企业污染物排放的监管，在水源地保护区内不允许进行畜禽养殖。</w:t>
            </w:r>
          </w:p>
        </w:tc>
        <w:tc>
          <w:tcPr>
            <w:tcW w:w="1191" w:type="pct"/>
            <w:tcMar>
              <w:left w:w="28" w:type="dxa"/>
              <w:right w:w="28" w:type="dxa"/>
            </w:tcMar>
            <w:vAlign w:val="center"/>
          </w:tcPr>
          <w:p w14:paraId="2F9B1563">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459DBFFE">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0D57D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7B9C2CA3">
            <w:pPr>
              <w:adjustRightInd w:val="0"/>
              <w:spacing w:line="0" w:lineRule="atLeast"/>
              <w:jc w:val="center"/>
              <w:rPr>
                <w:rFonts w:hint="eastAsia" w:hAnsi="宋体" w:cs="宋体"/>
                <w:color w:val="000000"/>
                <w:spacing w:val="-10"/>
                <w:kern w:val="0"/>
                <w:sz w:val="21"/>
                <w:szCs w:val="21"/>
              </w:rPr>
            </w:pPr>
          </w:p>
        </w:tc>
        <w:tc>
          <w:tcPr>
            <w:tcW w:w="257" w:type="pct"/>
            <w:vMerge w:val="continue"/>
            <w:tcMar>
              <w:left w:w="28" w:type="dxa"/>
              <w:right w:w="28" w:type="dxa"/>
            </w:tcMar>
            <w:vAlign w:val="center"/>
          </w:tcPr>
          <w:p w14:paraId="56510216">
            <w:pPr>
              <w:adjustRightInd w:val="0"/>
              <w:spacing w:line="0" w:lineRule="atLeast"/>
              <w:jc w:val="center"/>
              <w:rPr>
                <w:rFonts w:hint="eastAsia" w:hAnsi="宋体" w:cs="宋体"/>
                <w:color w:val="000000"/>
                <w:spacing w:val="-10"/>
                <w:kern w:val="0"/>
                <w:sz w:val="21"/>
                <w:szCs w:val="21"/>
              </w:rPr>
            </w:pPr>
          </w:p>
        </w:tc>
        <w:tc>
          <w:tcPr>
            <w:tcW w:w="2896" w:type="pct"/>
            <w:tcMar>
              <w:left w:w="28" w:type="dxa"/>
              <w:right w:w="28" w:type="dxa"/>
            </w:tcMar>
            <w:vAlign w:val="center"/>
          </w:tcPr>
          <w:p w14:paraId="6FB3D0DE">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1.19限制新建、改（扩）建《产业结构调整指导目录（2024年本）》中限制类项目。国家重点生态功能区内限制新建、改（扩）建产业准入负面清单中限制类项目。</w:t>
            </w:r>
          </w:p>
        </w:tc>
        <w:tc>
          <w:tcPr>
            <w:tcW w:w="1191" w:type="pct"/>
            <w:tcMar>
              <w:left w:w="28" w:type="dxa"/>
              <w:right w:w="28" w:type="dxa"/>
            </w:tcMar>
            <w:vAlign w:val="center"/>
          </w:tcPr>
          <w:p w14:paraId="79722D3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拟建工程为石油天然气开采项目</w:t>
            </w:r>
            <w:r>
              <w:rPr>
                <w:rFonts w:hint="eastAsia" w:hAnsi="宋体" w:cs="宋体"/>
                <w:color w:val="000000"/>
                <w:spacing w:val="-10"/>
                <w:kern w:val="0"/>
                <w:sz w:val="21"/>
                <w:szCs w:val="21"/>
              </w:rPr>
              <w:t>，属于</w:t>
            </w:r>
            <w:r>
              <w:rPr>
                <w:rFonts w:hint="eastAsia" w:hAnsi="宋体" w:cs="宋体"/>
                <w:color w:val="000000"/>
                <w:spacing w:val="-10"/>
                <w:sz w:val="21"/>
                <w:szCs w:val="21"/>
              </w:rPr>
              <w:t>《产业结构调整指导目录（2024年本）》</w:t>
            </w:r>
            <w:r>
              <w:rPr>
                <w:rFonts w:hint="eastAsia" w:hAnsi="宋体" w:cs="宋体"/>
                <w:color w:val="000000"/>
                <w:spacing w:val="-10"/>
                <w:kern w:val="0"/>
                <w:sz w:val="21"/>
                <w:szCs w:val="21"/>
              </w:rPr>
              <w:t>中鼓励类项目</w:t>
            </w:r>
          </w:p>
        </w:tc>
        <w:tc>
          <w:tcPr>
            <w:tcW w:w="293" w:type="pct"/>
            <w:tcMar>
              <w:left w:w="28" w:type="dxa"/>
              <w:right w:w="28" w:type="dxa"/>
            </w:tcMar>
            <w:vAlign w:val="center"/>
          </w:tcPr>
          <w:p w14:paraId="4048F96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9F685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10B4CE7D">
            <w:pPr>
              <w:adjustRightInd w:val="0"/>
              <w:spacing w:line="0" w:lineRule="atLeast"/>
              <w:jc w:val="center"/>
              <w:rPr>
                <w:rFonts w:hint="eastAsia" w:hAnsi="宋体" w:cs="宋体"/>
                <w:color w:val="000000"/>
                <w:spacing w:val="-10"/>
                <w:kern w:val="0"/>
                <w:sz w:val="21"/>
                <w:szCs w:val="21"/>
              </w:rPr>
            </w:pPr>
          </w:p>
        </w:tc>
        <w:tc>
          <w:tcPr>
            <w:tcW w:w="257" w:type="pct"/>
            <w:vMerge w:val="continue"/>
            <w:tcMar>
              <w:left w:w="28" w:type="dxa"/>
              <w:right w:w="28" w:type="dxa"/>
            </w:tcMar>
            <w:vAlign w:val="center"/>
          </w:tcPr>
          <w:p w14:paraId="6B189B43">
            <w:pPr>
              <w:adjustRightInd w:val="0"/>
              <w:spacing w:line="0" w:lineRule="atLeast"/>
              <w:jc w:val="center"/>
              <w:rPr>
                <w:rFonts w:hint="eastAsia" w:hAnsi="宋体" w:cs="宋体"/>
                <w:color w:val="000000"/>
                <w:spacing w:val="-10"/>
                <w:kern w:val="0"/>
                <w:sz w:val="21"/>
                <w:szCs w:val="21"/>
              </w:rPr>
            </w:pPr>
          </w:p>
        </w:tc>
        <w:tc>
          <w:tcPr>
            <w:tcW w:w="2896" w:type="pct"/>
            <w:tcMar>
              <w:left w:w="28" w:type="dxa"/>
              <w:right w:w="28" w:type="dxa"/>
            </w:tcMar>
            <w:vAlign w:val="center"/>
          </w:tcPr>
          <w:p w14:paraId="2639251C">
            <w:pPr>
              <w:spacing w:line="0" w:lineRule="atLeast"/>
              <w:rPr>
                <w:rFonts w:hint="eastAsia" w:hAnsi="宋体" w:cs="宋体"/>
                <w:color w:val="000000"/>
                <w:spacing w:val="-10"/>
                <w:sz w:val="21"/>
                <w:szCs w:val="21"/>
              </w:rPr>
            </w:pPr>
            <w:r>
              <w:rPr>
                <w:rFonts w:hint="eastAsia" w:hAnsi="宋体" w:cs="宋体"/>
                <w:color w:val="000000"/>
                <w:spacing w:val="-10"/>
                <w:kern w:val="21"/>
                <w:sz w:val="21"/>
                <w:szCs w:val="21"/>
              </w:rPr>
              <w:t>1.20严格控制建设项目占用湿地。因国家和自治区重点建设工程、基础设施建设，以及重点公益性项目建设，确需占用湿地的，应当按照有关法律、法规规定的权限和程序办理批准手续。</w:t>
            </w:r>
          </w:p>
        </w:tc>
        <w:tc>
          <w:tcPr>
            <w:tcW w:w="1191" w:type="pct"/>
            <w:tcMar>
              <w:left w:w="28" w:type="dxa"/>
              <w:right w:w="28" w:type="dxa"/>
            </w:tcMar>
            <w:vAlign w:val="center"/>
          </w:tcPr>
          <w:p w14:paraId="1D5D3784">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拟建工程不涉及</w:t>
            </w:r>
            <w:r>
              <w:rPr>
                <w:rFonts w:hint="eastAsia" w:hAnsi="宋体" w:cs="宋体"/>
                <w:color w:val="000000"/>
                <w:spacing w:val="-10"/>
                <w:kern w:val="21"/>
                <w:sz w:val="21"/>
                <w:szCs w:val="21"/>
              </w:rPr>
              <w:t>占用湿地</w:t>
            </w:r>
          </w:p>
        </w:tc>
        <w:tc>
          <w:tcPr>
            <w:tcW w:w="293" w:type="pct"/>
            <w:tcMar>
              <w:left w:w="28" w:type="dxa"/>
              <w:right w:w="28" w:type="dxa"/>
            </w:tcMar>
            <w:vAlign w:val="center"/>
          </w:tcPr>
          <w:p w14:paraId="54B0EDC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45F5D2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360" w:type="pct"/>
            <w:vMerge w:val="continue"/>
            <w:tcMar>
              <w:left w:w="28" w:type="dxa"/>
              <w:right w:w="28" w:type="dxa"/>
            </w:tcMar>
            <w:vAlign w:val="center"/>
          </w:tcPr>
          <w:p w14:paraId="1A0CB27C">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6674C901">
            <w:pPr>
              <w:adjustRightInd w:val="0"/>
              <w:spacing w:line="0" w:lineRule="atLeast"/>
              <w:jc w:val="center"/>
              <w:rPr>
                <w:rFonts w:hint="eastAsia" w:hAnsi="宋体" w:cs="宋体"/>
                <w:color w:val="000000"/>
                <w:spacing w:val="-10"/>
                <w:kern w:val="0"/>
                <w:sz w:val="21"/>
                <w:szCs w:val="21"/>
              </w:rPr>
            </w:pPr>
          </w:p>
        </w:tc>
        <w:tc>
          <w:tcPr>
            <w:tcW w:w="2896" w:type="pct"/>
            <w:tcMar>
              <w:left w:w="28" w:type="dxa"/>
              <w:right w:w="28" w:type="dxa"/>
            </w:tcMar>
            <w:vAlign w:val="center"/>
          </w:tcPr>
          <w:p w14:paraId="63582F9C">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1.21在河湖管理范围外，湖泊周边、水库库边建设光伏、风电项目的，要科学论证，严格管控，不得布设在具有防洪、供水功能和水生态、水环境保护需求的区域，不得妨碍行洪通畅，不得危害水库大坝和堤防等水利工程设施安全，不得影响河势稳定。</w:t>
            </w:r>
          </w:p>
        </w:tc>
        <w:tc>
          <w:tcPr>
            <w:tcW w:w="1191" w:type="pct"/>
            <w:tcMar>
              <w:left w:w="28" w:type="dxa"/>
              <w:right w:w="28" w:type="dxa"/>
            </w:tcMar>
            <w:vAlign w:val="center"/>
          </w:tcPr>
          <w:p w14:paraId="2BEB7781">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15DF89FD">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6B8F87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1D5C1150">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224C79FE">
            <w:pPr>
              <w:adjustRightInd w:val="0"/>
              <w:spacing w:line="0" w:lineRule="atLeast"/>
              <w:jc w:val="center"/>
              <w:rPr>
                <w:rFonts w:hint="eastAsia" w:hAnsi="宋体" w:cs="宋体"/>
                <w:color w:val="000000"/>
                <w:spacing w:val="-10"/>
                <w:sz w:val="21"/>
                <w:szCs w:val="21"/>
              </w:rPr>
            </w:pPr>
          </w:p>
        </w:tc>
        <w:tc>
          <w:tcPr>
            <w:tcW w:w="2896" w:type="pct"/>
            <w:tcMar>
              <w:left w:w="28" w:type="dxa"/>
              <w:right w:w="28" w:type="dxa"/>
            </w:tcMar>
            <w:vAlign w:val="center"/>
          </w:tcPr>
          <w:p w14:paraId="479E15C7">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1.22严格管控自然保护地范围内非生态活动，稳妥推进核心区内居民、耕地有序退出，矿权依法依规退出。</w:t>
            </w:r>
          </w:p>
        </w:tc>
        <w:tc>
          <w:tcPr>
            <w:tcW w:w="1191" w:type="pct"/>
            <w:tcMar>
              <w:left w:w="28" w:type="dxa"/>
              <w:right w:w="28" w:type="dxa"/>
            </w:tcMar>
            <w:vAlign w:val="center"/>
          </w:tcPr>
          <w:p w14:paraId="7BBF48A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08EF459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r>
      <w:tr w14:paraId="59C998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1BA5DD95">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21F407C4">
            <w:pPr>
              <w:adjustRightInd w:val="0"/>
              <w:spacing w:line="0" w:lineRule="atLeast"/>
              <w:jc w:val="center"/>
              <w:rPr>
                <w:rFonts w:hint="eastAsia" w:hAnsi="宋体" w:cs="宋体"/>
                <w:color w:val="000000"/>
                <w:spacing w:val="-10"/>
                <w:sz w:val="21"/>
                <w:szCs w:val="21"/>
              </w:rPr>
            </w:pPr>
          </w:p>
        </w:tc>
        <w:tc>
          <w:tcPr>
            <w:tcW w:w="2896" w:type="pct"/>
            <w:tcMar>
              <w:left w:w="28" w:type="dxa"/>
              <w:right w:w="28" w:type="dxa"/>
            </w:tcMar>
            <w:vAlign w:val="center"/>
          </w:tcPr>
          <w:p w14:paraId="5D72AF99">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1.23新建、扩建石化、化工、焦化、有色金属冶炼、平板玻璃项目应布设在依法合规设立并经规划环评的产业园区。各级生态环境部门和行政审批部门要严格把关，对于不符合相关法律法规的，依法不予审批。</w:t>
            </w:r>
          </w:p>
        </w:tc>
        <w:tc>
          <w:tcPr>
            <w:tcW w:w="1191" w:type="pct"/>
            <w:tcMar>
              <w:left w:w="28" w:type="dxa"/>
              <w:right w:w="28" w:type="dxa"/>
            </w:tcMar>
            <w:vAlign w:val="center"/>
          </w:tcPr>
          <w:p w14:paraId="4E155DE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2CC2DE1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D3F2F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6F12F7C8">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6077D7ED">
            <w:pPr>
              <w:adjustRightInd w:val="0"/>
              <w:spacing w:line="0" w:lineRule="atLeast"/>
              <w:jc w:val="center"/>
              <w:rPr>
                <w:rFonts w:hint="eastAsia" w:hAnsi="宋体" w:cs="宋体"/>
                <w:color w:val="000000"/>
                <w:spacing w:val="-10"/>
                <w:sz w:val="21"/>
                <w:szCs w:val="21"/>
              </w:rPr>
            </w:pPr>
          </w:p>
        </w:tc>
        <w:tc>
          <w:tcPr>
            <w:tcW w:w="2896" w:type="pct"/>
            <w:tcMar>
              <w:left w:w="28" w:type="dxa"/>
              <w:right w:w="28" w:type="dxa"/>
            </w:tcMar>
            <w:vAlign w:val="center"/>
          </w:tcPr>
          <w:p w14:paraId="36F9223D">
            <w:pPr>
              <w:spacing w:line="0" w:lineRule="atLeast"/>
              <w:jc w:val="left"/>
              <w:rPr>
                <w:rFonts w:hint="eastAsia" w:hAnsi="宋体" w:cs="宋体"/>
                <w:color w:val="000000"/>
                <w:spacing w:val="-10"/>
                <w:sz w:val="21"/>
                <w:szCs w:val="21"/>
              </w:rPr>
            </w:pPr>
            <w:r>
              <w:rPr>
                <w:rFonts w:hint="eastAsia" w:hAnsi="宋体" w:cs="宋体"/>
                <w:color w:val="000000"/>
                <w:spacing w:val="-10"/>
                <w:kern w:val="21"/>
                <w:sz w:val="21"/>
                <w:szCs w:val="21"/>
              </w:rPr>
              <w:t>1.24在河湖管理范围内布局岸线整治修复类、体育和旅游类、水产养殖类及其它活动类规划，应征求水行政部门意见，办理相关手续。河湖管理范围内违法违规建筑物、构筑物不符合补救消缺要求的存量问题拆除腾退；对于坑塘养殖类、耕地种植类存量问题复核洪水影响，不能够满足要求的逐步退出。</w:t>
            </w:r>
          </w:p>
        </w:tc>
        <w:tc>
          <w:tcPr>
            <w:tcW w:w="1191" w:type="pct"/>
            <w:tcMar>
              <w:left w:w="28" w:type="dxa"/>
              <w:right w:w="28" w:type="dxa"/>
            </w:tcMar>
            <w:vAlign w:val="center"/>
          </w:tcPr>
          <w:p w14:paraId="183832E6">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w:t>
            </w:r>
          </w:p>
        </w:tc>
        <w:tc>
          <w:tcPr>
            <w:tcW w:w="293" w:type="pct"/>
            <w:tcMar>
              <w:left w:w="28" w:type="dxa"/>
              <w:right w:w="28" w:type="dxa"/>
            </w:tcMar>
            <w:vAlign w:val="center"/>
          </w:tcPr>
          <w:p w14:paraId="4DC978B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符合</w:t>
            </w:r>
          </w:p>
        </w:tc>
      </w:tr>
      <w:tr w14:paraId="21BE13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Merge w:val="continue"/>
            <w:tcMar>
              <w:left w:w="28" w:type="dxa"/>
              <w:right w:w="28" w:type="dxa"/>
            </w:tcMar>
            <w:vAlign w:val="center"/>
          </w:tcPr>
          <w:p w14:paraId="1C648160">
            <w:pPr>
              <w:adjustRightInd w:val="0"/>
              <w:spacing w:line="0" w:lineRule="atLeast"/>
              <w:jc w:val="center"/>
              <w:rPr>
                <w:rFonts w:hint="eastAsia" w:hAnsi="宋体" w:cs="宋体"/>
                <w:color w:val="000000"/>
                <w:spacing w:val="-10"/>
                <w:sz w:val="21"/>
                <w:szCs w:val="21"/>
              </w:rPr>
            </w:pPr>
          </w:p>
        </w:tc>
        <w:tc>
          <w:tcPr>
            <w:tcW w:w="257" w:type="pct"/>
            <w:vMerge w:val="restart"/>
            <w:tcMar>
              <w:left w:w="28" w:type="dxa"/>
              <w:right w:w="28" w:type="dxa"/>
            </w:tcMar>
            <w:vAlign w:val="center"/>
          </w:tcPr>
          <w:p w14:paraId="7D32E8C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污染物排放管控</w:t>
            </w:r>
          </w:p>
        </w:tc>
        <w:tc>
          <w:tcPr>
            <w:tcW w:w="2896" w:type="pct"/>
            <w:tcMar>
              <w:left w:w="28" w:type="dxa"/>
              <w:right w:w="28" w:type="dxa"/>
            </w:tcMar>
            <w:vAlign w:val="center"/>
          </w:tcPr>
          <w:p w14:paraId="6B64BFAE">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2.1新、改、扩建重点行业建设项目应符合“三线一单”、产业政策、区域环评、规划环评和行业环境准入管控要求，应遵循重点重金属污染物排放“等量替代”原则。</w:t>
            </w:r>
          </w:p>
        </w:tc>
        <w:tc>
          <w:tcPr>
            <w:tcW w:w="1191" w:type="pct"/>
            <w:tcMar>
              <w:left w:w="28" w:type="dxa"/>
              <w:right w:w="28" w:type="dxa"/>
            </w:tcMar>
            <w:vAlign w:val="center"/>
          </w:tcPr>
          <w:p w14:paraId="3249D0B2">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拟建工程符合“三线一单”、产业政策、规划环评和行业环境准入管控要求</w:t>
            </w:r>
          </w:p>
        </w:tc>
        <w:tc>
          <w:tcPr>
            <w:tcW w:w="293" w:type="pct"/>
            <w:tcMar>
              <w:left w:w="28" w:type="dxa"/>
              <w:right w:w="28" w:type="dxa"/>
            </w:tcMar>
            <w:vAlign w:val="center"/>
          </w:tcPr>
          <w:p w14:paraId="290C75C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29138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478" w:hRule="atLeast"/>
          <w:jc w:val="center"/>
        </w:trPr>
        <w:tc>
          <w:tcPr>
            <w:tcW w:w="360" w:type="pct"/>
            <w:vMerge w:val="continue"/>
            <w:tcMar>
              <w:left w:w="28" w:type="dxa"/>
              <w:right w:w="28" w:type="dxa"/>
            </w:tcMar>
            <w:vAlign w:val="center"/>
          </w:tcPr>
          <w:p w14:paraId="7A394100">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199881AA">
            <w:pPr>
              <w:adjustRightInd w:val="0"/>
              <w:spacing w:line="0" w:lineRule="atLeast"/>
              <w:jc w:val="center"/>
              <w:rPr>
                <w:rFonts w:hint="eastAsia" w:hAnsi="宋体" w:cs="宋体"/>
                <w:color w:val="000000"/>
                <w:spacing w:val="-10"/>
                <w:sz w:val="21"/>
                <w:szCs w:val="21"/>
              </w:rPr>
            </w:pPr>
          </w:p>
        </w:tc>
        <w:tc>
          <w:tcPr>
            <w:tcW w:w="2896" w:type="pct"/>
            <w:tcMar>
              <w:left w:w="28" w:type="dxa"/>
              <w:right w:w="28" w:type="dxa"/>
            </w:tcMar>
            <w:vAlign w:val="center"/>
          </w:tcPr>
          <w:p w14:paraId="722DC0B1">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2.2积极遏制臭氧浓度增长趋势，推进挥发性有机物和氮氧化物协同减排。以石化、化工、涂装、医药、包装印刷、油品储运销等行业领域为重点，安全高效推进挥发性有机物综合治理，实施原辅材料和产品源头替代工程。</w:t>
            </w:r>
          </w:p>
        </w:tc>
        <w:tc>
          <w:tcPr>
            <w:tcW w:w="1191" w:type="pct"/>
            <w:tcMar>
              <w:left w:w="28" w:type="dxa"/>
              <w:right w:w="28" w:type="dxa"/>
            </w:tcMar>
            <w:vAlign w:val="center"/>
          </w:tcPr>
          <w:p w14:paraId="2DBF044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拟建工程运营期间无废气产生</w:t>
            </w:r>
          </w:p>
        </w:tc>
        <w:tc>
          <w:tcPr>
            <w:tcW w:w="293" w:type="pct"/>
            <w:tcMar>
              <w:left w:w="28" w:type="dxa"/>
              <w:right w:w="28" w:type="dxa"/>
            </w:tcMar>
            <w:vAlign w:val="center"/>
          </w:tcPr>
          <w:p w14:paraId="04D4970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5BAD9795">
      <w:pPr>
        <w:adjustRightInd w:val="0"/>
        <w:spacing w:line="480" w:lineRule="exact"/>
        <w:ind w:firstLine="526" w:firstLineChars="200"/>
        <w:rPr>
          <w:rFonts w:hint="eastAsia" w:ascii="黑体" w:hAnsi="黑体" w:eastAsia="黑体" w:cs="宋体"/>
          <w:color w:val="000000"/>
          <w:szCs w:val="24"/>
        </w:rPr>
      </w:pPr>
      <w:r>
        <w:rPr>
          <w:rFonts w:cs="宋体"/>
          <w:color w:val="000000"/>
        </w:rPr>
        <w:br w:type="page"/>
      </w:r>
      <w:r>
        <w:rPr>
          <w:rFonts w:hint="eastAsia" w:ascii="黑体" w:hAnsi="黑体" w:eastAsia="黑体" w:cs="宋体"/>
          <w:color w:val="000000"/>
          <w:szCs w:val="24"/>
        </w:rPr>
        <w:t>续表3.5-5 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13"/>
        <w:gridCol w:w="407"/>
        <w:gridCol w:w="5111"/>
        <w:gridCol w:w="2473"/>
        <w:gridCol w:w="533"/>
      </w:tblGrid>
      <w:tr w14:paraId="3597A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tcMar>
              <w:left w:w="28" w:type="dxa"/>
              <w:right w:w="28" w:type="dxa"/>
            </w:tcMar>
            <w:vAlign w:val="center"/>
          </w:tcPr>
          <w:p w14:paraId="574E5DB5">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3053" w:type="pct"/>
            <w:gridSpan w:val="2"/>
            <w:tcMar>
              <w:left w:w="28" w:type="dxa"/>
              <w:right w:w="28" w:type="dxa"/>
            </w:tcMar>
            <w:vAlign w:val="center"/>
          </w:tcPr>
          <w:p w14:paraId="7C05BCF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368" w:type="pct"/>
            <w:tcMar>
              <w:left w:w="28" w:type="dxa"/>
              <w:right w:w="28" w:type="dxa"/>
            </w:tcMar>
            <w:vAlign w:val="center"/>
          </w:tcPr>
          <w:p w14:paraId="6C82E38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5" w:type="pct"/>
            <w:tcMar>
              <w:left w:w="28" w:type="dxa"/>
              <w:right w:w="28" w:type="dxa"/>
            </w:tcMar>
            <w:vAlign w:val="center"/>
          </w:tcPr>
          <w:p w14:paraId="73139D3F">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4672D0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restart"/>
            <w:tcMar>
              <w:left w:w="28" w:type="dxa"/>
              <w:right w:w="28" w:type="dxa"/>
            </w:tcMar>
            <w:vAlign w:val="center"/>
          </w:tcPr>
          <w:p w14:paraId="0F708BDE">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阿克苏地区总体管控要求</w:t>
            </w:r>
          </w:p>
        </w:tc>
        <w:tc>
          <w:tcPr>
            <w:tcW w:w="225" w:type="pct"/>
            <w:vMerge w:val="restart"/>
            <w:tcMar>
              <w:left w:w="28" w:type="dxa"/>
              <w:right w:w="28" w:type="dxa"/>
            </w:tcMar>
            <w:vAlign w:val="center"/>
          </w:tcPr>
          <w:p w14:paraId="157EE03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污染物排放管控</w:t>
            </w:r>
          </w:p>
        </w:tc>
        <w:tc>
          <w:tcPr>
            <w:tcW w:w="2828" w:type="pct"/>
            <w:tcMar>
              <w:left w:w="28" w:type="dxa"/>
              <w:right w:w="28" w:type="dxa"/>
            </w:tcMar>
            <w:vAlign w:val="center"/>
          </w:tcPr>
          <w:p w14:paraId="66CF1CE7">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2.3加强能耗“双控”管理，合理控制能源消费增量，优化能源消费结构。合理控制煤电装机规模，有序淘汰煤电落后产能，推进燃煤电厂灵活性和供热改造。</w:t>
            </w:r>
          </w:p>
        </w:tc>
        <w:tc>
          <w:tcPr>
            <w:tcW w:w="1368" w:type="pct"/>
            <w:tcMar>
              <w:left w:w="28" w:type="dxa"/>
              <w:right w:w="28" w:type="dxa"/>
            </w:tcMar>
            <w:vAlign w:val="center"/>
          </w:tcPr>
          <w:p w14:paraId="2688B17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3896DB5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21E82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1D2D0536">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7E15D68E">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1379B4B4">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2.4完成自治区下达的“十四五”重点工程污染物减排指标，制定年度减排计划。</w:t>
            </w:r>
          </w:p>
        </w:tc>
        <w:tc>
          <w:tcPr>
            <w:tcW w:w="1368" w:type="pct"/>
            <w:tcMar>
              <w:left w:w="28" w:type="dxa"/>
              <w:right w:w="28" w:type="dxa"/>
            </w:tcMar>
            <w:vAlign w:val="center"/>
          </w:tcPr>
          <w:p w14:paraId="09526B1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4408123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8AC41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3CBCF2CE">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2442DC7A">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7ED52114">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2.5推动能源、钢铁、建材、有色、电力、化工等重点领域技术升级，控制工业过程温室气体排放，推动工业领域绿色低碳发展。积极鼓励发展二氧化碳捕集利用与封存等低碳技术。促进大气污染物与温室气体协同控制。实施污染物和温室气体协同控制，实现减污降碳协同效应。强化污水、垃圾等集中处置设施环境管理，协同控制氢氟碳化物、甲烷、氧化亚氮等温室气体。加强节约能源与大气污染防治协同有效衔接，促进大气污染防治协同增效。</w:t>
            </w:r>
          </w:p>
        </w:tc>
        <w:tc>
          <w:tcPr>
            <w:tcW w:w="1368" w:type="pct"/>
            <w:tcMar>
              <w:left w:w="28" w:type="dxa"/>
              <w:right w:w="28" w:type="dxa"/>
            </w:tcMar>
            <w:vAlign w:val="center"/>
          </w:tcPr>
          <w:p w14:paraId="6C1B7336">
            <w:pPr>
              <w:adjustRightInd w:val="0"/>
              <w:spacing w:line="0" w:lineRule="atLeast"/>
              <w:rPr>
                <w:rFonts w:hAnsi="宋体" w:cs="宋体"/>
                <w:color w:val="000000"/>
                <w:spacing w:val="-10"/>
                <w:sz w:val="21"/>
                <w:szCs w:val="21"/>
              </w:rPr>
            </w:pPr>
            <w:r>
              <w:rPr>
                <w:rFonts w:hint="eastAsia" w:hAnsi="宋体" w:cs="宋体"/>
                <w:color w:val="000000"/>
                <w:spacing w:val="-10"/>
                <w:sz w:val="21"/>
                <w:szCs w:val="21"/>
              </w:rPr>
              <w:t>拟建工程不涉及温室气体排放</w:t>
            </w:r>
          </w:p>
        </w:tc>
        <w:tc>
          <w:tcPr>
            <w:tcW w:w="295" w:type="pct"/>
            <w:tcMar>
              <w:left w:w="28" w:type="dxa"/>
              <w:right w:w="28" w:type="dxa"/>
            </w:tcMar>
            <w:vAlign w:val="center"/>
          </w:tcPr>
          <w:p w14:paraId="64F1C54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0796A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790EE7F3">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36BE25FB">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73C00CA3">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2.6实施重点行业氮氧化物等污染物深度治理。持续推进钢铁、水泥、焦化行业超低排放改造。推进玻璃、陶瓷、铸造、铁合金、有色、煤化和石化等行业采取清洁生产、提标改造、深度治理等综合措施。加强自备燃煤机组污染治理设施运行管控，确保按照超低排放标准运行。针对铸造、铁合金、焦化、水泥、砖瓦、石灰、耐火材料、金属冶炼以及煤化工、石油化工等行业，严格控制物料储存、输送及生产工艺过程无组织排放。重点涉气排放企业逐步取消烟气旁路，因安全生产无法取消的，安装在线监控系统。</w:t>
            </w:r>
          </w:p>
        </w:tc>
        <w:tc>
          <w:tcPr>
            <w:tcW w:w="1368" w:type="pct"/>
            <w:tcMar>
              <w:left w:w="28" w:type="dxa"/>
              <w:right w:w="28" w:type="dxa"/>
            </w:tcMar>
            <w:vAlign w:val="center"/>
          </w:tcPr>
          <w:p w14:paraId="26B71A0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2686D89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9D51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59459CB9">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1817F7D9">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4BBB1C07">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2.7深入实施清洁柴油车（机）行动，基本淘汰国三及以下排放标准机动车，加快淘汰报废老旧柴油公务用车，全面实施国六排放标准。积极推广新能源汽车，提高城市公交领域新能源车辆占比。因地制宜持续提升新增及更新公务用车新能源汽车配备比例。大力推广“公转铁”运输组织模式，力争长距离公路货物运输量占比逐年递减，铁路发送量占比持续增加。推进重点工业企业和工业园区的原辅材料及产品由公路运输向铁路运输转移，降低大宗货物公路运输比重，减少重型柴油车使用强度。持续强化货运车辆燃油消耗量限值标准管理。积极推广新能源汽车，加快充电桩建设，建设高速公路沿线、物流集散地充电桩，鼓励开展充电桩进小区相关工作。</w:t>
            </w:r>
          </w:p>
        </w:tc>
        <w:tc>
          <w:tcPr>
            <w:tcW w:w="1368" w:type="pct"/>
            <w:tcMar>
              <w:left w:w="28" w:type="dxa"/>
              <w:right w:w="28" w:type="dxa"/>
            </w:tcMar>
            <w:vAlign w:val="center"/>
          </w:tcPr>
          <w:p w14:paraId="14017B9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1C7DB88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D5FB0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68CCF80A">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394569BA">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7ADDFE37">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2.8提升城市精细化管理水平，强化施工、道路、堆场、裸露地面等扬尘管控，加强城市保洁和清扫。加大餐饮油烟污染、恶臭异味治理力度。强化秸秆综合利用和禁烧管控。</w:t>
            </w:r>
          </w:p>
        </w:tc>
        <w:tc>
          <w:tcPr>
            <w:tcW w:w="1368" w:type="pct"/>
            <w:tcMar>
              <w:left w:w="28" w:type="dxa"/>
              <w:right w:w="28" w:type="dxa"/>
            </w:tcMar>
            <w:vAlign w:val="center"/>
          </w:tcPr>
          <w:p w14:paraId="5C9D59B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5FEE009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B61D2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4" w:type="pct"/>
            <w:vMerge w:val="continue"/>
            <w:tcMar>
              <w:left w:w="28" w:type="dxa"/>
              <w:right w:w="28" w:type="dxa"/>
            </w:tcMar>
            <w:vAlign w:val="center"/>
          </w:tcPr>
          <w:p w14:paraId="39F45890">
            <w:pPr>
              <w:adjustRightInd w:val="0"/>
              <w:spacing w:line="0" w:lineRule="atLeast"/>
              <w:jc w:val="center"/>
              <w:rPr>
                <w:rFonts w:hint="eastAsia" w:hAnsi="宋体" w:cs="宋体"/>
                <w:color w:val="000000"/>
                <w:spacing w:val="-10"/>
                <w:sz w:val="21"/>
                <w:szCs w:val="21"/>
              </w:rPr>
            </w:pPr>
          </w:p>
        </w:tc>
        <w:tc>
          <w:tcPr>
            <w:tcW w:w="225" w:type="pct"/>
            <w:vMerge w:val="continue"/>
            <w:tcMar>
              <w:left w:w="28" w:type="dxa"/>
              <w:right w:w="28" w:type="dxa"/>
            </w:tcMar>
            <w:vAlign w:val="center"/>
          </w:tcPr>
          <w:p w14:paraId="40210197">
            <w:pPr>
              <w:adjustRightInd w:val="0"/>
              <w:spacing w:line="0" w:lineRule="atLeast"/>
              <w:jc w:val="center"/>
              <w:rPr>
                <w:rFonts w:hint="eastAsia" w:hAnsi="宋体" w:cs="宋体"/>
                <w:color w:val="000000"/>
                <w:spacing w:val="-10"/>
                <w:sz w:val="21"/>
                <w:szCs w:val="21"/>
              </w:rPr>
            </w:pPr>
          </w:p>
        </w:tc>
        <w:tc>
          <w:tcPr>
            <w:tcW w:w="2828" w:type="pct"/>
            <w:tcMar>
              <w:left w:w="28" w:type="dxa"/>
              <w:right w:w="28" w:type="dxa"/>
            </w:tcMar>
            <w:vAlign w:val="center"/>
          </w:tcPr>
          <w:p w14:paraId="487DDA4A">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2.9严守水资源开发利用控制、用水效率控制和水功能区限制纳污“三条红线”，严格实行区域用水总量和强度控制，强化用水定额管理。推进地下水超采综合治理。开展河湖生态流量（水量）确定工作，强化生态用水保障。</w:t>
            </w:r>
          </w:p>
        </w:tc>
        <w:tc>
          <w:tcPr>
            <w:tcW w:w="1368" w:type="pct"/>
            <w:tcMar>
              <w:left w:w="28" w:type="dxa"/>
              <w:right w:w="28" w:type="dxa"/>
            </w:tcMar>
            <w:vAlign w:val="center"/>
          </w:tcPr>
          <w:p w14:paraId="347F898C">
            <w:pPr>
              <w:adjustRightInd w:val="0"/>
              <w:spacing w:line="0" w:lineRule="atLeast"/>
              <w:rPr>
                <w:rFonts w:hint="eastAsia" w:hAnsi="宋体" w:cs="宋体"/>
                <w:color w:val="000000"/>
                <w:spacing w:val="-10"/>
                <w:sz w:val="21"/>
                <w:szCs w:val="21"/>
              </w:rPr>
            </w:pPr>
            <w:r>
              <w:rPr>
                <w:rFonts w:hint="eastAsia" w:hAnsi="宋体" w:cs="宋体"/>
                <w:color w:val="000000"/>
                <w:spacing w:val="-10"/>
                <w:kern w:val="0"/>
                <w:sz w:val="21"/>
                <w:szCs w:val="21"/>
              </w:rPr>
              <w:t>拟建工程采取节水措施，管线试压废水属于清净废水，试压完成后用于区域降尘。运营期无用水工序</w:t>
            </w:r>
          </w:p>
        </w:tc>
        <w:tc>
          <w:tcPr>
            <w:tcW w:w="295" w:type="pct"/>
            <w:tcMar>
              <w:left w:w="28" w:type="dxa"/>
              <w:right w:w="28" w:type="dxa"/>
            </w:tcMar>
            <w:vAlign w:val="center"/>
          </w:tcPr>
          <w:p w14:paraId="274B46B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6743C39E">
      <w:pPr>
        <w:adjustRightInd w:val="0"/>
        <w:spacing w:line="480" w:lineRule="exact"/>
        <w:ind w:firstLine="526" w:firstLineChars="200"/>
        <w:rPr>
          <w:rFonts w:hint="eastAsia" w:ascii="黑体" w:hAnsi="黑体" w:eastAsia="黑体" w:cs="宋体"/>
          <w:color w:val="000000"/>
          <w:szCs w:val="24"/>
        </w:rPr>
      </w:pPr>
      <w:r>
        <w:rPr>
          <w:color w:val="000000"/>
        </w:rPr>
        <w:br w:type="page"/>
      </w:r>
      <w:r>
        <w:rPr>
          <w:rFonts w:hint="eastAsia" w:ascii="黑体" w:hAnsi="黑体" w:eastAsia="黑体" w:cs="宋体"/>
          <w:color w:val="000000"/>
          <w:szCs w:val="24"/>
        </w:rPr>
        <w:t>续表3.5-5 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52"/>
        <w:gridCol w:w="465"/>
        <w:gridCol w:w="4914"/>
        <w:gridCol w:w="2473"/>
        <w:gridCol w:w="533"/>
      </w:tblGrid>
      <w:tr w14:paraId="610A5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tcMar>
              <w:left w:w="28" w:type="dxa"/>
              <w:right w:w="28" w:type="dxa"/>
            </w:tcMar>
            <w:vAlign w:val="center"/>
          </w:tcPr>
          <w:p w14:paraId="4FBDC650">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76" w:type="pct"/>
            <w:gridSpan w:val="2"/>
            <w:tcMar>
              <w:left w:w="28" w:type="dxa"/>
              <w:right w:w="28" w:type="dxa"/>
            </w:tcMar>
            <w:vAlign w:val="center"/>
          </w:tcPr>
          <w:p w14:paraId="12ABDD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368" w:type="pct"/>
            <w:tcMar>
              <w:left w:w="28" w:type="dxa"/>
              <w:right w:w="28" w:type="dxa"/>
            </w:tcMar>
            <w:vAlign w:val="center"/>
          </w:tcPr>
          <w:p w14:paraId="4F3B473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5" w:type="pct"/>
            <w:tcMar>
              <w:left w:w="28" w:type="dxa"/>
              <w:right w:w="28" w:type="dxa"/>
            </w:tcMar>
            <w:vAlign w:val="center"/>
          </w:tcPr>
          <w:p w14:paraId="082F73C8">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4989E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vMerge w:val="restart"/>
            <w:tcMar>
              <w:left w:w="28" w:type="dxa"/>
              <w:right w:w="28" w:type="dxa"/>
            </w:tcMar>
            <w:vAlign w:val="center"/>
          </w:tcPr>
          <w:p w14:paraId="00DF35DF">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阿克苏地区总体管控要求</w:t>
            </w:r>
          </w:p>
        </w:tc>
        <w:tc>
          <w:tcPr>
            <w:tcW w:w="257" w:type="pct"/>
            <w:vMerge w:val="restart"/>
            <w:tcMar>
              <w:left w:w="28" w:type="dxa"/>
              <w:right w:w="28" w:type="dxa"/>
            </w:tcMar>
            <w:vAlign w:val="center"/>
          </w:tcPr>
          <w:p w14:paraId="6925055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污染物排放管控</w:t>
            </w:r>
          </w:p>
        </w:tc>
        <w:tc>
          <w:tcPr>
            <w:tcW w:w="2719" w:type="pct"/>
            <w:tcMar>
              <w:left w:w="28" w:type="dxa"/>
              <w:right w:w="28" w:type="dxa"/>
            </w:tcMar>
            <w:vAlign w:val="center"/>
          </w:tcPr>
          <w:p w14:paraId="2EB88338">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2.10全面落实河（湖）长制，实施水陆统筹的水污染减排机制，严格执行污染物排放总量控制，整体推进水功能区水质稳中向好。巩固提升城市黑臭水体治理成效，推动实现长治久清。</w:t>
            </w:r>
          </w:p>
        </w:tc>
        <w:tc>
          <w:tcPr>
            <w:tcW w:w="1368" w:type="pct"/>
            <w:tcMar>
              <w:left w:w="28" w:type="dxa"/>
              <w:right w:w="28" w:type="dxa"/>
            </w:tcMar>
            <w:vAlign w:val="center"/>
          </w:tcPr>
          <w:p w14:paraId="534430F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3F3A850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FE88C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vMerge w:val="continue"/>
            <w:tcMar>
              <w:left w:w="28" w:type="dxa"/>
              <w:right w:w="28" w:type="dxa"/>
            </w:tcMar>
            <w:vAlign w:val="center"/>
          </w:tcPr>
          <w:p w14:paraId="5C57B770">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2F016DD2">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1DA112D8">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2.11推进地表水与地下水协同防治。以傍河型地下水饮用水水源为重点，防范受污染河段侧渗和垂直补给对地下水污染。加强化学品生产企业、工业聚集区、矿山开采区等污染源的地表、地下协同防治与环境风险管控。加强工业污染防治。推动重点行业、重点企业绿色发展，严格落实水污染物排放标准和排污许可制度。加强农副食品加工、化工、印染、棉浆粕、粘胶纤维、制糖等企业综合治理和清洁化改造。支持企业积极实施节水技术改造，加强工业园区污水集中处理设施运行管理，加快再生水回用设施建设，提升园区水资源循环利用水平。</w:t>
            </w:r>
          </w:p>
        </w:tc>
        <w:tc>
          <w:tcPr>
            <w:tcW w:w="1368" w:type="pct"/>
            <w:tcMar>
              <w:left w:w="28" w:type="dxa"/>
              <w:right w:w="28" w:type="dxa"/>
            </w:tcMar>
            <w:vAlign w:val="center"/>
          </w:tcPr>
          <w:p w14:paraId="00F85B67">
            <w:pPr>
              <w:spacing w:line="0" w:lineRule="atLeast"/>
              <w:rPr>
                <w:rFonts w:hint="eastAsia" w:hAnsi="宋体" w:cs="宋体"/>
                <w:color w:val="000000"/>
                <w:spacing w:val="-10"/>
                <w:sz w:val="21"/>
                <w:szCs w:val="21"/>
              </w:rPr>
            </w:pPr>
            <w:r>
              <w:rPr>
                <w:rFonts w:hint="eastAsia" w:hAnsi="宋体" w:cs="宋体"/>
                <w:color w:val="000000"/>
                <w:spacing w:val="-10"/>
                <w:sz w:val="21"/>
                <w:szCs w:val="21"/>
                <w:lang w:bidi="ar"/>
              </w:rPr>
              <w:t>拟建工程不涉及</w:t>
            </w:r>
          </w:p>
        </w:tc>
        <w:tc>
          <w:tcPr>
            <w:tcW w:w="295" w:type="pct"/>
            <w:tcMar>
              <w:left w:w="28" w:type="dxa"/>
              <w:right w:w="28" w:type="dxa"/>
            </w:tcMar>
            <w:vAlign w:val="center"/>
          </w:tcPr>
          <w:p w14:paraId="7A675A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E02C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166" w:hRule="atLeast"/>
          <w:jc w:val="center"/>
        </w:trPr>
        <w:tc>
          <w:tcPr>
            <w:tcW w:w="361" w:type="pct"/>
            <w:vMerge w:val="continue"/>
            <w:tcMar>
              <w:left w:w="28" w:type="dxa"/>
              <w:right w:w="28" w:type="dxa"/>
            </w:tcMar>
            <w:vAlign w:val="center"/>
          </w:tcPr>
          <w:p w14:paraId="59F89C6F">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725B7D75">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406DAACB">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2.12强化重点区域地下水环境风险管控，对化学品生产企业、工业集聚区、尾矿库、矿山开采区、危险废物处置场、垃圾填埋场等地下水污染源及周边区域，逐步开展地下水环境状况调查评估，加强风险管控。</w:t>
            </w:r>
          </w:p>
        </w:tc>
        <w:tc>
          <w:tcPr>
            <w:tcW w:w="1368" w:type="pct"/>
            <w:tcMar>
              <w:left w:w="28" w:type="dxa"/>
              <w:right w:w="28" w:type="dxa"/>
            </w:tcMar>
            <w:vAlign w:val="center"/>
          </w:tcPr>
          <w:p w14:paraId="7293663B">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拟建工程制定完善的地下水监测计划，已建立地下水监测网络，切实保障地下水生态环境安全</w:t>
            </w:r>
          </w:p>
        </w:tc>
        <w:tc>
          <w:tcPr>
            <w:tcW w:w="295" w:type="pct"/>
            <w:tcMar>
              <w:left w:w="28" w:type="dxa"/>
              <w:right w:w="28" w:type="dxa"/>
            </w:tcMar>
            <w:vAlign w:val="center"/>
          </w:tcPr>
          <w:p w14:paraId="22D4015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2851C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1" w:hRule="atLeast"/>
          <w:jc w:val="center"/>
        </w:trPr>
        <w:tc>
          <w:tcPr>
            <w:tcW w:w="361" w:type="pct"/>
            <w:vMerge w:val="continue"/>
            <w:tcMar>
              <w:left w:w="28" w:type="dxa"/>
              <w:right w:w="28" w:type="dxa"/>
            </w:tcMar>
            <w:vAlign w:val="center"/>
          </w:tcPr>
          <w:p w14:paraId="79EFC027">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0EF5A635">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2BA441B2">
            <w:pPr>
              <w:spacing w:line="0" w:lineRule="atLeast"/>
              <w:rPr>
                <w:rFonts w:hint="eastAsia" w:hAnsi="宋体" w:cs="宋体"/>
                <w:color w:val="000000"/>
                <w:spacing w:val="-10"/>
                <w:kern w:val="21"/>
                <w:sz w:val="21"/>
                <w:szCs w:val="21"/>
              </w:rPr>
            </w:pPr>
            <w:r>
              <w:rPr>
                <w:rFonts w:hint="eastAsia" w:hAnsi="宋体" w:cs="宋体"/>
                <w:color w:val="000000"/>
                <w:spacing w:val="-10"/>
                <w:kern w:val="21"/>
                <w:sz w:val="21"/>
                <w:szCs w:val="21"/>
              </w:rPr>
              <w:t>2.13严控土壤重金属污染，加强油（气）田开发土壤污染防治，以历史遗留工业企业污染场地为重点，开展土壤污染风险管控与修复工程。</w:t>
            </w:r>
          </w:p>
        </w:tc>
        <w:tc>
          <w:tcPr>
            <w:tcW w:w="1368" w:type="pct"/>
            <w:tcMar>
              <w:left w:w="28" w:type="dxa"/>
              <w:right w:w="28" w:type="dxa"/>
            </w:tcMar>
            <w:vAlign w:val="center"/>
          </w:tcPr>
          <w:p w14:paraId="79F6D42B">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拟建工程制定</w:t>
            </w:r>
            <w:r>
              <w:rPr>
                <w:rFonts w:hint="eastAsia" w:hAnsi="宋体" w:cs="宋体"/>
                <w:color w:val="000000"/>
                <w:spacing w:val="-10"/>
                <w:kern w:val="21"/>
                <w:sz w:val="21"/>
                <w:szCs w:val="21"/>
              </w:rPr>
              <w:t>土壤污染防治措施</w:t>
            </w:r>
            <w:r>
              <w:rPr>
                <w:rFonts w:hint="eastAsia" w:hAnsi="宋体" w:cs="宋体"/>
                <w:color w:val="000000"/>
                <w:spacing w:val="-10"/>
                <w:sz w:val="21"/>
                <w:szCs w:val="21"/>
              </w:rPr>
              <w:t>，切实保障</w:t>
            </w:r>
            <w:r>
              <w:rPr>
                <w:rFonts w:hint="eastAsia" w:hAnsi="宋体" w:cs="宋体"/>
                <w:color w:val="000000"/>
                <w:spacing w:val="-10"/>
                <w:kern w:val="21"/>
                <w:sz w:val="21"/>
                <w:szCs w:val="21"/>
              </w:rPr>
              <w:t>土壤</w:t>
            </w:r>
            <w:r>
              <w:rPr>
                <w:rFonts w:hint="eastAsia" w:hAnsi="宋体" w:cs="宋体"/>
                <w:color w:val="000000"/>
                <w:spacing w:val="-10"/>
                <w:sz w:val="21"/>
                <w:szCs w:val="21"/>
              </w:rPr>
              <w:t>环境安全</w:t>
            </w:r>
          </w:p>
        </w:tc>
        <w:tc>
          <w:tcPr>
            <w:tcW w:w="295" w:type="pct"/>
            <w:tcMar>
              <w:left w:w="28" w:type="dxa"/>
              <w:right w:w="28" w:type="dxa"/>
            </w:tcMar>
            <w:vAlign w:val="center"/>
          </w:tcPr>
          <w:p w14:paraId="656802F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38601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20" w:hRule="atLeast"/>
          <w:jc w:val="center"/>
        </w:trPr>
        <w:tc>
          <w:tcPr>
            <w:tcW w:w="361" w:type="pct"/>
            <w:vMerge w:val="continue"/>
            <w:tcMar>
              <w:left w:w="28" w:type="dxa"/>
              <w:right w:w="28" w:type="dxa"/>
            </w:tcMar>
            <w:vAlign w:val="center"/>
          </w:tcPr>
          <w:p w14:paraId="769843AF">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5426987F">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18791383">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2.14加强种植业污染防治。深入推进化肥农药减量增效，全面推广测土配方施肥，引导推动有机肥、绿肥替代化肥，集成推广化肥减量增效技术模式，加强农药包装废弃物管理。实施农膜回收行动，健全农田废旧地膜回收利用体系，提高废旧地膜回收率。推进农作物秸秆综合利用，不断完善秸秆收储运用体系，形成布局合理、多元利用的秸秆综合利用格局。</w:t>
            </w:r>
          </w:p>
        </w:tc>
        <w:tc>
          <w:tcPr>
            <w:tcW w:w="1368" w:type="pct"/>
            <w:tcMar>
              <w:left w:w="28" w:type="dxa"/>
              <w:right w:w="28" w:type="dxa"/>
            </w:tcMar>
            <w:vAlign w:val="center"/>
          </w:tcPr>
          <w:p w14:paraId="0273261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558F46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72952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488" w:hRule="atLeast"/>
          <w:jc w:val="center"/>
        </w:trPr>
        <w:tc>
          <w:tcPr>
            <w:tcW w:w="361" w:type="pct"/>
            <w:vMerge w:val="continue"/>
            <w:tcMar>
              <w:left w:w="28" w:type="dxa"/>
              <w:right w:w="28" w:type="dxa"/>
            </w:tcMar>
            <w:vAlign w:val="center"/>
          </w:tcPr>
          <w:p w14:paraId="0B773302">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5A55591D">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3C3556E6">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2.15因地制宜推进农村厕所革命，分类分区推进农村生活污水治理，全面提升农村生活垃圾治理水平，建立健全农村人居环境长效管护机制。实施化肥农药减量增效行动和农膜回收、秸秆综合利用行动。加强种养结合，整县推进畜禽粪污资源化利用。</w:t>
            </w:r>
          </w:p>
        </w:tc>
        <w:tc>
          <w:tcPr>
            <w:tcW w:w="1368" w:type="pct"/>
            <w:tcMar>
              <w:left w:w="28" w:type="dxa"/>
              <w:right w:w="28" w:type="dxa"/>
            </w:tcMar>
            <w:vAlign w:val="center"/>
          </w:tcPr>
          <w:p w14:paraId="60B2FB7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73FFA59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5C3B4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05" w:hRule="atLeast"/>
          <w:jc w:val="center"/>
        </w:trPr>
        <w:tc>
          <w:tcPr>
            <w:tcW w:w="361" w:type="pct"/>
            <w:vMerge w:val="continue"/>
            <w:tcMar>
              <w:left w:w="28" w:type="dxa"/>
              <w:right w:w="28" w:type="dxa"/>
            </w:tcMar>
            <w:vAlign w:val="center"/>
          </w:tcPr>
          <w:p w14:paraId="20F96D4B">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70F620F5">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6CE32EAF">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2.16聚焦秋冬季细颗粒物污染，加大产业结构调整和污染治理力度，强化联防联控联治。进一步深化工业污染源深度治理，钢铁、有色金属、化工等行业执行重污染天气应急减排措施。持续开展防风固沙生态修复工程，加强沙尘天气颗粒物防控。建立和完善重污染天气兵地联合应急预案、预警应急机制和会商联动机制，实施重污染天气重点行业绩效分级和应急减排差异化控制。</w:t>
            </w:r>
          </w:p>
        </w:tc>
        <w:tc>
          <w:tcPr>
            <w:tcW w:w="1368" w:type="pct"/>
            <w:tcMar>
              <w:left w:w="28" w:type="dxa"/>
              <w:right w:w="28" w:type="dxa"/>
            </w:tcMar>
            <w:vAlign w:val="center"/>
          </w:tcPr>
          <w:p w14:paraId="05C9076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09215F6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045E2E65">
      <w:pPr>
        <w:adjustRightInd w:val="0"/>
        <w:spacing w:line="480" w:lineRule="exact"/>
        <w:ind w:firstLine="526" w:firstLineChars="200"/>
        <w:rPr>
          <w:rFonts w:hint="eastAsia" w:ascii="黑体" w:hAnsi="黑体" w:eastAsia="黑体" w:cs="宋体"/>
          <w:color w:val="000000"/>
          <w:szCs w:val="24"/>
        </w:rPr>
      </w:pPr>
      <w:r>
        <w:rPr>
          <w:color w:val="000000"/>
        </w:rPr>
        <w:br w:type="page"/>
      </w:r>
      <w:r>
        <w:rPr>
          <w:rFonts w:hint="eastAsia" w:ascii="黑体" w:hAnsi="黑体" w:eastAsia="黑体" w:cs="宋体"/>
          <w:color w:val="000000"/>
          <w:szCs w:val="24"/>
        </w:rPr>
        <w:t>续表3.5-5 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52"/>
        <w:gridCol w:w="465"/>
        <w:gridCol w:w="4914"/>
        <w:gridCol w:w="2473"/>
        <w:gridCol w:w="533"/>
      </w:tblGrid>
      <w:tr w14:paraId="4D23C1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tcMar>
              <w:left w:w="28" w:type="dxa"/>
              <w:right w:w="28" w:type="dxa"/>
            </w:tcMar>
            <w:vAlign w:val="center"/>
          </w:tcPr>
          <w:p w14:paraId="061CEC6B">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76" w:type="pct"/>
            <w:gridSpan w:val="2"/>
            <w:tcMar>
              <w:left w:w="28" w:type="dxa"/>
              <w:right w:w="28" w:type="dxa"/>
            </w:tcMar>
            <w:vAlign w:val="center"/>
          </w:tcPr>
          <w:p w14:paraId="34FE069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368" w:type="pct"/>
            <w:tcMar>
              <w:left w:w="28" w:type="dxa"/>
              <w:right w:w="28" w:type="dxa"/>
            </w:tcMar>
            <w:vAlign w:val="center"/>
          </w:tcPr>
          <w:p w14:paraId="5078572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5" w:type="pct"/>
            <w:tcMar>
              <w:left w:w="28" w:type="dxa"/>
              <w:right w:w="28" w:type="dxa"/>
            </w:tcMar>
            <w:vAlign w:val="center"/>
          </w:tcPr>
          <w:p w14:paraId="0B07CDCB">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627B3F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489" w:hRule="atLeast"/>
          <w:jc w:val="center"/>
        </w:trPr>
        <w:tc>
          <w:tcPr>
            <w:tcW w:w="361" w:type="pct"/>
            <w:vMerge w:val="restart"/>
            <w:tcMar>
              <w:left w:w="28" w:type="dxa"/>
              <w:right w:w="28" w:type="dxa"/>
            </w:tcMar>
            <w:vAlign w:val="center"/>
          </w:tcPr>
          <w:p w14:paraId="743B5FC5">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阿克苏地区总体管控要求</w:t>
            </w:r>
          </w:p>
        </w:tc>
        <w:tc>
          <w:tcPr>
            <w:tcW w:w="257" w:type="pct"/>
            <w:vMerge w:val="restart"/>
            <w:tcMar>
              <w:left w:w="28" w:type="dxa"/>
              <w:right w:w="28" w:type="dxa"/>
            </w:tcMar>
            <w:vAlign w:val="center"/>
          </w:tcPr>
          <w:p w14:paraId="126BA4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污染物排放管控</w:t>
            </w:r>
          </w:p>
        </w:tc>
        <w:tc>
          <w:tcPr>
            <w:tcW w:w="2719" w:type="pct"/>
            <w:tcMar>
              <w:left w:w="28" w:type="dxa"/>
              <w:right w:w="28" w:type="dxa"/>
            </w:tcMar>
            <w:vAlign w:val="center"/>
          </w:tcPr>
          <w:p w14:paraId="4092921A">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2.17建立健全自然保护地生态环境监管制度。组织开展自然保护地人类活动遥感监测疑似问题实地核查，实现自然保护地类型全覆盖。加强自然保护地管理，严控自然保护地内各类开发建设活动。</w:t>
            </w:r>
          </w:p>
        </w:tc>
        <w:tc>
          <w:tcPr>
            <w:tcW w:w="1368" w:type="pct"/>
            <w:tcMar>
              <w:left w:w="28" w:type="dxa"/>
              <w:right w:w="28" w:type="dxa"/>
            </w:tcMar>
            <w:vAlign w:val="center"/>
          </w:tcPr>
          <w:p w14:paraId="3AA1812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331B747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E721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4" w:hRule="atLeast"/>
          <w:jc w:val="center"/>
        </w:trPr>
        <w:tc>
          <w:tcPr>
            <w:tcW w:w="361" w:type="pct"/>
            <w:vMerge w:val="continue"/>
            <w:tcMar>
              <w:left w:w="28" w:type="dxa"/>
              <w:right w:w="28" w:type="dxa"/>
            </w:tcMar>
            <w:vAlign w:val="center"/>
          </w:tcPr>
          <w:p w14:paraId="59E84747">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00B9650B">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55806FC6">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2.18实施塔里木河重要源流区（阿克苏河流域）山水林田湖草沙一体化保护和修复工程。推行草原森林河流湖泊休养生息，对生态严重退化地区实行封禁保护。巩固提升退耕还林还草成果，推进草原禁牧和草畜平衡制度落实。健全耕地休耕轮作制度，推进荒漠化和水土流失综合治理。根据区域水资源条件科学开展国土绿化行动，全面保护修复天然林，深入实施以农田防护林为主的防护林体系修复建设工程。加强湿地保护和修复，推进重点湿地综合治理，强化湿地用途管制和利用监管。</w:t>
            </w:r>
          </w:p>
        </w:tc>
        <w:tc>
          <w:tcPr>
            <w:tcW w:w="1368" w:type="pct"/>
            <w:tcMar>
              <w:left w:w="28" w:type="dxa"/>
              <w:right w:w="28" w:type="dxa"/>
            </w:tcMar>
            <w:vAlign w:val="center"/>
          </w:tcPr>
          <w:p w14:paraId="6A84D18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19A0F89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26F0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159" w:hRule="atLeast"/>
          <w:jc w:val="center"/>
        </w:trPr>
        <w:tc>
          <w:tcPr>
            <w:tcW w:w="361" w:type="pct"/>
            <w:vMerge w:val="continue"/>
            <w:tcMar>
              <w:left w:w="28" w:type="dxa"/>
              <w:right w:w="28" w:type="dxa"/>
            </w:tcMar>
            <w:vAlign w:val="center"/>
          </w:tcPr>
          <w:p w14:paraId="5E18B3B1">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4BB1FC27">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17301DE9">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2.19全面提升城镇污水处理能力。所有县级以上城市及重点独立建制镇均应建成污水处理设施，对现有城镇污水处理设施因地制宜进行提标改造。加强污水处理设施运行管理及配套管网建设，进一步提高县城、城市污水处理率，提升污泥处理处置水平。建立污泥生产、运输、处置全过程监管体系，实现污泥稳定化、无害化和资源化处理处置。加强城镇污水处理及再生利用设施建设。</w:t>
            </w:r>
          </w:p>
        </w:tc>
        <w:tc>
          <w:tcPr>
            <w:tcW w:w="1368" w:type="pct"/>
            <w:tcMar>
              <w:left w:w="28" w:type="dxa"/>
              <w:right w:w="28" w:type="dxa"/>
            </w:tcMar>
            <w:vAlign w:val="center"/>
          </w:tcPr>
          <w:p w14:paraId="78F094C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65A59FC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407DF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49" w:hRule="atLeast"/>
          <w:jc w:val="center"/>
        </w:trPr>
        <w:tc>
          <w:tcPr>
            <w:tcW w:w="361" w:type="pct"/>
            <w:vMerge w:val="continue"/>
            <w:tcMar>
              <w:left w:w="28" w:type="dxa"/>
              <w:right w:w="28" w:type="dxa"/>
            </w:tcMar>
            <w:vAlign w:val="center"/>
          </w:tcPr>
          <w:p w14:paraId="2CCCBA4F">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7C494784">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07A495BD">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2.20提升生活垃圾处理处置水平。规范化建设生活垃圾卫生填埋场，发展垃圾生物堆肥、焚烧发电和卫生填埋相组合的综合处置，减少原生垃圾直接填埋量。推行生活垃圾分类收集和回收体系，加强对垃圾填埋场封场后的环境管理。开展餐厨垃圾资源化利用与无害化处理试点以及生活垃圾分类示范试点。</w:t>
            </w:r>
          </w:p>
        </w:tc>
        <w:tc>
          <w:tcPr>
            <w:tcW w:w="1368" w:type="pct"/>
            <w:tcMar>
              <w:left w:w="28" w:type="dxa"/>
              <w:right w:w="28" w:type="dxa"/>
            </w:tcMar>
            <w:vAlign w:val="center"/>
          </w:tcPr>
          <w:p w14:paraId="45AF233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3F691C0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ADDB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067" w:hRule="atLeast"/>
          <w:jc w:val="center"/>
        </w:trPr>
        <w:tc>
          <w:tcPr>
            <w:tcW w:w="361" w:type="pct"/>
            <w:vMerge w:val="continue"/>
            <w:tcMar>
              <w:left w:w="28" w:type="dxa"/>
              <w:right w:w="28" w:type="dxa"/>
            </w:tcMar>
            <w:vAlign w:val="center"/>
          </w:tcPr>
          <w:p w14:paraId="5BFF28C4">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34334080">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1A71BE05">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2.21加强矿山地质环境保护与恢复治理力度。建立健全矿山生态环境保护修复监管信息系统，完善矿山地质环境动态监测体系建设。加强对矿山企业依法履行矿山地质环境保护与土地复垦义务的监督管理。</w:t>
            </w:r>
          </w:p>
        </w:tc>
        <w:tc>
          <w:tcPr>
            <w:tcW w:w="1368" w:type="pct"/>
            <w:tcMar>
              <w:left w:w="28" w:type="dxa"/>
              <w:right w:w="28" w:type="dxa"/>
            </w:tcMar>
            <w:vAlign w:val="center"/>
          </w:tcPr>
          <w:p w14:paraId="3AEB29C6">
            <w:pPr>
              <w:adjustRightInd w:val="0"/>
              <w:spacing w:line="0" w:lineRule="atLeast"/>
              <w:rPr>
                <w:rFonts w:hint="eastAsia" w:hAnsi="宋体" w:cs="宋体"/>
                <w:color w:val="000000"/>
                <w:spacing w:val="-10"/>
                <w:sz w:val="21"/>
                <w:szCs w:val="21"/>
              </w:rPr>
            </w:pPr>
            <w:r>
              <w:rPr>
                <w:rFonts w:hint="eastAsia" w:hAnsi="宋体" w:cs="宋体"/>
                <w:color w:val="000000"/>
                <w:spacing w:val="-17"/>
                <w:sz w:val="21"/>
                <w:szCs w:val="21"/>
              </w:rPr>
              <w:t>项目生态修复满足《矿山生态环境保护与恢复治理技术规范（试行）》（HJ651-2013）、《陆上石油天然气开采业绿色矿山建设规范》（DZ/T0317-2018）等相关要求</w:t>
            </w:r>
          </w:p>
        </w:tc>
        <w:tc>
          <w:tcPr>
            <w:tcW w:w="295" w:type="pct"/>
            <w:tcMar>
              <w:left w:w="28" w:type="dxa"/>
              <w:right w:w="28" w:type="dxa"/>
            </w:tcMar>
            <w:vAlign w:val="center"/>
          </w:tcPr>
          <w:p w14:paraId="40FFF8D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741F69FE">
      <w:pPr>
        <w:adjustRightInd w:val="0"/>
        <w:spacing w:line="480" w:lineRule="exact"/>
        <w:ind w:firstLine="526" w:firstLineChars="200"/>
        <w:rPr>
          <w:rFonts w:hint="eastAsia" w:ascii="黑体" w:hAnsi="黑体" w:eastAsia="黑体" w:cs="宋体"/>
          <w:color w:val="000000"/>
          <w:szCs w:val="24"/>
        </w:rPr>
      </w:pPr>
      <w:r>
        <w:rPr>
          <w:color w:val="000000"/>
        </w:rPr>
        <w:br w:type="page"/>
      </w:r>
      <w:r>
        <w:rPr>
          <w:rFonts w:hint="eastAsia" w:ascii="黑体" w:hAnsi="黑体" w:eastAsia="黑体" w:cs="宋体"/>
          <w:color w:val="000000"/>
          <w:szCs w:val="24"/>
        </w:rPr>
        <w:t>续表3.5-5 拟建工程与《阿克苏地区生态环境准入清单更新情况说明（2023年）》符合性分析一览表</w:t>
      </w:r>
    </w:p>
    <w:tbl>
      <w:tblPr>
        <w:tblStyle w:val="48"/>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52"/>
        <w:gridCol w:w="465"/>
        <w:gridCol w:w="4914"/>
        <w:gridCol w:w="2473"/>
        <w:gridCol w:w="533"/>
      </w:tblGrid>
      <w:tr w14:paraId="10FCA0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tcMar>
              <w:left w:w="28" w:type="dxa"/>
              <w:right w:w="28" w:type="dxa"/>
            </w:tcMar>
            <w:vAlign w:val="center"/>
          </w:tcPr>
          <w:p w14:paraId="0CEAAD8C">
            <w:pPr>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976" w:type="pct"/>
            <w:gridSpan w:val="2"/>
            <w:tcMar>
              <w:left w:w="28" w:type="dxa"/>
              <w:right w:w="28" w:type="dxa"/>
            </w:tcMar>
            <w:vAlign w:val="center"/>
          </w:tcPr>
          <w:p w14:paraId="13E3BF9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368" w:type="pct"/>
            <w:tcMar>
              <w:left w:w="28" w:type="dxa"/>
              <w:right w:w="28" w:type="dxa"/>
            </w:tcMar>
            <w:vAlign w:val="center"/>
          </w:tcPr>
          <w:p w14:paraId="03CEAAD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95" w:type="pct"/>
            <w:tcMar>
              <w:left w:w="28" w:type="dxa"/>
              <w:right w:w="28" w:type="dxa"/>
            </w:tcMar>
            <w:vAlign w:val="center"/>
          </w:tcPr>
          <w:p w14:paraId="6B154DE4">
            <w:pPr>
              <w:adjustRightInd w:val="0"/>
              <w:spacing w:line="0" w:lineRule="atLeast"/>
              <w:jc w:val="center"/>
              <w:rPr>
                <w:rFonts w:hint="eastAsia" w:hAnsi="宋体"/>
                <w:color w:val="000000"/>
                <w:spacing w:val="-10"/>
                <w:sz w:val="21"/>
                <w:szCs w:val="21"/>
              </w:rPr>
            </w:pPr>
            <w:r>
              <w:rPr>
                <w:rFonts w:hint="eastAsia" w:hAnsi="宋体"/>
                <w:color w:val="000000"/>
                <w:spacing w:val="-10"/>
                <w:sz w:val="21"/>
                <w:szCs w:val="21"/>
              </w:rPr>
              <w:t>符合性</w:t>
            </w:r>
          </w:p>
        </w:tc>
      </w:tr>
      <w:tr w14:paraId="2F9BD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vMerge w:val="restart"/>
            <w:tcMar>
              <w:left w:w="28" w:type="dxa"/>
              <w:right w:w="28" w:type="dxa"/>
            </w:tcMar>
            <w:vAlign w:val="center"/>
          </w:tcPr>
          <w:p w14:paraId="59796F09">
            <w:pPr>
              <w:adjustRightInd w:val="0"/>
              <w:spacing w:line="0" w:lineRule="atLeast"/>
              <w:jc w:val="center"/>
              <w:rPr>
                <w:rFonts w:hint="eastAsia" w:hAnsi="宋体"/>
                <w:color w:val="000000"/>
                <w:spacing w:val="-10"/>
                <w:sz w:val="21"/>
                <w:szCs w:val="21"/>
              </w:rPr>
            </w:pPr>
            <w:r>
              <w:rPr>
                <w:rFonts w:hint="eastAsia" w:hAnsi="宋体" w:cs="宋体"/>
                <w:color w:val="000000"/>
                <w:spacing w:val="-10"/>
                <w:sz w:val="21"/>
                <w:szCs w:val="21"/>
              </w:rPr>
              <w:t>阿克苏地区总体管控要求</w:t>
            </w:r>
          </w:p>
        </w:tc>
        <w:tc>
          <w:tcPr>
            <w:tcW w:w="257" w:type="pct"/>
            <w:vMerge w:val="restart"/>
            <w:tcMar>
              <w:left w:w="28" w:type="dxa"/>
              <w:right w:w="28" w:type="dxa"/>
            </w:tcMar>
            <w:vAlign w:val="center"/>
          </w:tcPr>
          <w:p w14:paraId="0201598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环境风险防控</w:t>
            </w:r>
          </w:p>
        </w:tc>
        <w:tc>
          <w:tcPr>
            <w:tcW w:w="2719" w:type="pct"/>
            <w:tcMar>
              <w:left w:w="28" w:type="dxa"/>
              <w:right w:w="28" w:type="dxa"/>
            </w:tcMar>
            <w:vAlign w:val="center"/>
          </w:tcPr>
          <w:p w14:paraId="66B3F670">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3.1对涉及县级及以上集中式饮用水水源地的河流、其他重要环境敏感目标的河流，建立健全流域上下游突发水污染事件联防联动机制，建立流域环境应急基础信息动态更新长效机制，绘制全流域“一河一策一图”。建立健全跨部门、跨区域的环境应急协调联动处置机制，强化流域上下游、兵地各部门协调，实施联合监测、联合执法、应急联动、信息共享，形成“政府引导、多元联动、社会参与、专业救援”的环境应急处置机制，持续开展应急综合演练，实现从被动应对到主动防控的重大转变。加强流域突发水环境事件应急能力建设，提升应急响应水平，加强监测预警、拦污控污、信息通报、协同处置、基础保障等工作，防范重大生态环境风险，坚决守住生态环境安全底线。</w:t>
            </w:r>
          </w:p>
        </w:tc>
        <w:tc>
          <w:tcPr>
            <w:tcW w:w="1368" w:type="pct"/>
            <w:tcMar>
              <w:left w:w="28" w:type="dxa"/>
              <w:right w:w="28" w:type="dxa"/>
            </w:tcMar>
            <w:vAlign w:val="center"/>
          </w:tcPr>
          <w:p w14:paraId="31E7FE8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95" w:type="pct"/>
            <w:tcMar>
              <w:left w:w="28" w:type="dxa"/>
              <w:right w:w="28" w:type="dxa"/>
            </w:tcMar>
            <w:vAlign w:val="center"/>
          </w:tcPr>
          <w:p w14:paraId="672F21A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8BB85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1" w:type="pct"/>
            <w:vMerge w:val="continue"/>
            <w:tcMar>
              <w:left w:w="28" w:type="dxa"/>
              <w:right w:w="28" w:type="dxa"/>
            </w:tcMar>
            <w:vAlign w:val="center"/>
          </w:tcPr>
          <w:p w14:paraId="49A52A5E">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6EF3FD75">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51842C91">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3.2强化重污染天气监测预报预警能力，建立和完善重污染天气兵地联合应急预案、预警应急机制和会商联动机制，加强轻、中度污染天气管控。</w:t>
            </w:r>
          </w:p>
        </w:tc>
        <w:tc>
          <w:tcPr>
            <w:tcW w:w="1368" w:type="pct"/>
            <w:tcMar>
              <w:left w:w="28" w:type="dxa"/>
              <w:right w:w="28" w:type="dxa"/>
            </w:tcMar>
            <w:vAlign w:val="center"/>
          </w:tcPr>
          <w:p w14:paraId="023502E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95" w:type="pct"/>
            <w:tcMar>
              <w:left w:w="28" w:type="dxa"/>
              <w:right w:w="28" w:type="dxa"/>
            </w:tcMar>
            <w:vAlign w:val="center"/>
          </w:tcPr>
          <w:p w14:paraId="032A157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DC6AF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21" w:hRule="atLeast"/>
          <w:jc w:val="center"/>
        </w:trPr>
        <w:tc>
          <w:tcPr>
            <w:tcW w:w="361" w:type="pct"/>
            <w:vMerge w:val="continue"/>
            <w:tcMar>
              <w:left w:w="28" w:type="dxa"/>
              <w:right w:w="28" w:type="dxa"/>
            </w:tcMar>
            <w:vAlign w:val="center"/>
          </w:tcPr>
          <w:p w14:paraId="679D70BB">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7CB68022">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497DB942">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3.3严格危险化学品废弃处置。对城镇人口密集区现有不符合安全和卫生防护距离要求的危险化学品生产企业，进行定量风险评估，就地改造达标、搬迁进入规范化工园区或关闭退出。</w:t>
            </w:r>
          </w:p>
        </w:tc>
        <w:tc>
          <w:tcPr>
            <w:tcW w:w="1368" w:type="pct"/>
            <w:tcMar>
              <w:left w:w="28" w:type="dxa"/>
              <w:right w:w="28" w:type="dxa"/>
            </w:tcMar>
            <w:vAlign w:val="center"/>
          </w:tcPr>
          <w:p w14:paraId="76273B9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拟建工程不涉及相关内容</w:t>
            </w:r>
          </w:p>
        </w:tc>
        <w:tc>
          <w:tcPr>
            <w:tcW w:w="295" w:type="pct"/>
            <w:tcMar>
              <w:left w:w="28" w:type="dxa"/>
              <w:right w:w="28" w:type="dxa"/>
            </w:tcMar>
            <w:vAlign w:val="center"/>
          </w:tcPr>
          <w:p w14:paraId="480D58E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2929A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102" w:hRule="atLeast"/>
          <w:jc w:val="center"/>
        </w:trPr>
        <w:tc>
          <w:tcPr>
            <w:tcW w:w="361" w:type="pct"/>
            <w:vMerge w:val="continue"/>
            <w:tcMar>
              <w:left w:w="28" w:type="dxa"/>
              <w:right w:w="28" w:type="dxa"/>
            </w:tcMar>
            <w:vAlign w:val="center"/>
          </w:tcPr>
          <w:p w14:paraId="2A10D048">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57A1FD0A">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556A5A58">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3.4提升饮用水安全保障水平。以县级及以上集中式饮用水水源地为重点，推进饮用水水源保护区规范化建设，统筹推进备用水源或应急水源建设。单一水源供水的重点城市于2025年底前基本完成备用水源或应急水源建设，有条件的地区开展兵地互为备用水源建设。梯次推进农村集中式饮用水水源保护区划定，到2025年，完成乡镇级集中式饮用水水源保护区划定与勘界立标。开展“千吨万人”农村饮用水水源保护区环境风险排查整治，加强农村水源水质监测，依法清理饮用水水源保护区内违法建筑和排污口，实施从水源到水龙头全过程监管。强化饮用水水源保护区环境应急管理，完善重大突发环境事件的物资和技术储备。针对汇水区、补给区存在兵地跨界的，建立统一的饮用水水源应急和执法机制，共享应急物资。</w:t>
            </w:r>
          </w:p>
        </w:tc>
        <w:tc>
          <w:tcPr>
            <w:tcW w:w="1368" w:type="pct"/>
            <w:tcMar>
              <w:left w:w="28" w:type="dxa"/>
              <w:right w:w="28" w:type="dxa"/>
            </w:tcMar>
            <w:vAlign w:val="center"/>
          </w:tcPr>
          <w:p w14:paraId="3917FDF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拟建工程评价范围内无县级及以上集中式饮用水水源地；拟建工程不涉及相关</w:t>
            </w:r>
          </w:p>
          <w:p w14:paraId="18C2F7A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内容</w:t>
            </w:r>
          </w:p>
        </w:tc>
        <w:tc>
          <w:tcPr>
            <w:tcW w:w="295" w:type="pct"/>
            <w:tcMar>
              <w:left w:w="28" w:type="dxa"/>
              <w:right w:w="28" w:type="dxa"/>
            </w:tcMar>
            <w:vAlign w:val="center"/>
          </w:tcPr>
          <w:p w14:paraId="375A2CF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FFED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851" w:hRule="atLeast"/>
          <w:jc w:val="center"/>
        </w:trPr>
        <w:tc>
          <w:tcPr>
            <w:tcW w:w="361" w:type="pct"/>
            <w:vMerge w:val="continue"/>
            <w:tcMar>
              <w:left w:w="28" w:type="dxa"/>
              <w:right w:w="28" w:type="dxa"/>
            </w:tcMar>
            <w:vAlign w:val="center"/>
          </w:tcPr>
          <w:p w14:paraId="7A828DAC">
            <w:pPr>
              <w:adjustRightInd w:val="0"/>
              <w:spacing w:line="0" w:lineRule="atLeast"/>
              <w:jc w:val="center"/>
              <w:rPr>
                <w:rFonts w:hint="eastAsia" w:hAnsi="宋体" w:cs="宋体"/>
                <w:color w:val="000000"/>
                <w:spacing w:val="-10"/>
                <w:sz w:val="21"/>
                <w:szCs w:val="21"/>
              </w:rPr>
            </w:pPr>
          </w:p>
        </w:tc>
        <w:tc>
          <w:tcPr>
            <w:tcW w:w="257" w:type="pct"/>
            <w:vMerge w:val="continue"/>
            <w:tcMar>
              <w:left w:w="28" w:type="dxa"/>
              <w:right w:w="28" w:type="dxa"/>
            </w:tcMar>
            <w:vAlign w:val="center"/>
          </w:tcPr>
          <w:p w14:paraId="57782776">
            <w:pPr>
              <w:adjustRightInd w:val="0"/>
              <w:spacing w:line="0" w:lineRule="atLeast"/>
              <w:jc w:val="center"/>
              <w:rPr>
                <w:rFonts w:hint="eastAsia" w:hAnsi="宋体" w:cs="宋体"/>
                <w:color w:val="000000"/>
                <w:spacing w:val="-10"/>
                <w:sz w:val="21"/>
                <w:szCs w:val="21"/>
              </w:rPr>
            </w:pPr>
          </w:p>
        </w:tc>
        <w:tc>
          <w:tcPr>
            <w:tcW w:w="2719" w:type="pct"/>
            <w:tcMar>
              <w:left w:w="28" w:type="dxa"/>
              <w:right w:w="28" w:type="dxa"/>
            </w:tcMar>
            <w:vAlign w:val="center"/>
          </w:tcPr>
          <w:p w14:paraId="0931A3BC">
            <w:pPr>
              <w:spacing w:line="0" w:lineRule="atLeast"/>
              <w:jc w:val="left"/>
              <w:rPr>
                <w:rFonts w:hint="eastAsia" w:hAnsi="宋体" w:cs="宋体"/>
                <w:color w:val="000000"/>
                <w:spacing w:val="-10"/>
                <w:kern w:val="21"/>
                <w:sz w:val="21"/>
                <w:szCs w:val="21"/>
              </w:rPr>
            </w:pPr>
            <w:r>
              <w:rPr>
                <w:rFonts w:hint="eastAsia" w:hAnsi="宋体" w:cs="宋体"/>
                <w:color w:val="000000"/>
                <w:spacing w:val="-10"/>
                <w:kern w:val="21"/>
                <w:sz w:val="21"/>
                <w:szCs w:val="21"/>
              </w:rPr>
              <w:t>3.5有序实施建设用地风险管控和治理修复。推动重点行业企业用地土壤污染状况调查成果应用，提升土壤环境监管能力。严格落实建设用地土壤污染风险管控和修复名录制度。以用途变更为住宅、公共管理与公共服务用地的地块为重点，严格建设用地准入管理和风险管控。</w:t>
            </w:r>
          </w:p>
        </w:tc>
        <w:tc>
          <w:tcPr>
            <w:tcW w:w="1368" w:type="pct"/>
            <w:tcMar>
              <w:left w:w="28" w:type="dxa"/>
              <w:right w:w="28" w:type="dxa"/>
            </w:tcMar>
            <w:vAlign w:val="center"/>
          </w:tcPr>
          <w:p w14:paraId="391C94D0">
            <w:pPr>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拟建工程不涉及涉重金属行业污染防控与工业废物处理处置，拟建工程制定</w:t>
            </w:r>
            <w:r>
              <w:rPr>
                <w:rFonts w:hint="eastAsia" w:hAnsi="宋体" w:cs="宋体"/>
                <w:color w:val="000000"/>
                <w:spacing w:val="-10"/>
                <w:kern w:val="21"/>
                <w:sz w:val="21"/>
                <w:szCs w:val="21"/>
              </w:rPr>
              <w:t>土壤污染防治措施</w:t>
            </w:r>
            <w:r>
              <w:rPr>
                <w:rFonts w:hint="eastAsia" w:hAnsi="宋体" w:cs="宋体"/>
                <w:color w:val="000000"/>
                <w:spacing w:val="-10"/>
                <w:sz w:val="21"/>
                <w:szCs w:val="21"/>
              </w:rPr>
              <w:t>，切实保障</w:t>
            </w:r>
            <w:r>
              <w:rPr>
                <w:rFonts w:hint="eastAsia" w:hAnsi="宋体" w:cs="宋体"/>
                <w:color w:val="000000"/>
                <w:spacing w:val="-10"/>
                <w:kern w:val="21"/>
                <w:sz w:val="21"/>
                <w:szCs w:val="21"/>
              </w:rPr>
              <w:t>土壤</w:t>
            </w:r>
            <w:r>
              <w:rPr>
                <w:rFonts w:hint="eastAsia" w:hAnsi="宋体" w:cs="宋体"/>
                <w:color w:val="000000"/>
                <w:spacing w:val="-10"/>
                <w:sz w:val="21"/>
                <w:szCs w:val="21"/>
              </w:rPr>
              <w:t>环境安全</w:t>
            </w:r>
          </w:p>
        </w:tc>
        <w:tc>
          <w:tcPr>
            <w:tcW w:w="295" w:type="pct"/>
            <w:tcMar>
              <w:left w:w="28" w:type="dxa"/>
              <w:right w:w="28" w:type="dxa"/>
            </w:tcMar>
            <w:vAlign w:val="center"/>
          </w:tcPr>
          <w:p w14:paraId="07C8BA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7BF1B9C9">
      <w:pPr>
        <w:adjustRightInd w:val="0"/>
        <w:spacing w:line="480" w:lineRule="exact"/>
        <w:ind w:firstLine="526" w:firstLineChars="200"/>
        <w:rPr>
          <w:rFonts w:hint="eastAsia" w:ascii="黑体" w:hAnsi="黑体" w:eastAsia="黑体" w:cs="宋体"/>
          <w:color w:val="000000"/>
          <w:szCs w:val="24"/>
        </w:rPr>
      </w:pPr>
      <w:r>
        <w:rPr>
          <w:color w:val="000000"/>
        </w:rPr>
        <w:br w:type="page"/>
      </w:r>
      <w:r>
        <w:rPr>
          <w:rFonts w:hint="eastAsia" w:ascii="黑体" w:hAnsi="黑体" w:eastAsia="黑体" w:cs="宋体"/>
          <w:color w:val="000000"/>
          <w:szCs w:val="24"/>
        </w:rPr>
        <w:t>续表3.5-5 拟建工程与《阿克苏地区生态环境准入清单更新情况说明（2023年）》符合性分析一览表</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13"/>
        <w:gridCol w:w="436"/>
        <w:gridCol w:w="4630"/>
        <w:gridCol w:w="2831"/>
        <w:gridCol w:w="501"/>
      </w:tblGrid>
      <w:tr w14:paraId="19DB85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tcMar>
              <w:left w:w="28" w:type="dxa"/>
              <w:right w:w="28" w:type="dxa"/>
            </w:tcMar>
            <w:vAlign w:val="center"/>
          </w:tcPr>
          <w:p w14:paraId="585D99CD">
            <w:pPr>
              <w:adjustRightInd w:val="0"/>
              <w:spacing w:line="264" w:lineRule="exact"/>
              <w:jc w:val="center"/>
              <w:rPr>
                <w:rFonts w:hint="eastAsia" w:hAnsi="宋体" w:cs="宋体"/>
                <w:color w:val="000000"/>
                <w:spacing w:val="-10"/>
                <w:kern w:val="0"/>
                <w:sz w:val="21"/>
                <w:szCs w:val="21"/>
              </w:rPr>
            </w:pPr>
            <w:r>
              <w:rPr>
                <w:rFonts w:hint="eastAsia" w:hAnsi="宋体" w:cs="宋体"/>
                <w:color w:val="000000"/>
                <w:spacing w:val="-10"/>
                <w:kern w:val="0"/>
                <w:sz w:val="21"/>
                <w:szCs w:val="21"/>
              </w:rPr>
              <w:t>名称</w:t>
            </w:r>
          </w:p>
        </w:tc>
        <w:tc>
          <w:tcPr>
            <w:tcW w:w="2811" w:type="pct"/>
            <w:gridSpan w:val="2"/>
            <w:tcMar>
              <w:left w:w="28" w:type="dxa"/>
              <w:right w:w="28" w:type="dxa"/>
            </w:tcMar>
            <w:vAlign w:val="center"/>
          </w:tcPr>
          <w:p w14:paraId="31F2086A">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571" w:type="pct"/>
            <w:tcMar>
              <w:left w:w="28" w:type="dxa"/>
              <w:right w:w="28" w:type="dxa"/>
            </w:tcMar>
            <w:vAlign w:val="center"/>
          </w:tcPr>
          <w:p w14:paraId="5A6372AA">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278" w:type="pct"/>
            <w:tcMar>
              <w:left w:w="28" w:type="dxa"/>
              <w:right w:w="28" w:type="dxa"/>
            </w:tcMar>
            <w:vAlign w:val="center"/>
          </w:tcPr>
          <w:p w14:paraId="3EEA8695">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2BEC83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restart"/>
            <w:tcMar>
              <w:left w:w="28" w:type="dxa"/>
              <w:right w:w="28" w:type="dxa"/>
            </w:tcMar>
            <w:vAlign w:val="center"/>
          </w:tcPr>
          <w:p w14:paraId="00CD2A4D">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阿克苏地区总体管控要求</w:t>
            </w:r>
          </w:p>
        </w:tc>
        <w:tc>
          <w:tcPr>
            <w:tcW w:w="242" w:type="pct"/>
            <w:vMerge w:val="restart"/>
            <w:tcMar>
              <w:left w:w="28" w:type="dxa"/>
              <w:right w:w="28" w:type="dxa"/>
            </w:tcMar>
            <w:vAlign w:val="center"/>
          </w:tcPr>
          <w:p w14:paraId="4971FC15">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环境风险防控</w:t>
            </w:r>
          </w:p>
        </w:tc>
        <w:tc>
          <w:tcPr>
            <w:tcW w:w="2569" w:type="pct"/>
            <w:tcMar>
              <w:left w:w="28" w:type="dxa"/>
              <w:right w:w="28" w:type="dxa"/>
            </w:tcMar>
            <w:vAlign w:val="center"/>
          </w:tcPr>
          <w:p w14:paraId="49B8D739">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3.6在高敏感性县市配备专职环境应急管理人员，配备必要的物资装备。完善多层级环境应急专家管理体系，建立对口帮扶模式和远程非现场会商调度机制，指导地方提升应急能力、规范应急准备与响应、分类分级开展基层环境应急人员轮训。加强各地应急监测装备配置，定期开展应急监测演练，增强应急实战能力。</w:t>
            </w:r>
          </w:p>
        </w:tc>
        <w:tc>
          <w:tcPr>
            <w:tcW w:w="1571" w:type="pct"/>
            <w:tcMar>
              <w:left w:w="28" w:type="dxa"/>
              <w:right w:w="28" w:type="dxa"/>
            </w:tcMar>
            <w:vAlign w:val="center"/>
          </w:tcPr>
          <w:p w14:paraId="69E7EB13">
            <w:pPr>
              <w:adjustRightInd w:val="0"/>
              <w:spacing w:line="264" w:lineRule="exact"/>
              <w:rPr>
                <w:rFonts w:hint="eastAsia" w:hAnsi="宋体" w:cs="宋体"/>
                <w:color w:val="000000"/>
                <w:spacing w:val="-10"/>
                <w:sz w:val="21"/>
                <w:szCs w:val="21"/>
              </w:rPr>
            </w:pPr>
            <w:r>
              <w:rPr>
                <w:rFonts w:hint="eastAsia" w:hAnsi="宋体" w:cs="宋体"/>
                <w:color w:val="000000"/>
                <w:spacing w:val="-10"/>
                <w:kern w:val="0"/>
                <w:sz w:val="21"/>
                <w:szCs w:val="21"/>
              </w:rPr>
              <w:t>拟建工程已提出一系列环境风险防范措施及应急要求，详见“5.8.6 环境风险管理”章节</w:t>
            </w:r>
          </w:p>
        </w:tc>
        <w:tc>
          <w:tcPr>
            <w:tcW w:w="278" w:type="pct"/>
            <w:tcMar>
              <w:left w:w="28" w:type="dxa"/>
              <w:right w:w="28" w:type="dxa"/>
            </w:tcMar>
            <w:vAlign w:val="center"/>
          </w:tcPr>
          <w:p w14:paraId="5526708C">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01418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3384C33F">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7287AAD5">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56E81D5C">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3.7依法推行农用地分类管理制度，强化受污染耕地安全利用和风险管控。因地制宜制定实施安全利用方案，鼓励采取种植结构调整等措施，确保受污染耕地全部实现安全利用。</w:t>
            </w:r>
          </w:p>
        </w:tc>
        <w:tc>
          <w:tcPr>
            <w:tcW w:w="1571" w:type="pct"/>
            <w:tcMar>
              <w:left w:w="28" w:type="dxa"/>
              <w:right w:w="28" w:type="dxa"/>
            </w:tcMar>
            <w:vAlign w:val="center"/>
          </w:tcPr>
          <w:p w14:paraId="7D9F48F8">
            <w:pPr>
              <w:autoSpaceDE w:val="0"/>
              <w:autoSpaceDN w:val="0"/>
              <w:adjustRightInd w:val="0"/>
              <w:spacing w:line="264" w:lineRule="exact"/>
              <w:jc w:val="center"/>
              <w:rPr>
                <w:rFonts w:hint="eastAsia" w:hAnsi="宋体" w:cs="宋体"/>
                <w:color w:val="000000"/>
                <w:spacing w:val="-10"/>
                <w:kern w:val="0"/>
                <w:sz w:val="21"/>
                <w:szCs w:val="21"/>
              </w:rPr>
            </w:pPr>
            <w:r>
              <w:rPr>
                <w:rFonts w:hint="eastAsia" w:hAnsi="宋体" w:cs="宋体"/>
                <w:color w:val="000000"/>
                <w:spacing w:val="-10"/>
                <w:sz w:val="21"/>
                <w:szCs w:val="21"/>
              </w:rPr>
              <w:t>拟建工程不涉及受污染耕地</w:t>
            </w:r>
          </w:p>
        </w:tc>
        <w:tc>
          <w:tcPr>
            <w:tcW w:w="278" w:type="pct"/>
            <w:tcMar>
              <w:left w:w="28" w:type="dxa"/>
              <w:right w:w="28" w:type="dxa"/>
            </w:tcMar>
            <w:vAlign w:val="center"/>
          </w:tcPr>
          <w:p w14:paraId="5E899778">
            <w:pPr>
              <w:autoSpaceDE w:val="0"/>
              <w:autoSpaceDN w:val="0"/>
              <w:adjustRightInd w:val="0"/>
              <w:spacing w:line="264" w:lineRule="exact"/>
              <w:jc w:val="center"/>
              <w:rPr>
                <w:rFonts w:hint="eastAsia" w:hAnsi="宋体" w:cs="宋体"/>
                <w:color w:val="000000"/>
                <w:spacing w:val="-10"/>
                <w:sz w:val="21"/>
                <w:szCs w:val="21"/>
              </w:rPr>
            </w:pPr>
            <w:r>
              <w:rPr>
                <w:rFonts w:hint="eastAsia" w:hAnsi="宋体" w:cs="宋体"/>
                <w:color w:val="000000"/>
                <w:spacing w:val="-10"/>
                <w:kern w:val="0"/>
                <w:sz w:val="21"/>
                <w:szCs w:val="21"/>
              </w:rPr>
              <w:t>—</w:t>
            </w:r>
          </w:p>
        </w:tc>
      </w:tr>
      <w:tr w14:paraId="62387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2ED64E94">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2C78C283">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746179C1">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3.8加强环境风险预警防控。加强涉危险废物企业、涉重金属企业、化工园区、集中式饮用水水源地及重点流域环境风险调查评估，实施分类分级风险管控，协同推进重点区域、流域生态环境污染综合防治、风险防控与生态修复，形成一批生态环境综合整治和风险防控示范工程，在环境高风险领域建立环境污染强制责任保险制度。推动重要水源地水质在线生物预警系统建设。</w:t>
            </w:r>
          </w:p>
        </w:tc>
        <w:tc>
          <w:tcPr>
            <w:tcW w:w="1571" w:type="pct"/>
            <w:tcMar>
              <w:left w:w="28" w:type="dxa"/>
              <w:right w:w="28" w:type="dxa"/>
            </w:tcMar>
            <w:vAlign w:val="center"/>
          </w:tcPr>
          <w:p w14:paraId="32F702F0">
            <w:pPr>
              <w:adjustRightInd w:val="0"/>
              <w:spacing w:line="264" w:lineRule="exact"/>
              <w:rPr>
                <w:rFonts w:hint="eastAsia" w:hAnsi="宋体" w:cs="宋体"/>
                <w:color w:val="000000"/>
                <w:spacing w:val="-10"/>
                <w:sz w:val="21"/>
                <w:szCs w:val="21"/>
              </w:rPr>
            </w:pPr>
            <w:r>
              <w:rPr>
                <w:rFonts w:hint="eastAsia" w:hAnsi="宋体" w:cs="宋体"/>
                <w:color w:val="000000"/>
                <w:spacing w:val="-10"/>
                <w:sz w:val="21"/>
                <w:szCs w:val="21"/>
              </w:rPr>
              <w:t>拟建工程已提出一系列环境风险防范措施及应急要求，本次建设内容纳入塔中采油气管理区现有应急预案中，定期按照应急预案内容进行应急演练，逐步提高应急演练范围与级别，出现风险事故时能够及时应对</w:t>
            </w:r>
          </w:p>
        </w:tc>
        <w:tc>
          <w:tcPr>
            <w:tcW w:w="278" w:type="pct"/>
            <w:tcMar>
              <w:left w:w="28" w:type="dxa"/>
              <w:right w:w="28" w:type="dxa"/>
            </w:tcMar>
            <w:vAlign w:val="center"/>
          </w:tcPr>
          <w:p w14:paraId="51D6E098">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89F19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46407576">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58479C59">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03314B7E">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3.9强化生态环境应急管理。实施企业突发生态环境应急预案电子化备案，完成县级以上政府突发环境事件应急预案修编。完善区域和企业应急处置物资储备系统，结合新疆各地特征污染物的特性，加强应急物资储备及应急物资信息化建设，掌握社会应急物资储备动态信息，妥善应对各类突发生态环境事件。加强应急监测装备配置，定期开展应急演练，增强实战能力。</w:t>
            </w:r>
          </w:p>
        </w:tc>
        <w:tc>
          <w:tcPr>
            <w:tcW w:w="1571" w:type="pct"/>
            <w:tcMar>
              <w:left w:w="28" w:type="dxa"/>
              <w:right w:w="28" w:type="dxa"/>
            </w:tcMar>
            <w:vAlign w:val="center"/>
          </w:tcPr>
          <w:p w14:paraId="01CCA91A">
            <w:pPr>
              <w:adjustRightInd w:val="0"/>
              <w:spacing w:line="264" w:lineRule="exact"/>
              <w:rPr>
                <w:rFonts w:hint="eastAsia" w:hAnsi="宋体" w:cs="宋体"/>
                <w:color w:val="000000"/>
                <w:spacing w:val="-10"/>
                <w:sz w:val="21"/>
                <w:szCs w:val="21"/>
              </w:rPr>
            </w:pPr>
            <w:r>
              <w:rPr>
                <w:rFonts w:hint="eastAsia" w:hAnsi="宋体" w:cs="宋体"/>
                <w:color w:val="000000"/>
                <w:spacing w:val="-10"/>
                <w:sz w:val="21"/>
                <w:szCs w:val="21"/>
              </w:rPr>
              <w:t>拟建工程已提出一系列环境风险防范措施及应急要求，本次建设内容纳入塔中采油气管理区现有应急预案中，定期按照应急预案内容进行应急演练，逐步提高应急演练范围与级别，出现风险事故时能够及时应对</w:t>
            </w:r>
          </w:p>
        </w:tc>
        <w:tc>
          <w:tcPr>
            <w:tcW w:w="278" w:type="pct"/>
            <w:tcMar>
              <w:left w:w="28" w:type="dxa"/>
              <w:right w:w="28" w:type="dxa"/>
            </w:tcMar>
            <w:vAlign w:val="center"/>
          </w:tcPr>
          <w:p w14:paraId="2DC21A9D">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87239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6B01D545">
            <w:pPr>
              <w:adjustRightInd w:val="0"/>
              <w:spacing w:line="264" w:lineRule="exact"/>
              <w:jc w:val="center"/>
              <w:rPr>
                <w:rFonts w:hint="eastAsia" w:hAnsi="宋体" w:cs="宋体"/>
                <w:color w:val="000000"/>
                <w:spacing w:val="-10"/>
                <w:sz w:val="21"/>
                <w:szCs w:val="21"/>
              </w:rPr>
            </w:pPr>
          </w:p>
        </w:tc>
        <w:tc>
          <w:tcPr>
            <w:tcW w:w="242" w:type="pct"/>
            <w:vMerge w:val="restart"/>
            <w:tcMar>
              <w:left w:w="28" w:type="dxa"/>
              <w:right w:w="28" w:type="dxa"/>
            </w:tcMar>
            <w:vAlign w:val="center"/>
          </w:tcPr>
          <w:p w14:paraId="3AD5AEC5">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资源利用效率</w:t>
            </w:r>
          </w:p>
        </w:tc>
        <w:tc>
          <w:tcPr>
            <w:tcW w:w="2569" w:type="pct"/>
            <w:tcMar>
              <w:left w:w="28" w:type="dxa"/>
              <w:right w:w="28" w:type="dxa"/>
            </w:tcMar>
            <w:vAlign w:val="center"/>
          </w:tcPr>
          <w:p w14:paraId="477DB4DF">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4.1地区用水总量控制在自治区下达的指标范围内。</w:t>
            </w:r>
          </w:p>
        </w:tc>
        <w:tc>
          <w:tcPr>
            <w:tcW w:w="1571" w:type="pct"/>
            <w:tcMar>
              <w:left w:w="28" w:type="dxa"/>
              <w:right w:w="28" w:type="dxa"/>
            </w:tcMar>
            <w:vAlign w:val="center"/>
          </w:tcPr>
          <w:p w14:paraId="583D4494">
            <w:pPr>
              <w:autoSpaceDE w:val="0"/>
              <w:autoSpaceDN w:val="0"/>
              <w:adjustRightInd w:val="0"/>
              <w:spacing w:line="264" w:lineRule="exact"/>
              <w:rPr>
                <w:rFonts w:hint="eastAsia" w:hAnsi="宋体" w:cs="宋体"/>
                <w:color w:val="000000"/>
                <w:spacing w:val="-20"/>
                <w:sz w:val="21"/>
                <w:szCs w:val="21"/>
              </w:rPr>
            </w:pPr>
            <w:r>
              <w:rPr>
                <w:rFonts w:hint="eastAsia" w:hAnsi="宋体" w:cs="宋体"/>
                <w:color w:val="000000"/>
                <w:spacing w:val="-20"/>
                <w:sz w:val="21"/>
                <w:szCs w:val="21"/>
              </w:rPr>
              <w:t>拟建工程</w:t>
            </w:r>
            <w:r>
              <w:rPr>
                <w:rFonts w:hint="eastAsia" w:hAnsi="宋体" w:cs="宋体"/>
                <w:color w:val="000000"/>
                <w:spacing w:val="-20"/>
                <w:kern w:val="0"/>
                <w:sz w:val="21"/>
                <w:szCs w:val="21"/>
              </w:rPr>
              <w:t>施工期中采取节水措施，用水量较小；运营期不新增用水，不会超过用水总量控制指标</w:t>
            </w:r>
          </w:p>
        </w:tc>
        <w:tc>
          <w:tcPr>
            <w:tcW w:w="278" w:type="pct"/>
            <w:tcMar>
              <w:left w:w="28" w:type="dxa"/>
              <w:right w:w="28" w:type="dxa"/>
            </w:tcMar>
            <w:vAlign w:val="center"/>
          </w:tcPr>
          <w:p w14:paraId="37F75BFC">
            <w:pPr>
              <w:autoSpaceDE w:val="0"/>
              <w:autoSpaceDN w:val="0"/>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D9FD6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652129A1">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26982D9F">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2B974889">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4.2地下水资源利用实行总量控制和水位控制。取用地下水资源，应当按照国家和自治区有关规定申请取水许可。地下水利用应当以浅层地下水为主。</w:t>
            </w:r>
          </w:p>
        </w:tc>
        <w:tc>
          <w:tcPr>
            <w:tcW w:w="1571" w:type="pct"/>
            <w:tcMar>
              <w:left w:w="28" w:type="dxa"/>
              <w:right w:w="28" w:type="dxa"/>
            </w:tcMar>
            <w:vAlign w:val="center"/>
          </w:tcPr>
          <w:p w14:paraId="0B444086">
            <w:pPr>
              <w:autoSpaceDE w:val="0"/>
              <w:autoSpaceDN w:val="0"/>
              <w:adjustRightInd w:val="0"/>
              <w:spacing w:line="264" w:lineRule="exact"/>
              <w:rPr>
                <w:rFonts w:hint="eastAsia" w:hAnsi="宋体" w:cs="宋体"/>
                <w:color w:val="000000"/>
                <w:spacing w:val="-20"/>
                <w:sz w:val="21"/>
                <w:szCs w:val="21"/>
              </w:rPr>
            </w:pPr>
            <w:r>
              <w:rPr>
                <w:rFonts w:hint="eastAsia" w:hAnsi="宋体" w:cs="宋体"/>
                <w:color w:val="000000"/>
                <w:spacing w:val="-20"/>
                <w:sz w:val="21"/>
                <w:szCs w:val="21"/>
              </w:rPr>
              <w:t>拟建工程</w:t>
            </w:r>
            <w:r>
              <w:rPr>
                <w:rFonts w:hint="eastAsia" w:hAnsi="宋体" w:cs="宋体"/>
                <w:color w:val="000000"/>
                <w:spacing w:val="-20"/>
                <w:kern w:val="0"/>
                <w:sz w:val="21"/>
                <w:szCs w:val="21"/>
              </w:rPr>
              <w:t>施工期中采取节水措施，用水量较小；运营期不新增用水，不会超过用水总量控制指标</w:t>
            </w:r>
          </w:p>
        </w:tc>
        <w:tc>
          <w:tcPr>
            <w:tcW w:w="278" w:type="pct"/>
            <w:tcMar>
              <w:left w:w="28" w:type="dxa"/>
              <w:right w:w="28" w:type="dxa"/>
            </w:tcMar>
            <w:vAlign w:val="center"/>
          </w:tcPr>
          <w:p w14:paraId="070D1A71">
            <w:pPr>
              <w:autoSpaceDE w:val="0"/>
              <w:autoSpaceDN w:val="0"/>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8760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70B8061B">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676E56FB">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14EEF106">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4.3土地资源利用上线指标执行批复后的《阿克苏地区国土空间规划（2021-2035年）》。</w:t>
            </w:r>
          </w:p>
        </w:tc>
        <w:tc>
          <w:tcPr>
            <w:tcW w:w="1571" w:type="pct"/>
            <w:tcMar>
              <w:left w:w="28" w:type="dxa"/>
              <w:right w:w="28" w:type="dxa"/>
            </w:tcMar>
            <w:vAlign w:val="center"/>
          </w:tcPr>
          <w:p w14:paraId="3F0FEE74">
            <w:pPr>
              <w:adjustRightInd w:val="0"/>
              <w:spacing w:line="264" w:lineRule="exact"/>
              <w:rPr>
                <w:rFonts w:hint="eastAsia" w:hAnsi="宋体" w:cs="宋体"/>
                <w:color w:val="000000"/>
                <w:spacing w:val="-10"/>
                <w:sz w:val="21"/>
                <w:szCs w:val="21"/>
              </w:rPr>
            </w:pPr>
            <w:r>
              <w:rPr>
                <w:rFonts w:hint="eastAsia" w:hAnsi="宋体" w:cs="宋体"/>
                <w:color w:val="000000"/>
                <w:spacing w:val="-10"/>
                <w:sz w:val="21"/>
                <w:szCs w:val="21"/>
              </w:rPr>
              <w:t>拟建工程管线敷设完成后回填管沟，对土地资源占用较少，土地资源占用符合要求</w:t>
            </w:r>
          </w:p>
        </w:tc>
        <w:tc>
          <w:tcPr>
            <w:tcW w:w="278" w:type="pct"/>
            <w:tcMar>
              <w:left w:w="28" w:type="dxa"/>
              <w:right w:w="28" w:type="dxa"/>
            </w:tcMar>
            <w:vAlign w:val="center"/>
          </w:tcPr>
          <w:p w14:paraId="57CDA36D">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C1BA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1859766E">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32AB9F21">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6AEA64D5">
            <w:pPr>
              <w:spacing w:line="264" w:lineRule="exact"/>
              <w:rPr>
                <w:rFonts w:hint="eastAsia" w:hAnsi="宋体" w:cs="宋体"/>
                <w:color w:val="000000"/>
                <w:spacing w:val="-10"/>
                <w:kern w:val="21"/>
                <w:sz w:val="21"/>
                <w:szCs w:val="21"/>
              </w:rPr>
            </w:pPr>
            <w:r>
              <w:rPr>
                <w:rFonts w:hint="eastAsia" w:hAnsi="宋体" w:cs="宋体"/>
                <w:color w:val="000000"/>
                <w:spacing w:val="-10"/>
                <w:kern w:val="21"/>
                <w:sz w:val="21"/>
                <w:szCs w:val="21"/>
              </w:rPr>
              <w:t>4.4到2025年，单位地区生产总值二氧化碳排放较2020年下降12%，单位地区生产总值能耗强度较2020年下降14.5%，非化石能源消费比重增长至18%以上。</w:t>
            </w:r>
          </w:p>
        </w:tc>
        <w:tc>
          <w:tcPr>
            <w:tcW w:w="1571" w:type="pct"/>
            <w:tcMar>
              <w:left w:w="28" w:type="dxa"/>
              <w:right w:w="28" w:type="dxa"/>
            </w:tcMar>
            <w:vAlign w:val="center"/>
          </w:tcPr>
          <w:p w14:paraId="0EAC7AFF">
            <w:pPr>
              <w:adjustRightInd w:val="0"/>
              <w:spacing w:line="264" w:lineRule="exact"/>
              <w:rPr>
                <w:rFonts w:hint="eastAsia" w:hAnsi="宋体" w:cs="宋体"/>
                <w:color w:val="000000"/>
                <w:spacing w:val="-10"/>
                <w:sz w:val="21"/>
                <w:szCs w:val="21"/>
              </w:rPr>
            </w:pPr>
            <w:r>
              <w:rPr>
                <w:rFonts w:hint="eastAsia" w:hAnsi="宋体" w:cs="宋体"/>
                <w:color w:val="000000"/>
                <w:spacing w:val="-10"/>
                <w:sz w:val="21"/>
                <w:szCs w:val="21"/>
              </w:rPr>
              <w:t>拟建工程整体温室气体排放量相对较小</w:t>
            </w:r>
          </w:p>
        </w:tc>
        <w:tc>
          <w:tcPr>
            <w:tcW w:w="278" w:type="pct"/>
            <w:tcMar>
              <w:left w:w="28" w:type="dxa"/>
              <w:right w:w="28" w:type="dxa"/>
            </w:tcMar>
            <w:vAlign w:val="center"/>
          </w:tcPr>
          <w:p w14:paraId="68112D71">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384DD9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pct"/>
            <w:vMerge w:val="continue"/>
            <w:tcMar>
              <w:left w:w="28" w:type="dxa"/>
              <w:right w:w="28" w:type="dxa"/>
            </w:tcMar>
            <w:vAlign w:val="center"/>
          </w:tcPr>
          <w:p w14:paraId="124B3515">
            <w:pPr>
              <w:adjustRightInd w:val="0"/>
              <w:spacing w:line="264" w:lineRule="exact"/>
              <w:jc w:val="center"/>
              <w:rPr>
                <w:rFonts w:hint="eastAsia" w:hAnsi="宋体" w:cs="宋体"/>
                <w:color w:val="000000"/>
                <w:spacing w:val="-10"/>
                <w:sz w:val="21"/>
                <w:szCs w:val="21"/>
              </w:rPr>
            </w:pPr>
          </w:p>
        </w:tc>
        <w:tc>
          <w:tcPr>
            <w:tcW w:w="242" w:type="pct"/>
            <w:vMerge w:val="continue"/>
            <w:tcMar>
              <w:left w:w="28" w:type="dxa"/>
              <w:right w:w="28" w:type="dxa"/>
            </w:tcMar>
            <w:vAlign w:val="center"/>
          </w:tcPr>
          <w:p w14:paraId="33876733">
            <w:pPr>
              <w:adjustRightInd w:val="0"/>
              <w:spacing w:line="264" w:lineRule="exact"/>
              <w:jc w:val="center"/>
              <w:rPr>
                <w:rFonts w:hint="eastAsia" w:hAnsi="宋体" w:cs="宋体"/>
                <w:color w:val="000000"/>
                <w:spacing w:val="-10"/>
                <w:sz w:val="21"/>
                <w:szCs w:val="21"/>
              </w:rPr>
            </w:pPr>
          </w:p>
        </w:tc>
        <w:tc>
          <w:tcPr>
            <w:tcW w:w="2569" w:type="pct"/>
            <w:tcMar>
              <w:left w:w="28" w:type="dxa"/>
              <w:right w:w="28" w:type="dxa"/>
            </w:tcMar>
            <w:vAlign w:val="center"/>
          </w:tcPr>
          <w:p w14:paraId="6A9CDEC1">
            <w:pPr>
              <w:spacing w:line="264" w:lineRule="exact"/>
              <w:jc w:val="left"/>
              <w:rPr>
                <w:rFonts w:hint="eastAsia" w:hAnsi="宋体" w:cs="宋体"/>
                <w:color w:val="000000"/>
                <w:spacing w:val="-10"/>
                <w:kern w:val="21"/>
                <w:sz w:val="21"/>
                <w:szCs w:val="21"/>
              </w:rPr>
            </w:pPr>
            <w:r>
              <w:rPr>
                <w:rFonts w:hint="eastAsia" w:hAnsi="宋体" w:cs="宋体"/>
                <w:color w:val="000000"/>
                <w:spacing w:val="-10"/>
                <w:kern w:val="21"/>
                <w:sz w:val="21"/>
                <w:szCs w:val="21"/>
              </w:rPr>
              <w:t>4.5高污染燃料禁燃区内禁止销售、燃用高污染燃料；禁止新建、扩建燃用高污染燃料的项目和设施，已建成的应逐步或依法限期改用天然气、电或其他清洁能源。</w:t>
            </w:r>
          </w:p>
        </w:tc>
        <w:tc>
          <w:tcPr>
            <w:tcW w:w="1571" w:type="pct"/>
            <w:tcMar>
              <w:left w:w="28" w:type="dxa"/>
              <w:right w:w="28" w:type="dxa"/>
            </w:tcMar>
            <w:vAlign w:val="center"/>
          </w:tcPr>
          <w:p w14:paraId="3C5CF946">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278" w:type="pct"/>
            <w:tcMar>
              <w:left w:w="28" w:type="dxa"/>
              <w:right w:w="28" w:type="dxa"/>
            </w:tcMar>
            <w:vAlign w:val="center"/>
          </w:tcPr>
          <w:p w14:paraId="19E59CF1">
            <w:pPr>
              <w:adjustRightInd w:val="0"/>
              <w:spacing w:line="264" w:lineRule="exac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5EA62295">
      <w:pPr>
        <w:spacing w:line="460" w:lineRule="exact"/>
        <w:ind w:firstLine="526" w:firstLineChars="200"/>
        <w:rPr>
          <w:rFonts w:hint="eastAsia" w:hAnsi="宋体" w:cs="宋体"/>
          <w:color w:val="000000"/>
          <w:szCs w:val="24"/>
        </w:rPr>
      </w:pPr>
      <w:r>
        <w:rPr>
          <w:rFonts w:hint="eastAsia" w:hAnsi="宋体" w:cs="宋体"/>
          <w:color w:val="000000"/>
          <w:szCs w:val="24"/>
        </w:rPr>
        <w:br w:type="page"/>
      </w:r>
      <w:r>
        <w:rPr>
          <w:rFonts w:hint="eastAsia" w:ascii="黑体" w:hAnsi="黑体" w:eastAsia="黑体" w:cs="宋体"/>
          <w:color w:val="000000"/>
          <w:szCs w:val="24"/>
        </w:rPr>
        <w:t>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98"/>
        <w:gridCol w:w="447"/>
        <w:gridCol w:w="420"/>
        <w:gridCol w:w="4235"/>
        <w:gridCol w:w="2571"/>
        <w:gridCol w:w="644"/>
      </w:tblGrid>
      <w:tr w14:paraId="13A677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387" w:type="pct"/>
            <w:vAlign w:val="center"/>
          </w:tcPr>
          <w:p w14:paraId="11902B9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文件名称</w:t>
            </w:r>
          </w:p>
        </w:tc>
        <w:tc>
          <w:tcPr>
            <w:tcW w:w="2830" w:type="pct"/>
            <w:gridSpan w:val="3"/>
            <w:vAlign w:val="center"/>
          </w:tcPr>
          <w:p w14:paraId="2CCED87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426" w:type="pct"/>
            <w:vAlign w:val="center"/>
          </w:tcPr>
          <w:p w14:paraId="5CDDAC2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57" w:type="pct"/>
            <w:vAlign w:val="center"/>
          </w:tcPr>
          <w:p w14:paraId="1766AFD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7529C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restart"/>
            <w:vAlign w:val="center"/>
          </w:tcPr>
          <w:p w14:paraId="7F8A8DC8">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48" w:type="pct"/>
            <w:vMerge w:val="restart"/>
            <w:vAlign w:val="center"/>
          </w:tcPr>
          <w:p w14:paraId="343286F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3" w:type="pct"/>
            <w:vMerge w:val="restart"/>
            <w:vAlign w:val="center"/>
          </w:tcPr>
          <w:p w14:paraId="73492EA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空间布局约束</w:t>
            </w:r>
          </w:p>
        </w:tc>
        <w:tc>
          <w:tcPr>
            <w:tcW w:w="2349" w:type="pct"/>
            <w:vAlign w:val="center"/>
          </w:tcPr>
          <w:p w14:paraId="009BF110">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1.1严格执行自治区总体准入要求中“A1空间布局约束”和南疆三地州片区总体管控要求中“B1空间布局约束”管控要求</w:t>
            </w:r>
          </w:p>
        </w:tc>
        <w:tc>
          <w:tcPr>
            <w:tcW w:w="1426" w:type="pct"/>
            <w:vAlign w:val="center"/>
          </w:tcPr>
          <w:p w14:paraId="63E852E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项目符合自治区总体准入要求中“A1空间布局约束”和南疆三地州片区总体管控要求中“B1空间布局约束”管控要求</w:t>
            </w:r>
          </w:p>
        </w:tc>
        <w:tc>
          <w:tcPr>
            <w:tcW w:w="357" w:type="pct"/>
            <w:vAlign w:val="center"/>
          </w:tcPr>
          <w:p w14:paraId="525175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660D2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033B027D">
            <w:pPr>
              <w:spacing w:line="0" w:lineRule="atLeast"/>
              <w:jc w:val="center"/>
              <w:rPr>
                <w:rFonts w:hint="eastAsia" w:hAnsi="宋体" w:cs="宋体"/>
                <w:color w:val="000000"/>
                <w:spacing w:val="-10"/>
                <w:sz w:val="21"/>
                <w:szCs w:val="21"/>
              </w:rPr>
            </w:pPr>
          </w:p>
        </w:tc>
        <w:tc>
          <w:tcPr>
            <w:tcW w:w="248" w:type="pct"/>
            <w:vMerge w:val="continue"/>
            <w:vAlign w:val="center"/>
          </w:tcPr>
          <w:p w14:paraId="00E7F1ED">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5AF8ABF5">
            <w:pPr>
              <w:adjustRightInd w:val="0"/>
              <w:spacing w:line="0" w:lineRule="atLeast"/>
              <w:jc w:val="center"/>
              <w:rPr>
                <w:rFonts w:hint="eastAsia" w:hAnsi="宋体" w:cs="宋体"/>
                <w:color w:val="000000"/>
                <w:spacing w:val="-10"/>
                <w:sz w:val="21"/>
                <w:szCs w:val="21"/>
              </w:rPr>
            </w:pPr>
          </w:p>
        </w:tc>
        <w:tc>
          <w:tcPr>
            <w:tcW w:w="2349" w:type="pct"/>
            <w:vAlign w:val="center"/>
          </w:tcPr>
          <w:p w14:paraId="0A80C41E">
            <w:pPr>
              <w:adjustRightInd w:val="0"/>
              <w:spacing w:line="0" w:lineRule="atLeast"/>
              <w:rPr>
                <w:rFonts w:hint="eastAsia" w:hAnsi="宋体" w:cs="宋体"/>
                <w:color w:val="000000"/>
                <w:spacing w:val="-16"/>
                <w:sz w:val="21"/>
                <w:szCs w:val="21"/>
              </w:rPr>
            </w:pPr>
            <w:r>
              <w:rPr>
                <w:rFonts w:hint="eastAsia" w:hAnsi="宋体" w:cs="宋体"/>
                <w:color w:val="000000"/>
                <w:spacing w:val="-16"/>
                <w:sz w:val="21"/>
                <w:szCs w:val="21"/>
              </w:rPr>
              <w:t>1.2严禁在水源涵养区、饮用水源保护区、风景名胜区等生态敏感区域进行矿产资源勘探和开发。在非水源涵养区、饮用水源保护区等生态</w:t>
            </w:r>
            <w:r>
              <w:rPr>
                <w:rFonts w:hint="eastAsia" w:hAnsi="宋体" w:cs="宋体"/>
                <w:color w:val="000000"/>
                <w:spacing w:val="-16"/>
                <w:sz w:val="21"/>
                <w:szCs w:val="21"/>
              </w:rPr>
              <w:cr/>
            </w:r>
            <w:r>
              <w:rPr>
                <w:rFonts w:hint="eastAsia" w:hAnsi="宋体" w:cs="宋体"/>
                <w:color w:val="000000"/>
                <w:spacing w:val="-16"/>
                <w:sz w:val="21"/>
                <w:szCs w:val="21"/>
              </w:rPr>
              <w:t>空间内，在确保区域生态环境风险可控，对生态功能不造成破坏情形，可以适当开展国家重大项目的战略性能源资源勘查和开采项目</w:t>
            </w:r>
          </w:p>
        </w:tc>
        <w:tc>
          <w:tcPr>
            <w:tcW w:w="1426" w:type="pct"/>
            <w:vAlign w:val="center"/>
          </w:tcPr>
          <w:p w14:paraId="3E0777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拟建工程不涉及水源涵养区、饮用水源保护区、风景名胜区等生态敏感区</w:t>
            </w:r>
          </w:p>
        </w:tc>
        <w:tc>
          <w:tcPr>
            <w:tcW w:w="357" w:type="pct"/>
            <w:vAlign w:val="center"/>
          </w:tcPr>
          <w:p w14:paraId="3E3C17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5F3C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ED2B474">
            <w:pPr>
              <w:spacing w:line="0" w:lineRule="atLeast"/>
              <w:jc w:val="center"/>
              <w:rPr>
                <w:rFonts w:hint="eastAsia" w:hAnsi="宋体" w:cs="宋体"/>
                <w:color w:val="000000"/>
                <w:spacing w:val="-10"/>
                <w:sz w:val="21"/>
                <w:szCs w:val="21"/>
              </w:rPr>
            </w:pPr>
          </w:p>
        </w:tc>
        <w:tc>
          <w:tcPr>
            <w:tcW w:w="248" w:type="pct"/>
            <w:vMerge w:val="continue"/>
            <w:vAlign w:val="center"/>
          </w:tcPr>
          <w:p w14:paraId="2BB23779">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51E15E8C">
            <w:pPr>
              <w:adjustRightInd w:val="0"/>
              <w:spacing w:line="0" w:lineRule="atLeast"/>
              <w:jc w:val="center"/>
              <w:rPr>
                <w:rFonts w:hint="eastAsia" w:hAnsi="宋体" w:cs="宋体"/>
                <w:color w:val="000000"/>
                <w:spacing w:val="-10"/>
                <w:sz w:val="21"/>
                <w:szCs w:val="21"/>
              </w:rPr>
            </w:pPr>
          </w:p>
        </w:tc>
        <w:tc>
          <w:tcPr>
            <w:tcW w:w="2349" w:type="pct"/>
            <w:vAlign w:val="center"/>
          </w:tcPr>
          <w:p w14:paraId="2DF5032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1.3禁止对粮食产地和蔬菜基地的污水灌溉，禁止在污染严重的土地种植养殖，防止农产品受到污染</w:t>
            </w:r>
          </w:p>
        </w:tc>
        <w:tc>
          <w:tcPr>
            <w:tcW w:w="1426" w:type="pct"/>
            <w:vAlign w:val="center"/>
          </w:tcPr>
          <w:p w14:paraId="310BC21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57" w:type="pct"/>
            <w:vAlign w:val="center"/>
          </w:tcPr>
          <w:p w14:paraId="45EF0C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1D244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A2E1C0A">
            <w:pPr>
              <w:spacing w:line="0" w:lineRule="atLeast"/>
              <w:jc w:val="center"/>
              <w:rPr>
                <w:rFonts w:hint="eastAsia" w:hAnsi="宋体" w:cs="宋体"/>
                <w:color w:val="000000"/>
                <w:spacing w:val="-10"/>
                <w:sz w:val="21"/>
                <w:szCs w:val="21"/>
              </w:rPr>
            </w:pPr>
          </w:p>
        </w:tc>
        <w:tc>
          <w:tcPr>
            <w:tcW w:w="248" w:type="pct"/>
            <w:vMerge w:val="continue"/>
            <w:vAlign w:val="center"/>
          </w:tcPr>
          <w:p w14:paraId="2D5EAEA6">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1E42366C">
            <w:pPr>
              <w:spacing w:line="0" w:lineRule="atLeast"/>
              <w:jc w:val="center"/>
              <w:rPr>
                <w:rFonts w:hint="eastAsia" w:hAnsi="宋体" w:cs="宋体"/>
                <w:color w:val="000000"/>
                <w:spacing w:val="-10"/>
                <w:sz w:val="21"/>
                <w:szCs w:val="21"/>
              </w:rPr>
            </w:pPr>
          </w:p>
        </w:tc>
        <w:tc>
          <w:tcPr>
            <w:tcW w:w="2349" w:type="pct"/>
            <w:vAlign w:val="center"/>
          </w:tcPr>
          <w:p w14:paraId="26E0129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1.4和田市及其余七个县的县城严禁新建35蒸吨以下燃煤锅炉</w:t>
            </w:r>
          </w:p>
        </w:tc>
        <w:tc>
          <w:tcPr>
            <w:tcW w:w="1426" w:type="pct"/>
            <w:vAlign w:val="center"/>
          </w:tcPr>
          <w:p w14:paraId="3DB27C7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57" w:type="pct"/>
            <w:vAlign w:val="center"/>
          </w:tcPr>
          <w:p w14:paraId="2C5DB4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0D921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FD4C29E">
            <w:pPr>
              <w:spacing w:line="0" w:lineRule="atLeast"/>
              <w:jc w:val="center"/>
              <w:rPr>
                <w:rFonts w:hint="eastAsia" w:hAnsi="宋体" w:cs="宋体"/>
                <w:color w:val="000000"/>
                <w:spacing w:val="-10"/>
                <w:sz w:val="21"/>
                <w:szCs w:val="21"/>
              </w:rPr>
            </w:pPr>
          </w:p>
        </w:tc>
        <w:tc>
          <w:tcPr>
            <w:tcW w:w="248" w:type="pct"/>
            <w:vMerge w:val="continue"/>
            <w:vAlign w:val="center"/>
          </w:tcPr>
          <w:p w14:paraId="5897323F">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030CFC2E">
            <w:pPr>
              <w:adjustRightInd w:val="0"/>
              <w:spacing w:line="0" w:lineRule="atLeast"/>
              <w:jc w:val="center"/>
              <w:rPr>
                <w:rFonts w:hint="eastAsia" w:hAnsi="宋体" w:cs="宋体"/>
                <w:color w:val="000000"/>
                <w:spacing w:val="-10"/>
                <w:sz w:val="21"/>
                <w:szCs w:val="21"/>
              </w:rPr>
            </w:pPr>
          </w:p>
        </w:tc>
        <w:tc>
          <w:tcPr>
            <w:tcW w:w="2349" w:type="pct"/>
            <w:vAlign w:val="center"/>
          </w:tcPr>
          <w:p w14:paraId="29B9F3DA">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1.5加强对旅游资源开发的生态环境监管，限制生态敏感区域旅游开发活动</w:t>
            </w:r>
          </w:p>
        </w:tc>
        <w:tc>
          <w:tcPr>
            <w:tcW w:w="1426" w:type="pct"/>
            <w:vAlign w:val="center"/>
          </w:tcPr>
          <w:p w14:paraId="2CDC675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57" w:type="pct"/>
            <w:vAlign w:val="center"/>
          </w:tcPr>
          <w:p w14:paraId="0B8FE42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237C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6FE4D02C">
            <w:pPr>
              <w:spacing w:line="0" w:lineRule="atLeast"/>
              <w:jc w:val="center"/>
              <w:rPr>
                <w:rFonts w:hint="eastAsia" w:hAnsi="宋体" w:cs="宋体"/>
                <w:color w:val="000000"/>
                <w:spacing w:val="-10"/>
                <w:sz w:val="21"/>
                <w:szCs w:val="21"/>
              </w:rPr>
            </w:pPr>
          </w:p>
        </w:tc>
        <w:tc>
          <w:tcPr>
            <w:tcW w:w="248" w:type="pct"/>
            <w:vMerge w:val="continue"/>
            <w:vAlign w:val="center"/>
          </w:tcPr>
          <w:p w14:paraId="319D2155">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2E67B793">
            <w:pPr>
              <w:adjustRightInd w:val="0"/>
              <w:spacing w:line="0" w:lineRule="atLeast"/>
              <w:jc w:val="center"/>
              <w:rPr>
                <w:rFonts w:hint="eastAsia" w:hAnsi="宋体" w:cs="宋体"/>
                <w:color w:val="000000"/>
                <w:spacing w:val="-10"/>
                <w:sz w:val="21"/>
                <w:szCs w:val="21"/>
              </w:rPr>
            </w:pPr>
          </w:p>
        </w:tc>
        <w:tc>
          <w:tcPr>
            <w:tcW w:w="2349" w:type="pct"/>
            <w:vAlign w:val="center"/>
          </w:tcPr>
          <w:p w14:paraId="0B7A3CC0">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1.6严格控制地下水资源开采总量，禁止建设污水渗井和渗坑。加强地下水保护，严禁超采滥采；严控地下水超采。超采区内禁止农业新增取用地下水</w:t>
            </w:r>
          </w:p>
        </w:tc>
        <w:tc>
          <w:tcPr>
            <w:tcW w:w="1426" w:type="pct"/>
            <w:vAlign w:val="center"/>
          </w:tcPr>
          <w:p w14:paraId="4C0CDDF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拟建工程不涉及取用地下水资源</w:t>
            </w:r>
          </w:p>
        </w:tc>
        <w:tc>
          <w:tcPr>
            <w:tcW w:w="357" w:type="pct"/>
            <w:vAlign w:val="center"/>
          </w:tcPr>
          <w:p w14:paraId="327772A9">
            <w:pPr>
              <w:autoSpaceDE w:val="0"/>
              <w:autoSpaceDN w:val="0"/>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32CBAF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8862D4E">
            <w:pPr>
              <w:spacing w:line="0" w:lineRule="atLeast"/>
              <w:jc w:val="center"/>
              <w:rPr>
                <w:rFonts w:hint="eastAsia" w:hAnsi="宋体" w:cs="宋体"/>
                <w:color w:val="000000"/>
                <w:spacing w:val="-10"/>
                <w:sz w:val="21"/>
                <w:szCs w:val="21"/>
              </w:rPr>
            </w:pPr>
          </w:p>
        </w:tc>
        <w:tc>
          <w:tcPr>
            <w:tcW w:w="248" w:type="pct"/>
            <w:vMerge w:val="continue"/>
            <w:vAlign w:val="center"/>
          </w:tcPr>
          <w:p w14:paraId="74BFEF73">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5011CA54">
            <w:pPr>
              <w:spacing w:line="0" w:lineRule="atLeast"/>
              <w:jc w:val="center"/>
              <w:rPr>
                <w:rFonts w:hint="eastAsia" w:hAnsi="宋体" w:cs="宋体"/>
                <w:color w:val="000000"/>
                <w:spacing w:val="-10"/>
                <w:sz w:val="21"/>
                <w:szCs w:val="21"/>
              </w:rPr>
            </w:pPr>
          </w:p>
        </w:tc>
        <w:tc>
          <w:tcPr>
            <w:tcW w:w="2349" w:type="pct"/>
            <w:vAlign w:val="center"/>
          </w:tcPr>
          <w:p w14:paraId="5C50558A">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1.7 加强绿洲边缘地区生态防护林建设；严格控制污染，保护玉龙喀什河、喀拉喀什河等河流生态环境。和田河沿岸禁止天然胡杨砍伐和乱挖甘草，以保护和田、墨玉、洛浦三县绿洲</w:t>
            </w:r>
          </w:p>
        </w:tc>
        <w:tc>
          <w:tcPr>
            <w:tcW w:w="1426" w:type="pct"/>
            <w:vAlign w:val="center"/>
          </w:tcPr>
          <w:p w14:paraId="05FCF114">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7" w:type="pct"/>
            <w:vAlign w:val="center"/>
          </w:tcPr>
          <w:p w14:paraId="5F8E3CE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1EC38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5A6B1EB3">
            <w:pPr>
              <w:spacing w:line="0" w:lineRule="atLeast"/>
              <w:jc w:val="center"/>
              <w:rPr>
                <w:rFonts w:hint="eastAsia" w:hAnsi="宋体" w:cs="宋体"/>
                <w:color w:val="000000"/>
                <w:spacing w:val="-10"/>
                <w:sz w:val="21"/>
                <w:szCs w:val="21"/>
              </w:rPr>
            </w:pPr>
          </w:p>
        </w:tc>
        <w:tc>
          <w:tcPr>
            <w:tcW w:w="248" w:type="pct"/>
            <w:vMerge w:val="continue"/>
            <w:vAlign w:val="center"/>
          </w:tcPr>
          <w:p w14:paraId="7F64650D">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45C9F137">
            <w:pPr>
              <w:spacing w:line="0" w:lineRule="atLeast"/>
              <w:jc w:val="center"/>
              <w:rPr>
                <w:rFonts w:hint="eastAsia" w:hAnsi="宋体" w:cs="宋体"/>
                <w:color w:val="000000"/>
                <w:spacing w:val="-10"/>
                <w:sz w:val="21"/>
                <w:szCs w:val="21"/>
              </w:rPr>
            </w:pPr>
          </w:p>
        </w:tc>
        <w:tc>
          <w:tcPr>
            <w:tcW w:w="2349" w:type="pct"/>
            <w:vAlign w:val="center"/>
          </w:tcPr>
          <w:p w14:paraId="2A6D3F70">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1.8 自治区级工业园区禁止新建每小时65蒸吨以下燃煤锅炉</w:t>
            </w:r>
          </w:p>
        </w:tc>
        <w:tc>
          <w:tcPr>
            <w:tcW w:w="1426" w:type="pct"/>
            <w:vAlign w:val="center"/>
          </w:tcPr>
          <w:p w14:paraId="0CF6FFD0">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7" w:type="pct"/>
            <w:vAlign w:val="center"/>
          </w:tcPr>
          <w:p w14:paraId="7898EEC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FE96A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59045384">
            <w:pPr>
              <w:spacing w:line="0" w:lineRule="atLeast"/>
              <w:jc w:val="center"/>
              <w:rPr>
                <w:rFonts w:hint="eastAsia" w:hAnsi="宋体" w:cs="宋体"/>
                <w:color w:val="000000"/>
                <w:spacing w:val="-10"/>
                <w:kern w:val="0"/>
                <w:sz w:val="21"/>
                <w:szCs w:val="21"/>
              </w:rPr>
            </w:pPr>
          </w:p>
        </w:tc>
        <w:tc>
          <w:tcPr>
            <w:tcW w:w="248" w:type="pct"/>
            <w:vMerge w:val="continue"/>
            <w:vAlign w:val="center"/>
          </w:tcPr>
          <w:p w14:paraId="6C26FA2E">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51BC3255">
            <w:pPr>
              <w:spacing w:line="0" w:lineRule="atLeast"/>
              <w:jc w:val="center"/>
              <w:rPr>
                <w:rFonts w:hint="eastAsia" w:hAnsi="宋体" w:cs="宋体"/>
                <w:color w:val="000000"/>
                <w:spacing w:val="-10"/>
                <w:sz w:val="21"/>
                <w:szCs w:val="21"/>
              </w:rPr>
            </w:pPr>
          </w:p>
        </w:tc>
        <w:tc>
          <w:tcPr>
            <w:tcW w:w="2349" w:type="pct"/>
            <w:vAlign w:val="center"/>
          </w:tcPr>
          <w:p w14:paraId="77070BFF">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1.9 逐步淘汰玉龙喀什河、</w:t>
            </w:r>
            <w:r>
              <w:rPr>
                <w:rFonts w:hint="eastAsia" w:hAnsi="宋体" w:cs="宋体"/>
                <w:color w:val="000000"/>
                <w:spacing w:val="-10"/>
                <w:kern w:val="0"/>
                <w:sz w:val="21"/>
                <w:szCs w:val="21"/>
              </w:rPr>
              <w:cr/>
            </w:r>
            <w:r>
              <w:rPr>
                <w:rFonts w:hint="eastAsia" w:hAnsi="宋体" w:cs="宋体"/>
                <w:color w:val="000000"/>
                <w:spacing w:val="-10"/>
                <w:kern w:val="0"/>
                <w:sz w:val="21"/>
                <w:szCs w:val="21"/>
              </w:rPr>
              <w:t>拉喀什河、克里雅河、皮山河流域内的不符合产业政策或环保不达标重污染企业，促进流域内重污染企业产业转型升级</w:t>
            </w:r>
          </w:p>
        </w:tc>
        <w:tc>
          <w:tcPr>
            <w:tcW w:w="1426" w:type="pct"/>
            <w:vAlign w:val="center"/>
          </w:tcPr>
          <w:p w14:paraId="020ECD89">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拟建工程不在玉龙喀什河、喀拉喀什河、克里雅河、皮山河流域内</w:t>
            </w:r>
          </w:p>
        </w:tc>
        <w:tc>
          <w:tcPr>
            <w:tcW w:w="357" w:type="pct"/>
            <w:vAlign w:val="center"/>
          </w:tcPr>
          <w:p w14:paraId="04FD60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EC61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72" w:hRule="atLeast"/>
          <w:jc w:val="center"/>
        </w:trPr>
        <w:tc>
          <w:tcPr>
            <w:tcW w:w="387" w:type="pct"/>
            <w:vMerge w:val="continue"/>
            <w:vAlign w:val="center"/>
          </w:tcPr>
          <w:p w14:paraId="5FC0374E">
            <w:pPr>
              <w:spacing w:line="0" w:lineRule="atLeast"/>
              <w:jc w:val="center"/>
              <w:rPr>
                <w:rFonts w:hint="eastAsia" w:hAnsi="宋体" w:cs="宋体"/>
                <w:color w:val="000000"/>
                <w:spacing w:val="-10"/>
                <w:kern w:val="0"/>
                <w:sz w:val="21"/>
                <w:szCs w:val="21"/>
              </w:rPr>
            </w:pPr>
          </w:p>
        </w:tc>
        <w:tc>
          <w:tcPr>
            <w:tcW w:w="248" w:type="pct"/>
            <w:vMerge w:val="continue"/>
            <w:vAlign w:val="center"/>
          </w:tcPr>
          <w:p w14:paraId="6F236844">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47D2A627">
            <w:pPr>
              <w:spacing w:line="0" w:lineRule="atLeast"/>
              <w:jc w:val="center"/>
              <w:rPr>
                <w:rFonts w:hint="eastAsia" w:hAnsi="宋体" w:cs="宋体"/>
                <w:color w:val="000000"/>
                <w:spacing w:val="-10"/>
                <w:sz w:val="21"/>
                <w:szCs w:val="21"/>
              </w:rPr>
            </w:pPr>
          </w:p>
        </w:tc>
        <w:tc>
          <w:tcPr>
            <w:tcW w:w="2349" w:type="pct"/>
            <w:vAlign w:val="center"/>
          </w:tcPr>
          <w:p w14:paraId="5F5D0022">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1.10 新建大气污染排放及水污染排放的工业污染类项目必须进入相应的工业园区或者工业集聚区，实施“以大带小”“以新带老”，坚持涉重污染物排放量“等量置换”或“减量置换”，主要污染物排放总量得到有效控制</w:t>
            </w:r>
          </w:p>
        </w:tc>
        <w:tc>
          <w:tcPr>
            <w:tcW w:w="1426" w:type="pct"/>
            <w:vAlign w:val="center"/>
          </w:tcPr>
          <w:p w14:paraId="7173C785">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拟建工程运营期无废气、废水产生</w:t>
            </w:r>
          </w:p>
        </w:tc>
        <w:tc>
          <w:tcPr>
            <w:tcW w:w="357" w:type="pct"/>
            <w:vAlign w:val="center"/>
          </w:tcPr>
          <w:p w14:paraId="5CFD569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3E659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7543B983">
            <w:pPr>
              <w:spacing w:line="0" w:lineRule="atLeast"/>
              <w:jc w:val="center"/>
              <w:rPr>
                <w:rFonts w:hint="eastAsia" w:hAnsi="宋体" w:cs="宋体"/>
                <w:color w:val="000000"/>
                <w:spacing w:val="-10"/>
                <w:kern w:val="0"/>
                <w:sz w:val="21"/>
                <w:szCs w:val="21"/>
              </w:rPr>
            </w:pPr>
          </w:p>
        </w:tc>
        <w:tc>
          <w:tcPr>
            <w:tcW w:w="248" w:type="pct"/>
            <w:vMerge w:val="continue"/>
            <w:vAlign w:val="center"/>
          </w:tcPr>
          <w:p w14:paraId="2EA7F14D">
            <w:pPr>
              <w:adjustRightInd w:val="0"/>
              <w:spacing w:line="0" w:lineRule="atLeast"/>
              <w:jc w:val="center"/>
              <w:rPr>
                <w:rFonts w:hint="eastAsia" w:hAnsi="宋体" w:cs="宋体"/>
                <w:color w:val="000000"/>
                <w:spacing w:val="-10"/>
                <w:sz w:val="21"/>
                <w:szCs w:val="21"/>
              </w:rPr>
            </w:pPr>
          </w:p>
        </w:tc>
        <w:tc>
          <w:tcPr>
            <w:tcW w:w="233" w:type="pct"/>
            <w:vMerge w:val="continue"/>
            <w:vAlign w:val="center"/>
          </w:tcPr>
          <w:p w14:paraId="2DCCB882">
            <w:pPr>
              <w:spacing w:line="0" w:lineRule="atLeast"/>
              <w:jc w:val="center"/>
              <w:rPr>
                <w:rFonts w:hint="eastAsia" w:hAnsi="宋体" w:cs="宋体"/>
                <w:color w:val="000000"/>
                <w:spacing w:val="-10"/>
                <w:sz w:val="21"/>
                <w:szCs w:val="21"/>
              </w:rPr>
            </w:pPr>
          </w:p>
        </w:tc>
        <w:tc>
          <w:tcPr>
            <w:tcW w:w="2349" w:type="pct"/>
            <w:vAlign w:val="center"/>
          </w:tcPr>
          <w:p w14:paraId="7AD5F29C">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1.11 建立污泥从产生、运输、储存、处置全过程监管体系，污水处理设施产生的污泥应进行稳定化、无害化和资源化处理处置，禁止处理处置不达标的污泥进入耕地，非法污泥堆放点一律予以取缔</w:t>
            </w:r>
          </w:p>
        </w:tc>
        <w:tc>
          <w:tcPr>
            <w:tcW w:w="1426" w:type="pct"/>
            <w:vAlign w:val="center"/>
          </w:tcPr>
          <w:p w14:paraId="33A035F9">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7" w:type="pct"/>
            <w:vAlign w:val="center"/>
          </w:tcPr>
          <w:p w14:paraId="31DDE0D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11029BB0">
      <w:pPr>
        <w:spacing w:line="460" w:lineRule="exact"/>
        <w:ind w:firstLine="526" w:firstLineChars="200"/>
        <w:rPr>
          <w:rFonts w:hint="eastAsia" w:hAnsi="宋体" w:cs="宋体"/>
          <w:color w:val="000000"/>
          <w:szCs w:val="24"/>
        </w:rPr>
      </w:pPr>
      <w:r>
        <w:br w:type="page"/>
      </w:r>
      <w:r>
        <w:rPr>
          <w:rFonts w:hint="eastAsia" w:ascii="黑体" w:hAnsi="黑体" w:eastAsia="黑体" w:cs="宋体"/>
          <w:color w:val="000000"/>
          <w:szCs w:val="24"/>
        </w:rPr>
        <w:t>续表3.5-6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98"/>
        <w:gridCol w:w="447"/>
        <w:gridCol w:w="422"/>
        <w:gridCol w:w="4235"/>
        <w:gridCol w:w="2560"/>
        <w:gridCol w:w="14"/>
        <w:gridCol w:w="639"/>
      </w:tblGrid>
      <w:tr w14:paraId="30FC4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Align w:val="center"/>
          </w:tcPr>
          <w:p w14:paraId="20605B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文件名称</w:t>
            </w:r>
          </w:p>
        </w:tc>
        <w:tc>
          <w:tcPr>
            <w:tcW w:w="2831" w:type="pct"/>
            <w:gridSpan w:val="3"/>
            <w:vAlign w:val="center"/>
          </w:tcPr>
          <w:p w14:paraId="640E83D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428" w:type="pct"/>
            <w:gridSpan w:val="2"/>
            <w:vAlign w:val="center"/>
          </w:tcPr>
          <w:p w14:paraId="60796AF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54" w:type="pct"/>
            <w:vAlign w:val="center"/>
          </w:tcPr>
          <w:p w14:paraId="3381120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66EC79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08" w:hRule="atLeast"/>
          <w:jc w:val="center"/>
        </w:trPr>
        <w:tc>
          <w:tcPr>
            <w:tcW w:w="387" w:type="pct"/>
            <w:vMerge w:val="restart"/>
            <w:vAlign w:val="center"/>
          </w:tcPr>
          <w:p w14:paraId="24228590">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48" w:type="pct"/>
            <w:vMerge w:val="restart"/>
            <w:vAlign w:val="center"/>
          </w:tcPr>
          <w:p w14:paraId="09348D6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4" w:type="pct"/>
            <w:vMerge w:val="restart"/>
            <w:vAlign w:val="center"/>
          </w:tcPr>
          <w:p w14:paraId="5680EFC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空间布局约束</w:t>
            </w:r>
          </w:p>
        </w:tc>
        <w:tc>
          <w:tcPr>
            <w:tcW w:w="2349" w:type="pct"/>
            <w:vAlign w:val="center"/>
          </w:tcPr>
          <w:p w14:paraId="6C04563A">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1.12 水质不能稳定达标的区域原则上不允许建设新增相应不达标污染物指标排放量的工业项目</w:t>
            </w:r>
          </w:p>
        </w:tc>
        <w:tc>
          <w:tcPr>
            <w:tcW w:w="1428" w:type="pct"/>
            <w:gridSpan w:val="2"/>
            <w:vAlign w:val="center"/>
          </w:tcPr>
          <w:p w14:paraId="35B45824">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4" w:type="pct"/>
            <w:vAlign w:val="center"/>
          </w:tcPr>
          <w:p w14:paraId="14BF61B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65371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06" w:hRule="atLeast"/>
          <w:jc w:val="center"/>
        </w:trPr>
        <w:tc>
          <w:tcPr>
            <w:tcW w:w="387" w:type="pct"/>
            <w:vMerge w:val="continue"/>
            <w:vAlign w:val="center"/>
          </w:tcPr>
          <w:p w14:paraId="5C83140A">
            <w:pPr>
              <w:spacing w:line="0" w:lineRule="atLeast"/>
              <w:jc w:val="center"/>
              <w:rPr>
                <w:rFonts w:hint="eastAsia" w:hAnsi="宋体" w:cs="宋体"/>
                <w:color w:val="000000"/>
                <w:spacing w:val="-10"/>
                <w:sz w:val="21"/>
                <w:szCs w:val="21"/>
              </w:rPr>
            </w:pPr>
          </w:p>
        </w:tc>
        <w:tc>
          <w:tcPr>
            <w:tcW w:w="248" w:type="pct"/>
            <w:vMerge w:val="continue"/>
            <w:vAlign w:val="center"/>
          </w:tcPr>
          <w:p w14:paraId="3C35D6DA">
            <w:pPr>
              <w:adjustRightInd w:val="0"/>
              <w:spacing w:line="0" w:lineRule="atLeast"/>
              <w:jc w:val="center"/>
              <w:rPr>
                <w:rFonts w:hint="eastAsia" w:hAnsi="宋体" w:cs="宋体"/>
                <w:color w:val="000000"/>
                <w:spacing w:val="-10"/>
                <w:sz w:val="21"/>
                <w:szCs w:val="21"/>
              </w:rPr>
            </w:pPr>
          </w:p>
        </w:tc>
        <w:tc>
          <w:tcPr>
            <w:tcW w:w="234" w:type="pct"/>
            <w:vMerge w:val="continue"/>
            <w:vAlign w:val="center"/>
          </w:tcPr>
          <w:p w14:paraId="001C5D1D">
            <w:pPr>
              <w:spacing w:line="0" w:lineRule="atLeast"/>
              <w:jc w:val="center"/>
              <w:rPr>
                <w:rFonts w:hint="eastAsia" w:hAnsi="宋体" w:cs="宋体"/>
                <w:color w:val="000000"/>
                <w:spacing w:val="-10"/>
                <w:sz w:val="21"/>
                <w:szCs w:val="21"/>
              </w:rPr>
            </w:pPr>
          </w:p>
        </w:tc>
        <w:tc>
          <w:tcPr>
            <w:tcW w:w="2349" w:type="pct"/>
            <w:vAlign w:val="center"/>
          </w:tcPr>
          <w:p w14:paraId="3A5B3832">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1.13 对在水源涵养区和生物多样性维护与特殊保护区内的矿山逐步撤出或到期关闭。严格</w:t>
            </w:r>
            <w:r>
              <w:rPr>
                <w:rFonts w:hint="eastAsia" w:hAnsi="宋体" w:cs="宋体"/>
                <w:color w:val="000000"/>
                <w:spacing w:val="-10"/>
                <w:kern w:val="0"/>
                <w:sz w:val="21"/>
                <w:szCs w:val="21"/>
              </w:rPr>
              <w:cr/>
            </w:r>
            <w:r>
              <w:rPr>
                <w:rFonts w:hint="eastAsia" w:hAnsi="宋体" w:cs="宋体"/>
                <w:color w:val="000000"/>
                <w:spacing w:val="-10"/>
                <w:kern w:val="0"/>
                <w:sz w:val="21"/>
                <w:szCs w:val="21"/>
              </w:rPr>
              <w:t>保护冰川，禁止任何开发建设，严禁在水源涵养区、水源保护区等生态敏感区域进行矿产资源勘探和开发，加强旅游资源开发的生态保护，开展旅游景区环境污染治理。工业开发建设、矿产资源开采和旅游开发应保护戈壁砾幕层，沙区尽量避免对荒漠自然表层的破坏，防止沙丘活化</w:t>
            </w:r>
          </w:p>
        </w:tc>
        <w:tc>
          <w:tcPr>
            <w:tcW w:w="1428" w:type="pct"/>
            <w:gridSpan w:val="2"/>
            <w:vAlign w:val="center"/>
          </w:tcPr>
          <w:p w14:paraId="4323A936">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拟建工程不涉及水源涵养区和生物多样性维护与特殊保护区</w:t>
            </w:r>
          </w:p>
        </w:tc>
        <w:tc>
          <w:tcPr>
            <w:tcW w:w="354" w:type="pct"/>
            <w:vAlign w:val="center"/>
          </w:tcPr>
          <w:p w14:paraId="6C6BFC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60B5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69" w:hRule="atLeast"/>
          <w:jc w:val="center"/>
        </w:trPr>
        <w:tc>
          <w:tcPr>
            <w:tcW w:w="387" w:type="pct"/>
            <w:vMerge w:val="continue"/>
            <w:vAlign w:val="center"/>
          </w:tcPr>
          <w:p w14:paraId="6AE795D1">
            <w:pPr>
              <w:spacing w:line="0" w:lineRule="atLeast"/>
              <w:jc w:val="center"/>
              <w:rPr>
                <w:rFonts w:hint="eastAsia" w:hAnsi="宋体" w:cs="宋体"/>
                <w:color w:val="000000"/>
                <w:spacing w:val="-10"/>
                <w:kern w:val="0"/>
                <w:sz w:val="21"/>
                <w:szCs w:val="21"/>
              </w:rPr>
            </w:pPr>
          </w:p>
        </w:tc>
        <w:tc>
          <w:tcPr>
            <w:tcW w:w="248" w:type="pct"/>
            <w:vMerge w:val="continue"/>
            <w:vAlign w:val="center"/>
          </w:tcPr>
          <w:p w14:paraId="2C57CEB5">
            <w:pPr>
              <w:adjustRightInd w:val="0"/>
              <w:spacing w:line="0" w:lineRule="atLeast"/>
              <w:jc w:val="center"/>
              <w:rPr>
                <w:rFonts w:hint="eastAsia" w:hAnsi="宋体" w:cs="宋体"/>
                <w:color w:val="000000"/>
                <w:spacing w:val="-10"/>
                <w:sz w:val="21"/>
                <w:szCs w:val="21"/>
              </w:rPr>
            </w:pPr>
          </w:p>
        </w:tc>
        <w:tc>
          <w:tcPr>
            <w:tcW w:w="234" w:type="pct"/>
            <w:vMerge w:val="continue"/>
            <w:vAlign w:val="center"/>
          </w:tcPr>
          <w:p w14:paraId="17740A1E">
            <w:pPr>
              <w:spacing w:line="0" w:lineRule="atLeast"/>
              <w:jc w:val="center"/>
              <w:rPr>
                <w:rFonts w:hint="eastAsia" w:hAnsi="宋体" w:cs="宋体"/>
                <w:color w:val="000000"/>
                <w:spacing w:val="-10"/>
                <w:sz w:val="21"/>
                <w:szCs w:val="21"/>
              </w:rPr>
            </w:pPr>
          </w:p>
        </w:tc>
        <w:tc>
          <w:tcPr>
            <w:tcW w:w="2349" w:type="pct"/>
            <w:vAlign w:val="center"/>
          </w:tcPr>
          <w:p w14:paraId="11D60E15">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1.14 禁止侵占自然湿地等水源涵养空间，已侵占的要限期予以恢复</w:t>
            </w:r>
          </w:p>
        </w:tc>
        <w:tc>
          <w:tcPr>
            <w:tcW w:w="1428" w:type="pct"/>
            <w:gridSpan w:val="2"/>
            <w:vAlign w:val="center"/>
          </w:tcPr>
          <w:p w14:paraId="5BCF2306">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4" w:type="pct"/>
            <w:vAlign w:val="center"/>
          </w:tcPr>
          <w:p w14:paraId="6A61FC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6A9C6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17" w:hRule="atLeast"/>
          <w:jc w:val="center"/>
        </w:trPr>
        <w:tc>
          <w:tcPr>
            <w:tcW w:w="387" w:type="pct"/>
            <w:vMerge w:val="continue"/>
            <w:vAlign w:val="center"/>
          </w:tcPr>
          <w:p w14:paraId="16208B1D">
            <w:pPr>
              <w:spacing w:line="0" w:lineRule="atLeast"/>
              <w:jc w:val="center"/>
              <w:rPr>
                <w:rFonts w:hint="eastAsia" w:hAnsi="宋体" w:cs="宋体"/>
                <w:color w:val="000000"/>
                <w:spacing w:val="-10"/>
                <w:sz w:val="21"/>
                <w:szCs w:val="21"/>
              </w:rPr>
            </w:pPr>
          </w:p>
        </w:tc>
        <w:tc>
          <w:tcPr>
            <w:tcW w:w="248" w:type="pct"/>
            <w:vMerge w:val="continue"/>
            <w:vAlign w:val="center"/>
          </w:tcPr>
          <w:p w14:paraId="69E525E5">
            <w:pPr>
              <w:adjustRightInd w:val="0"/>
              <w:spacing w:line="0" w:lineRule="atLeast"/>
              <w:jc w:val="center"/>
              <w:rPr>
                <w:rFonts w:hint="eastAsia" w:hAnsi="宋体" w:cs="宋体"/>
                <w:color w:val="000000"/>
                <w:spacing w:val="-10"/>
                <w:sz w:val="21"/>
                <w:szCs w:val="21"/>
              </w:rPr>
            </w:pPr>
          </w:p>
        </w:tc>
        <w:tc>
          <w:tcPr>
            <w:tcW w:w="234" w:type="pct"/>
            <w:vMerge w:val="continue"/>
            <w:vAlign w:val="center"/>
          </w:tcPr>
          <w:p w14:paraId="5CEE9099">
            <w:pPr>
              <w:adjustRightInd w:val="0"/>
              <w:spacing w:line="0" w:lineRule="atLeast"/>
              <w:jc w:val="center"/>
              <w:rPr>
                <w:rFonts w:hint="eastAsia" w:hAnsi="宋体" w:cs="宋体"/>
                <w:color w:val="000000"/>
                <w:spacing w:val="-10"/>
                <w:sz w:val="21"/>
                <w:szCs w:val="21"/>
              </w:rPr>
            </w:pPr>
          </w:p>
        </w:tc>
        <w:tc>
          <w:tcPr>
            <w:tcW w:w="2349" w:type="pct"/>
            <w:vAlign w:val="center"/>
          </w:tcPr>
          <w:p w14:paraId="511AA4D4">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1.15 鼓励发展节水高效现代农业、低耗水高新技术产业以及生态保护</w:t>
            </w:r>
            <w:r>
              <w:rPr>
                <w:rFonts w:hint="eastAsia" w:hAnsi="宋体" w:cs="宋体"/>
                <w:color w:val="000000"/>
                <w:spacing w:val="-10"/>
                <w:kern w:val="0"/>
                <w:sz w:val="21"/>
                <w:szCs w:val="21"/>
              </w:rPr>
              <w:cr/>
            </w:r>
            <w:r>
              <w:rPr>
                <w:rFonts w:hint="eastAsia" w:hAnsi="宋体" w:cs="宋体"/>
                <w:color w:val="000000"/>
                <w:spacing w:val="-10"/>
                <w:kern w:val="0"/>
                <w:sz w:val="21"/>
                <w:szCs w:val="21"/>
              </w:rPr>
              <w:t>型旅游业，严格控制缺水地区、水污染严重地区和敏感区域高耗水、高污染行业发展，新建、改建、扩建重点行业建设项目实行主要污染物排放减量置换。优先发展特色林果业、有机绿色农牧业、农副产品加工业、民族特色加工业、外贸物流等绿色、低能耗、低排放产业，适度发展沙漠生态产业和特色旅游业，禁止无序开荒，限制发展破坏荒漠稳定的产业和项目</w:t>
            </w:r>
          </w:p>
        </w:tc>
        <w:tc>
          <w:tcPr>
            <w:tcW w:w="1428" w:type="pct"/>
            <w:gridSpan w:val="2"/>
            <w:vAlign w:val="center"/>
          </w:tcPr>
          <w:p w14:paraId="4571B7F5">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54" w:type="pct"/>
            <w:vAlign w:val="center"/>
          </w:tcPr>
          <w:p w14:paraId="7F9D894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08D6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73" w:hRule="atLeast"/>
          <w:jc w:val="center"/>
        </w:trPr>
        <w:tc>
          <w:tcPr>
            <w:tcW w:w="387" w:type="pct"/>
            <w:vMerge w:val="continue"/>
            <w:vAlign w:val="center"/>
          </w:tcPr>
          <w:p w14:paraId="6E7963E9">
            <w:pPr>
              <w:spacing w:line="0" w:lineRule="atLeast"/>
              <w:jc w:val="center"/>
              <w:rPr>
                <w:rFonts w:hint="eastAsia" w:hAnsi="宋体" w:cs="宋体"/>
                <w:color w:val="000000"/>
                <w:spacing w:val="-10"/>
                <w:sz w:val="21"/>
                <w:szCs w:val="21"/>
              </w:rPr>
            </w:pPr>
          </w:p>
        </w:tc>
        <w:tc>
          <w:tcPr>
            <w:tcW w:w="248" w:type="pct"/>
            <w:vMerge w:val="continue"/>
            <w:vAlign w:val="center"/>
          </w:tcPr>
          <w:p w14:paraId="58B66EDB">
            <w:pPr>
              <w:adjustRightInd w:val="0"/>
              <w:spacing w:line="0" w:lineRule="atLeast"/>
              <w:jc w:val="center"/>
              <w:rPr>
                <w:rFonts w:hint="eastAsia" w:hAnsi="宋体" w:cs="宋体"/>
                <w:color w:val="000000"/>
                <w:spacing w:val="-10"/>
                <w:sz w:val="21"/>
                <w:szCs w:val="21"/>
              </w:rPr>
            </w:pPr>
          </w:p>
        </w:tc>
        <w:tc>
          <w:tcPr>
            <w:tcW w:w="234" w:type="pct"/>
            <w:vMerge w:val="continue"/>
            <w:vAlign w:val="center"/>
          </w:tcPr>
          <w:p w14:paraId="5868E2FC">
            <w:pPr>
              <w:spacing w:line="0" w:lineRule="atLeast"/>
              <w:jc w:val="center"/>
              <w:rPr>
                <w:rFonts w:hint="eastAsia" w:hAnsi="宋体" w:cs="宋体"/>
                <w:color w:val="000000"/>
                <w:spacing w:val="-10"/>
                <w:sz w:val="21"/>
                <w:szCs w:val="21"/>
              </w:rPr>
            </w:pPr>
          </w:p>
        </w:tc>
        <w:tc>
          <w:tcPr>
            <w:tcW w:w="2349" w:type="pct"/>
            <w:vAlign w:val="center"/>
          </w:tcPr>
          <w:p w14:paraId="0F44553E">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1.16 和田河、玉龙喀什河、喀拉喀什河河流河道和古河床范围内严禁非法采挖玉石</w:t>
            </w:r>
          </w:p>
        </w:tc>
        <w:tc>
          <w:tcPr>
            <w:tcW w:w="1420" w:type="pct"/>
            <w:vAlign w:val="center"/>
          </w:tcPr>
          <w:p w14:paraId="6B16B70C">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62" w:type="pct"/>
            <w:gridSpan w:val="2"/>
            <w:vAlign w:val="center"/>
          </w:tcPr>
          <w:p w14:paraId="56572FF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DA47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07420883">
            <w:pPr>
              <w:spacing w:line="0" w:lineRule="atLeast"/>
              <w:jc w:val="center"/>
              <w:rPr>
                <w:rFonts w:hint="eastAsia" w:hAnsi="宋体" w:cs="宋体"/>
                <w:color w:val="000000"/>
                <w:spacing w:val="-10"/>
                <w:sz w:val="21"/>
                <w:szCs w:val="21"/>
              </w:rPr>
            </w:pPr>
          </w:p>
        </w:tc>
        <w:tc>
          <w:tcPr>
            <w:tcW w:w="248" w:type="pct"/>
            <w:vMerge w:val="continue"/>
            <w:vAlign w:val="center"/>
          </w:tcPr>
          <w:p w14:paraId="22838507">
            <w:pPr>
              <w:adjustRightInd w:val="0"/>
              <w:spacing w:line="0" w:lineRule="atLeast"/>
              <w:jc w:val="center"/>
              <w:rPr>
                <w:rFonts w:hint="eastAsia" w:hAnsi="宋体" w:cs="宋体"/>
                <w:color w:val="000000"/>
                <w:spacing w:val="-10"/>
                <w:sz w:val="21"/>
                <w:szCs w:val="21"/>
              </w:rPr>
            </w:pPr>
          </w:p>
        </w:tc>
        <w:tc>
          <w:tcPr>
            <w:tcW w:w="234" w:type="pct"/>
            <w:vMerge w:val="continue"/>
            <w:vAlign w:val="center"/>
          </w:tcPr>
          <w:p w14:paraId="0C1FA8F7">
            <w:pPr>
              <w:adjustRightInd w:val="0"/>
              <w:spacing w:line="0" w:lineRule="atLeast"/>
              <w:jc w:val="center"/>
              <w:rPr>
                <w:rFonts w:hint="eastAsia" w:hAnsi="宋体" w:cs="宋体"/>
                <w:color w:val="000000"/>
                <w:spacing w:val="-10"/>
                <w:sz w:val="21"/>
                <w:szCs w:val="21"/>
              </w:rPr>
            </w:pPr>
          </w:p>
        </w:tc>
        <w:tc>
          <w:tcPr>
            <w:tcW w:w="2349" w:type="pct"/>
            <w:vAlign w:val="center"/>
          </w:tcPr>
          <w:p w14:paraId="257A983C">
            <w:pPr>
              <w:autoSpaceDE w:val="0"/>
              <w:autoSpaceDN w:val="0"/>
              <w:adjustRightInd w:val="0"/>
              <w:spacing w:line="0" w:lineRule="atLeast"/>
              <w:rPr>
                <w:rFonts w:hint="eastAsia" w:hAnsi="宋体" w:cs="宋体"/>
                <w:color w:val="000000"/>
                <w:spacing w:val="-10"/>
                <w:kern w:val="0"/>
                <w:sz w:val="21"/>
                <w:szCs w:val="21"/>
              </w:rPr>
            </w:pPr>
            <w:r>
              <w:rPr>
                <w:rFonts w:hint="eastAsia" w:hAnsi="宋体" w:cs="宋体"/>
                <w:color w:val="000000"/>
                <w:spacing w:val="-10"/>
                <w:kern w:val="0"/>
                <w:sz w:val="21"/>
                <w:szCs w:val="21"/>
              </w:rPr>
              <w:t>1.17 不得对天然林进行商业性采伐</w:t>
            </w:r>
          </w:p>
        </w:tc>
        <w:tc>
          <w:tcPr>
            <w:tcW w:w="1420" w:type="pct"/>
            <w:vAlign w:val="center"/>
          </w:tcPr>
          <w:p w14:paraId="0173E755">
            <w:pPr>
              <w:autoSpaceDE w:val="0"/>
              <w:autoSpaceDN w:val="0"/>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拟建工程不涉及</w:t>
            </w:r>
          </w:p>
        </w:tc>
        <w:tc>
          <w:tcPr>
            <w:tcW w:w="362" w:type="pct"/>
            <w:gridSpan w:val="2"/>
            <w:vAlign w:val="center"/>
          </w:tcPr>
          <w:p w14:paraId="3519417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A553C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21" w:hRule="atLeast"/>
          <w:jc w:val="center"/>
        </w:trPr>
        <w:tc>
          <w:tcPr>
            <w:tcW w:w="387" w:type="pct"/>
            <w:vMerge w:val="continue"/>
            <w:vAlign w:val="center"/>
          </w:tcPr>
          <w:p w14:paraId="399CC0C9">
            <w:pPr>
              <w:spacing w:line="0" w:lineRule="atLeast"/>
              <w:jc w:val="center"/>
              <w:rPr>
                <w:rFonts w:hint="eastAsia" w:hAnsi="宋体" w:cs="宋体"/>
                <w:color w:val="000000"/>
                <w:spacing w:val="-10"/>
                <w:sz w:val="21"/>
                <w:szCs w:val="21"/>
              </w:rPr>
            </w:pPr>
          </w:p>
        </w:tc>
        <w:tc>
          <w:tcPr>
            <w:tcW w:w="248" w:type="pct"/>
            <w:vMerge w:val="continue"/>
            <w:vAlign w:val="center"/>
          </w:tcPr>
          <w:p w14:paraId="5F70A627">
            <w:pPr>
              <w:adjustRightInd w:val="0"/>
              <w:spacing w:line="0" w:lineRule="atLeast"/>
              <w:jc w:val="center"/>
              <w:rPr>
                <w:rFonts w:hint="eastAsia" w:hAnsi="宋体" w:cs="宋体"/>
                <w:color w:val="000000"/>
                <w:spacing w:val="-10"/>
                <w:sz w:val="21"/>
                <w:szCs w:val="21"/>
              </w:rPr>
            </w:pPr>
          </w:p>
        </w:tc>
        <w:tc>
          <w:tcPr>
            <w:tcW w:w="234" w:type="pct"/>
            <w:vAlign w:val="center"/>
          </w:tcPr>
          <w:p w14:paraId="5F28C19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污染排放管控</w:t>
            </w:r>
          </w:p>
        </w:tc>
        <w:tc>
          <w:tcPr>
            <w:tcW w:w="2349" w:type="pct"/>
            <w:vAlign w:val="center"/>
          </w:tcPr>
          <w:p w14:paraId="55898745">
            <w:pPr>
              <w:spacing w:line="0" w:lineRule="atLeast"/>
              <w:rPr>
                <w:rFonts w:hint="eastAsia" w:hAnsi="宋体" w:cs="宋体"/>
                <w:color w:val="000000"/>
                <w:spacing w:val="-10"/>
                <w:sz w:val="21"/>
                <w:szCs w:val="21"/>
              </w:rPr>
            </w:pPr>
            <w:r>
              <w:rPr>
                <w:rFonts w:hint="eastAsia" w:hAnsi="宋体" w:cs="宋体"/>
                <w:color w:val="000000"/>
                <w:spacing w:val="-10"/>
                <w:sz w:val="21"/>
                <w:szCs w:val="21"/>
              </w:rPr>
              <w:t>2.1 严格执行自治区总体准入要求中“A2 污染物排放管控”和南疆三地州片区总体管控要求中“B2 污染物排放管控”管控要求</w:t>
            </w:r>
          </w:p>
        </w:tc>
        <w:tc>
          <w:tcPr>
            <w:tcW w:w="1420" w:type="pct"/>
            <w:vAlign w:val="center"/>
          </w:tcPr>
          <w:p w14:paraId="133634D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拟建工程符合自治区总体准入要求中“A2 污染物排放管控”和南疆三地州片区总体管控要求中“B2 污染物排放管控”管控要求</w:t>
            </w:r>
          </w:p>
        </w:tc>
        <w:tc>
          <w:tcPr>
            <w:tcW w:w="362" w:type="pct"/>
            <w:gridSpan w:val="2"/>
            <w:vAlign w:val="center"/>
          </w:tcPr>
          <w:p w14:paraId="2CD28C4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0E9086AC">
      <w:pPr>
        <w:spacing w:line="460" w:lineRule="exact"/>
        <w:ind w:firstLine="526" w:firstLineChars="200"/>
        <w:rPr>
          <w:rFonts w:hint="eastAsia" w:hAnsi="宋体" w:cs="宋体"/>
          <w:color w:val="000000"/>
          <w:szCs w:val="24"/>
        </w:rPr>
      </w:pPr>
      <w:r>
        <w:br w:type="page"/>
      </w:r>
      <w:r>
        <w:rPr>
          <w:rFonts w:hint="eastAsia" w:ascii="黑体" w:hAnsi="黑体" w:eastAsia="黑体"/>
        </w:rPr>
        <w:t>续</w:t>
      </w:r>
      <w:r>
        <w:rPr>
          <w:rFonts w:hint="eastAsia" w:ascii="黑体" w:hAnsi="黑体" w:eastAsia="黑体" w:cs="宋体"/>
          <w:color w:val="000000"/>
          <w:szCs w:val="24"/>
        </w:rPr>
        <w:t>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97"/>
        <w:gridCol w:w="454"/>
        <w:gridCol w:w="415"/>
        <w:gridCol w:w="4587"/>
        <w:gridCol w:w="2209"/>
        <w:gridCol w:w="653"/>
      </w:tblGrid>
      <w:tr w14:paraId="7290B3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Align w:val="center"/>
          </w:tcPr>
          <w:p w14:paraId="38E68CF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w:t>
            </w:r>
          </w:p>
          <w:p w14:paraId="0C4115A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3026" w:type="pct"/>
            <w:gridSpan w:val="3"/>
            <w:vAlign w:val="center"/>
          </w:tcPr>
          <w:p w14:paraId="2F9F0D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225" w:type="pct"/>
            <w:vAlign w:val="center"/>
          </w:tcPr>
          <w:p w14:paraId="3621662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62" w:type="pct"/>
            <w:vAlign w:val="center"/>
          </w:tcPr>
          <w:p w14:paraId="418FB31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1C9A4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988" w:hRule="atLeast"/>
          <w:jc w:val="center"/>
        </w:trPr>
        <w:tc>
          <w:tcPr>
            <w:tcW w:w="387" w:type="pct"/>
            <w:vMerge w:val="restart"/>
            <w:vAlign w:val="center"/>
          </w:tcPr>
          <w:p w14:paraId="4CBB2B65">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52" w:type="pct"/>
            <w:vMerge w:val="restart"/>
            <w:vAlign w:val="center"/>
          </w:tcPr>
          <w:p w14:paraId="7703747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0" w:type="pct"/>
            <w:vMerge w:val="restart"/>
            <w:vAlign w:val="center"/>
          </w:tcPr>
          <w:p w14:paraId="3DE4F43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污染排放管控</w:t>
            </w:r>
          </w:p>
        </w:tc>
        <w:tc>
          <w:tcPr>
            <w:tcW w:w="2544" w:type="pct"/>
            <w:vAlign w:val="center"/>
          </w:tcPr>
          <w:p w14:paraId="3B897B9C">
            <w:pPr>
              <w:spacing w:line="0" w:lineRule="atLeast"/>
              <w:rPr>
                <w:rFonts w:hint="eastAsia" w:hAnsi="宋体" w:cs="宋体"/>
                <w:color w:val="000000"/>
                <w:spacing w:val="-16"/>
                <w:sz w:val="21"/>
                <w:szCs w:val="21"/>
              </w:rPr>
            </w:pPr>
            <w:r>
              <w:rPr>
                <w:rFonts w:hint="eastAsia" w:hAnsi="宋体" w:cs="宋体"/>
                <w:color w:val="000000"/>
                <w:spacing w:val="-16"/>
                <w:sz w:val="21"/>
                <w:szCs w:val="21"/>
              </w:rPr>
              <w:t>2.2自治区已于2016年开始在试点区域和重点行业（以下简称试点范围）开展排污权有偿使用和交易试点工作,并在全区建立健全排污权管理体系，推行排污权总量预算管理。属于试点范围内的建设项目，均采用排污权交易方式，通过购买有偿取得总量指标。不属于试点范围的建设项目，其主要污染物排放总量指标，从所在地州市排污权总量指标中无偿划拨取得。主要来源于政府预留储备排污权和已建成投运的现有企事业单位在“十三五”期间进一步采取减排措施后形成的富余排污权指标。在“十三五”初期可以来源于2016年减排项目预计减排量。集中供热或企业内以新带老等建设项目的总量指标，可从拟替代关停的现有企业或设施可形成的预计减排量中预支，替代削减方案须在建设项目建成投产前落实到位。农业源通过减排形成的减排量不得用于工业类建设项目。建设项目所在地主要污染物总量指标不足以分配时，建设单位可以按照自治区排污权有偿使用和交易工作相关规定，申请以排污权交易方式购买自治区或其他排污权交易试点区域储备排污权，取得总量指标。火电、钢铁、水泥、造纸等行业建设项目主要污染物排放总量指标按照《自治区重点行业主要污染物排污许可量核定技术方法（暂行）》采用绩效方法核定。其他无绩效值行业依照国家或地方污染物排放标准及单</w:t>
            </w:r>
            <w:r>
              <w:rPr>
                <w:rFonts w:hint="eastAsia" w:hAnsi="宋体" w:cs="宋体"/>
                <w:color w:val="000000"/>
                <w:spacing w:val="-16"/>
                <w:sz w:val="21"/>
                <w:szCs w:val="21"/>
              </w:rPr>
              <w:cr/>
            </w:r>
            <w:r>
              <w:rPr>
                <w:rFonts w:hint="eastAsia" w:hAnsi="宋体" w:cs="宋体"/>
                <w:color w:val="000000"/>
                <w:spacing w:val="-16"/>
                <w:sz w:val="21"/>
                <w:szCs w:val="21"/>
              </w:rPr>
              <w:t>产品基准排水量（行业最高允许排水量）、烟气量等予以核定。不属于试点范围，且由环保部负责环评文件审批的建设项目，按环保部《建设项目主要污染物排放总量指标审核及管理暂行办法》执行</w:t>
            </w:r>
          </w:p>
        </w:tc>
        <w:tc>
          <w:tcPr>
            <w:tcW w:w="1225" w:type="pct"/>
            <w:vAlign w:val="center"/>
          </w:tcPr>
          <w:p w14:paraId="6FA5B8C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拟建工程不涉及污染物排放总量</w:t>
            </w:r>
          </w:p>
        </w:tc>
        <w:tc>
          <w:tcPr>
            <w:tcW w:w="362" w:type="pct"/>
            <w:vAlign w:val="center"/>
          </w:tcPr>
          <w:p w14:paraId="107567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2263D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14" w:hRule="atLeast"/>
          <w:jc w:val="center"/>
        </w:trPr>
        <w:tc>
          <w:tcPr>
            <w:tcW w:w="387" w:type="pct"/>
            <w:vMerge w:val="continue"/>
            <w:vAlign w:val="center"/>
          </w:tcPr>
          <w:p w14:paraId="70B0A04D">
            <w:pPr>
              <w:spacing w:line="0" w:lineRule="atLeast"/>
              <w:jc w:val="center"/>
              <w:rPr>
                <w:rFonts w:hint="eastAsia" w:hAnsi="宋体" w:cs="宋体"/>
                <w:color w:val="000000"/>
                <w:spacing w:val="-10"/>
                <w:sz w:val="21"/>
                <w:szCs w:val="21"/>
              </w:rPr>
            </w:pPr>
          </w:p>
        </w:tc>
        <w:tc>
          <w:tcPr>
            <w:tcW w:w="252" w:type="pct"/>
            <w:vMerge w:val="continue"/>
            <w:vAlign w:val="center"/>
          </w:tcPr>
          <w:p w14:paraId="0493B538">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3F26D6F">
            <w:pPr>
              <w:spacing w:line="0" w:lineRule="atLeast"/>
              <w:jc w:val="center"/>
              <w:rPr>
                <w:rFonts w:hint="eastAsia" w:hAnsi="宋体" w:cs="宋体"/>
                <w:color w:val="000000"/>
                <w:spacing w:val="-10"/>
                <w:sz w:val="21"/>
                <w:szCs w:val="21"/>
              </w:rPr>
            </w:pPr>
          </w:p>
        </w:tc>
        <w:tc>
          <w:tcPr>
            <w:tcW w:w="2544" w:type="pct"/>
            <w:vAlign w:val="center"/>
          </w:tcPr>
          <w:p w14:paraId="0D53184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2.3加快城镇生活污水处理设施建设和提标改造，加大配套管网建设力度，所有城市、县城以及重点独立建制镇均建成生活污水处理设施，污水处理率达到80%以上，达到相应排放标准或再生利用标准</w:t>
            </w:r>
          </w:p>
        </w:tc>
        <w:tc>
          <w:tcPr>
            <w:tcW w:w="1225" w:type="pct"/>
            <w:vAlign w:val="center"/>
          </w:tcPr>
          <w:p w14:paraId="602473D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r>
              <w:rPr>
                <w:rFonts w:hint="eastAsia" w:hAnsi="宋体" w:cs="宋体"/>
                <w:color w:val="000000"/>
                <w:spacing w:val="-10"/>
                <w:sz w:val="21"/>
                <w:szCs w:val="21"/>
                <w:lang w:bidi="zh-CN"/>
              </w:rPr>
              <w:t>不涉及</w:t>
            </w:r>
          </w:p>
        </w:tc>
        <w:tc>
          <w:tcPr>
            <w:tcW w:w="362" w:type="pct"/>
            <w:vAlign w:val="center"/>
          </w:tcPr>
          <w:p w14:paraId="68718D8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EFBDC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76" w:hRule="atLeast"/>
          <w:jc w:val="center"/>
        </w:trPr>
        <w:tc>
          <w:tcPr>
            <w:tcW w:w="387" w:type="pct"/>
            <w:vMerge w:val="continue"/>
            <w:vAlign w:val="center"/>
          </w:tcPr>
          <w:p w14:paraId="789FD92E">
            <w:pPr>
              <w:spacing w:line="0" w:lineRule="atLeast"/>
              <w:jc w:val="center"/>
              <w:rPr>
                <w:rFonts w:hint="eastAsia" w:hAnsi="宋体" w:cs="宋体"/>
                <w:color w:val="000000"/>
                <w:spacing w:val="-10"/>
                <w:sz w:val="21"/>
                <w:szCs w:val="21"/>
              </w:rPr>
            </w:pPr>
          </w:p>
        </w:tc>
        <w:tc>
          <w:tcPr>
            <w:tcW w:w="252" w:type="pct"/>
            <w:vMerge w:val="continue"/>
            <w:vAlign w:val="center"/>
          </w:tcPr>
          <w:p w14:paraId="7ECE54FB">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7185FD54">
            <w:pPr>
              <w:spacing w:line="0" w:lineRule="atLeast"/>
              <w:jc w:val="center"/>
              <w:rPr>
                <w:rFonts w:hint="eastAsia" w:hAnsi="宋体" w:cs="宋体"/>
                <w:color w:val="000000"/>
                <w:spacing w:val="-10"/>
                <w:sz w:val="21"/>
                <w:szCs w:val="21"/>
              </w:rPr>
            </w:pPr>
          </w:p>
        </w:tc>
        <w:tc>
          <w:tcPr>
            <w:tcW w:w="2544" w:type="pct"/>
            <w:vAlign w:val="center"/>
          </w:tcPr>
          <w:p w14:paraId="54A0978B">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2.4实施加油站、油库等油气回收综合治理工程，减少挥发性有机物排放。推进有</w:t>
            </w:r>
            <w:r>
              <w:rPr>
                <w:rFonts w:ascii="宋体" w:hAnsi="宋体" w:cs="宋体"/>
                <w:b w:val="0"/>
                <w:color w:val="000000"/>
                <w:spacing w:val="-10"/>
                <w:sz w:val="21"/>
                <w:szCs w:val="21"/>
              </w:rPr>
              <w:cr/>
            </w:r>
            <w:r>
              <w:rPr>
                <w:rFonts w:ascii="宋体" w:hAnsi="宋体" w:cs="宋体"/>
                <w:b w:val="0"/>
                <w:color w:val="000000"/>
                <w:spacing w:val="-10"/>
                <w:sz w:val="21"/>
                <w:szCs w:val="21"/>
              </w:rPr>
              <w:t>毒废气排放工业企业</w:t>
            </w:r>
            <w:r>
              <w:rPr>
                <w:rFonts w:ascii="宋体" w:hAnsi="宋体" w:cs="宋体"/>
                <w:b w:val="0"/>
                <w:color w:val="000000"/>
                <w:spacing w:val="-10"/>
                <w:sz w:val="21"/>
                <w:szCs w:val="21"/>
              </w:rPr>
              <w:cr/>
            </w:r>
            <w:r>
              <w:rPr>
                <w:rFonts w:ascii="宋体" w:hAnsi="宋体" w:cs="宋体"/>
                <w:b w:val="0"/>
                <w:color w:val="000000"/>
                <w:spacing w:val="-10"/>
                <w:sz w:val="21"/>
                <w:szCs w:val="21"/>
              </w:rPr>
              <w:t>的工艺技术改进，开展重点行业有毒废气监测，减少含汞、铅、二噁英等有毒有害废气的排放</w:t>
            </w:r>
          </w:p>
        </w:tc>
        <w:tc>
          <w:tcPr>
            <w:tcW w:w="1225" w:type="pct"/>
            <w:vAlign w:val="center"/>
          </w:tcPr>
          <w:p w14:paraId="46D2CF0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2" w:type="pct"/>
            <w:vAlign w:val="center"/>
          </w:tcPr>
          <w:p w14:paraId="614558A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C93E1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49" w:hRule="atLeast"/>
          <w:jc w:val="center"/>
        </w:trPr>
        <w:tc>
          <w:tcPr>
            <w:tcW w:w="387" w:type="pct"/>
            <w:vMerge w:val="continue"/>
            <w:vAlign w:val="center"/>
          </w:tcPr>
          <w:p w14:paraId="0D562CB4">
            <w:pPr>
              <w:spacing w:line="0" w:lineRule="atLeast"/>
              <w:jc w:val="center"/>
              <w:rPr>
                <w:rFonts w:hint="eastAsia" w:hAnsi="宋体" w:cs="宋体"/>
                <w:color w:val="000000"/>
                <w:spacing w:val="-10"/>
                <w:sz w:val="21"/>
                <w:szCs w:val="21"/>
              </w:rPr>
            </w:pPr>
          </w:p>
        </w:tc>
        <w:tc>
          <w:tcPr>
            <w:tcW w:w="252" w:type="pct"/>
            <w:vMerge w:val="continue"/>
            <w:vAlign w:val="center"/>
          </w:tcPr>
          <w:p w14:paraId="1F7C943F">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721C77F">
            <w:pPr>
              <w:adjustRightInd w:val="0"/>
              <w:spacing w:line="0" w:lineRule="atLeast"/>
              <w:jc w:val="center"/>
              <w:rPr>
                <w:rFonts w:hint="eastAsia" w:hAnsi="宋体" w:cs="宋体"/>
                <w:color w:val="000000"/>
                <w:spacing w:val="-10"/>
                <w:sz w:val="21"/>
                <w:szCs w:val="21"/>
              </w:rPr>
            </w:pPr>
          </w:p>
        </w:tc>
        <w:tc>
          <w:tcPr>
            <w:tcW w:w="2544" w:type="pct"/>
            <w:vAlign w:val="center"/>
          </w:tcPr>
          <w:p w14:paraId="3EF5A3D0">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2.5加强源头水等重要水体保护，治理沿河矿山排放，加强水环境监管</w:t>
            </w:r>
          </w:p>
        </w:tc>
        <w:tc>
          <w:tcPr>
            <w:tcW w:w="1225" w:type="pct"/>
            <w:vAlign w:val="center"/>
          </w:tcPr>
          <w:p w14:paraId="4052457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2" w:type="pct"/>
            <w:vAlign w:val="center"/>
          </w:tcPr>
          <w:p w14:paraId="3FECDA8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46684CFA">
      <w:pPr>
        <w:spacing w:line="460" w:lineRule="exact"/>
        <w:ind w:firstLine="526" w:firstLineChars="200"/>
        <w:rPr>
          <w:rFonts w:hint="eastAsia" w:hAnsi="宋体" w:cs="宋体"/>
          <w:color w:val="000000"/>
          <w:szCs w:val="24"/>
        </w:rPr>
      </w:pPr>
      <w:r>
        <w:br w:type="page"/>
      </w:r>
      <w:r>
        <w:rPr>
          <w:rFonts w:hint="eastAsia" w:ascii="黑体" w:hAnsi="黑体" w:eastAsia="黑体" w:cs="宋体"/>
          <w:color w:val="000000"/>
          <w:szCs w:val="24"/>
        </w:rPr>
        <w:t>续表3.5-6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97"/>
        <w:gridCol w:w="454"/>
        <w:gridCol w:w="415"/>
        <w:gridCol w:w="4937"/>
        <w:gridCol w:w="1861"/>
        <w:gridCol w:w="651"/>
      </w:tblGrid>
      <w:tr w14:paraId="0E6630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Align w:val="center"/>
          </w:tcPr>
          <w:p w14:paraId="56B26B7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w:t>
            </w:r>
          </w:p>
          <w:p w14:paraId="4093983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3220" w:type="pct"/>
            <w:gridSpan w:val="3"/>
            <w:vAlign w:val="center"/>
          </w:tcPr>
          <w:p w14:paraId="655D7F5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032" w:type="pct"/>
            <w:vAlign w:val="center"/>
          </w:tcPr>
          <w:p w14:paraId="39E1C61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61" w:type="pct"/>
            <w:vAlign w:val="center"/>
          </w:tcPr>
          <w:p w14:paraId="435DDED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2EE7D9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restart"/>
            <w:vAlign w:val="center"/>
          </w:tcPr>
          <w:p w14:paraId="7EF8D122">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52" w:type="pct"/>
            <w:vMerge w:val="restart"/>
            <w:vAlign w:val="center"/>
          </w:tcPr>
          <w:p w14:paraId="03A8600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0" w:type="pct"/>
            <w:vMerge w:val="restart"/>
            <w:vAlign w:val="center"/>
          </w:tcPr>
          <w:p w14:paraId="19D3E07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污染排放管控</w:t>
            </w:r>
          </w:p>
        </w:tc>
        <w:tc>
          <w:tcPr>
            <w:tcW w:w="2738" w:type="pct"/>
            <w:vAlign w:val="center"/>
          </w:tcPr>
          <w:p w14:paraId="1DD7ABAF">
            <w:pPr>
              <w:pStyle w:val="34"/>
              <w:spacing w:line="260" w:lineRule="exact"/>
              <w:rPr>
                <w:rFonts w:ascii="宋体" w:hAnsi="宋体" w:cs="宋体"/>
                <w:b w:val="0"/>
                <w:color w:val="000000"/>
                <w:spacing w:val="-10"/>
                <w:sz w:val="21"/>
                <w:szCs w:val="21"/>
              </w:rPr>
            </w:pPr>
            <w:r>
              <w:rPr>
                <w:rFonts w:ascii="宋体" w:hAnsi="宋体" w:cs="宋体"/>
                <w:b w:val="0"/>
                <w:color w:val="000000"/>
                <w:spacing w:val="-10"/>
                <w:sz w:val="21"/>
                <w:szCs w:val="21"/>
              </w:rPr>
              <w:t>2.6制定造纸、丝织业、纺织业和食品加工业等行业专项治理方案，实施清洁化改造，新建、改建、扩建上述行业建设项目实行主要污染物排放等量或减量置换</w:t>
            </w:r>
          </w:p>
        </w:tc>
        <w:tc>
          <w:tcPr>
            <w:tcW w:w="1032" w:type="pct"/>
            <w:vAlign w:val="center"/>
          </w:tcPr>
          <w:p w14:paraId="379C76A9">
            <w:pPr>
              <w:adjustRightInd w:val="0"/>
              <w:spacing w:line="260" w:lineRule="exac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1EECFBC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78FCC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30F62795">
            <w:pPr>
              <w:spacing w:line="0" w:lineRule="atLeast"/>
              <w:jc w:val="center"/>
              <w:rPr>
                <w:rFonts w:hint="eastAsia" w:hAnsi="宋体" w:cs="宋体"/>
                <w:color w:val="000000"/>
                <w:spacing w:val="-10"/>
                <w:sz w:val="21"/>
                <w:szCs w:val="21"/>
              </w:rPr>
            </w:pPr>
          </w:p>
        </w:tc>
        <w:tc>
          <w:tcPr>
            <w:tcW w:w="252" w:type="pct"/>
            <w:vMerge w:val="continue"/>
            <w:vAlign w:val="center"/>
          </w:tcPr>
          <w:p w14:paraId="7CC11CEA">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0D4ECC42">
            <w:pPr>
              <w:adjustRightInd w:val="0"/>
              <w:spacing w:line="0" w:lineRule="atLeast"/>
              <w:jc w:val="center"/>
              <w:rPr>
                <w:rFonts w:hint="eastAsia" w:hAnsi="宋体" w:cs="宋体"/>
                <w:color w:val="000000"/>
                <w:spacing w:val="-10"/>
                <w:sz w:val="21"/>
                <w:szCs w:val="21"/>
              </w:rPr>
            </w:pPr>
          </w:p>
        </w:tc>
        <w:tc>
          <w:tcPr>
            <w:tcW w:w="2738" w:type="pct"/>
            <w:vAlign w:val="center"/>
          </w:tcPr>
          <w:p w14:paraId="11A5A7E3">
            <w:pPr>
              <w:pStyle w:val="34"/>
              <w:spacing w:line="260" w:lineRule="exact"/>
              <w:rPr>
                <w:rFonts w:ascii="宋体" w:hAnsi="宋体" w:cs="宋体"/>
                <w:b w:val="0"/>
                <w:color w:val="000000"/>
                <w:spacing w:val="-10"/>
                <w:sz w:val="21"/>
                <w:szCs w:val="21"/>
              </w:rPr>
            </w:pPr>
            <w:r>
              <w:rPr>
                <w:rFonts w:ascii="宋体" w:hAnsi="宋体" w:cs="宋体"/>
                <w:b w:val="0"/>
                <w:color w:val="000000"/>
                <w:spacing w:val="-10"/>
                <w:sz w:val="21"/>
                <w:szCs w:val="21"/>
              </w:rPr>
              <w:t>2.7对超标、超总量排污和使用、排放有毒有害物质的企业实施强制性清洁生产审核，扩大自愿性清洁生产审核范围，强化对重点行业强制性清洁生产审核及评估验收</w:t>
            </w:r>
          </w:p>
        </w:tc>
        <w:tc>
          <w:tcPr>
            <w:tcW w:w="1032" w:type="pct"/>
            <w:vAlign w:val="center"/>
          </w:tcPr>
          <w:p w14:paraId="66C34E30">
            <w:pPr>
              <w:adjustRightInd w:val="0"/>
              <w:spacing w:line="260" w:lineRule="exac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6486260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0A9D18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B6F6F0C">
            <w:pPr>
              <w:spacing w:line="0" w:lineRule="atLeast"/>
              <w:jc w:val="center"/>
              <w:rPr>
                <w:rFonts w:hint="eastAsia" w:hAnsi="宋体" w:cs="宋体"/>
                <w:color w:val="000000"/>
                <w:spacing w:val="-10"/>
                <w:sz w:val="21"/>
                <w:szCs w:val="21"/>
              </w:rPr>
            </w:pPr>
          </w:p>
        </w:tc>
        <w:tc>
          <w:tcPr>
            <w:tcW w:w="252" w:type="pct"/>
            <w:vMerge w:val="continue"/>
            <w:vAlign w:val="center"/>
          </w:tcPr>
          <w:p w14:paraId="21A73152">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F5F1CB2">
            <w:pPr>
              <w:adjustRightInd w:val="0"/>
              <w:spacing w:line="0" w:lineRule="atLeast"/>
              <w:jc w:val="center"/>
              <w:rPr>
                <w:rFonts w:hint="eastAsia" w:hAnsi="宋体" w:cs="宋体"/>
                <w:color w:val="000000"/>
                <w:spacing w:val="-10"/>
                <w:sz w:val="21"/>
                <w:szCs w:val="21"/>
              </w:rPr>
            </w:pPr>
          </w:p>
        </w:tc>
        <w:tc>
          <w:tcPr>
            <w:tcW w:w="2738" w:type="pct"/>
            <w:vAlign w:val="center"/>
          </w:tcPr>
          <w:p w14:paraId="39A9A084">
            <w:pPr>
              <w:pStyle w:val="34"/>
              <w:spacing w:line="260" w:lineRule="exact"/>
              <w:rPr>
                <w:rFonts w:ascii="宋体" w:hAnsi="宋体" w:cs="宋体"/>
                <w:b w:val="0"/>
                <w:color w:val="000000"/>
                <w:spacing w:val="-10"/>
                <w:sz w:val="21"/>
                <w:szCs w:val="21"/>
              </w:rPr>
            </w:pPr>
            <w:r>
              <w:rPr>
                <w:rFonts w:ascii="宋体" w:hAnsi="宋体" w:cs="宋体"/>
                <w:b w:val="0"/>
                <w:color w:val="000000"/>
                <w:spacing w:val="-10"/>
                <w:sz w:val="21"/>
                <w:szCs w:val="21"/>
              </w:rPr>
              <w:t>2.8对重点排污企业排污口安装自动监控装置，与和田地区污染源监控中心联网，实行实时监控、动态管理</w:t>
            </w:r>
          </w:p>
        </w:tc>
        <w:tc>
          <w:tcPr>
            <w:tcW w:w="1032" w:type="pct"/>
            <w:vAlign w:val="center"/>
          </w:tcPr>
          <w:p w14:paraId="233AE084">
            <w:pPr>
              <w:adjustRightInd w:val="0"/>
              <w:spacing w:line="260" w:lineRule="exac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671DB7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812B2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67AE29E3">
            <w:pPr>
              <w:spacing w:line="0" w:lineRule="atLeast"/>
              <w:jc w:val="center"/>
              <w:rPr>
                <w:rFonts w:hint="eastAsia" w:hAnsi="宋体" w:cs="宋体"/>
                <w:color w:val="000000"/>
                <w:spacing w:val="-10"/>
                <w:sz w:val="21"/>
                <w:szCs w:val="21"/>
              </w:rPr>
            </w:pPr>
          </w:p>
        </w:tc>
        <w:tc>
          <w:tcPr>
            <w:tcW w:w="252" w:type="pct"/>
            <w:vMerge w:val="continue"/>
            <w:vAlign w:val="center"/>
          </w:tcPr>
          <w:p w14:paraId="67DFC35F">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C83E2C4">
            <w:pPr>
              <w:spacing w:line="0" w:lineRule="atLeast"/>
              <w:jc w:val="center"/>
              <w:rPr>
                <w:rFonts w:hint="eastAsia" w:hAnsi="宋体" w:cs="宋体"/>
                <w:color w:val="000000"/>
                <w:spacing w:val="-10"/>
                <w:sz w:val="21"/>
                <w:szCs w:val="21"/>
              </w:rPr>
            </w:pPr>
          </w:p>
        </w:tc>
        <w:tc>
          <w:tcPr>
            <w:tcW w:w="2738" w:type="pct"/>
            <w:vAlign w:val="center"/>
          </w:tcPr>
          <w:p w14:paraId="6557A2E1">
            <w:pPr>
              <w:pStyle w:val="34"/>
              <w:spacing w:line="260" w:lineRule="exact"/>
              <w:rPr>
                <w:rFonts w:ascii="宋体" w:hAnsi="宋体" w:cs="宋体"/>
                <w:b w:val="0"/>
                <w:color w:val="000000"/>
                <w:spacing w:val="-10"/>
                <w:sz w:val="21"/>
                <w:szCs w:val="21"/>
              </w:rPr>
            </w:pPr>
            <w:r>
              <w:rPr>
                <w:rFonts w:ascii="宋体" w:hAnsi="宋体" w:cs="宋体"/>
                <w:b w:val="0"/>
                <w:color w:val="000000"/>
                <w:spacing w:val="-10"/>
                <w:sz w:val="21"/>
                <w:szCs w:val="21"/>
              </w:rPr>
              <w:t>2.9加大河道管理力度，依法严厉查处沿河道乱倒生活垃圾、乱排生活污水和工业企业偷排漏排等违法行为</w:t>
            </w:r>
          </w:p>
        </w:tc>
        <w:tc>
          <w:tcPr>
            <w:tcW w:w="1032" w:type="pct"/>
            <w:vAlign w:val="center"/>
          </w:tcPr>
          <w:p w14:paraId="52F6FE79">
            <w:pPr>
              <w:adjustRightInd w:val="0"/>
              <w:spacing w:line="260" w:lineRule="exac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107DE85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D583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2C3680F4">
            <w:pPr>
              <w:spacing w:line="0" w:lineRule="atLeast"/>
              <w:jc w:val="center"/>
              <w:rPr>
                <w:rFonts w:hint="eastAsia" w:hAnsi="宋体" w:cs="宋体"/>
                <w:color w:val="000000"/>
                <w:spacing w:val="-10"/>
                <w:kern w:val="0"/>
                <w:sz w:val="21"/>
                <w:szCs w:val="21"/>
              </w:rPr>
            </w:pPr>
          </w:p>
        </w:tc>
        <w:tc>
          <w:tcPr>
            <w:tcW w:w="252" w:type="pct"/>
            <w:vMerge w:val="continue"/>
            <w:vAlign w:val="center"/>
          </w:tcPr>
          <w:p w14:paraId="7ED21C5E">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3591F8E0">
            <w:pPr>
              <w:spacing w:line="0" w:lineRule="atLeast"/>
              <w:jc w:val="center"/>
              <w:rPr>
                <w:rFonts w:hint="eastAsia" w:hAnsi="宋体" w:cs="宋体"/>
                <w:color w:val="000000"/>
                <w:spacing w:val="-10"/>
                <w:sz w:val="21"/>
                <w:szCs w:val="21"/>
              </w:rPr>
            </w:pPr>
          </w:p>
        </w:tc>
        <w:tc>
          <w:tcPr>
            <w:tcW w:w="2738" w:type="pct"/>
            <w:vAlign w:val="center"/>
          </w:tcPr>
          <w:p w14:paraId="19EBB972">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2.10严格执行建设项目环评审批与区</w:t>
            </w:r>
            <w:r>
              <w:rPr>
                <w:rFonts w:ascii="宋体" w:hAnsi="宋体" w:cs="宋体"/>
                <w:b w:val="0"/>
                <w:color w:val="000000"/>
                <w:spacing w:val="-10"/>
                <w:sz w:val="21"/>
                <w:szCs w:val="21"/>
              </w:rPr>
              <w:cr/>
            </w:r>
            <w:r>
              <w:rPr>
                <w:rFonts w:ascii="宋体" w:hAnsi="宋体" w:cs="宋体"/>
                <w:b w:val="0"/>
                <w:color w:val="000000"/>
                <w:spacing w:val="-10"/>
                <w:sz w:val="21"/>
                <w:szCs w:val="21"/>
              </w:rPr>
              <w:t>域环质量质</w:t>
            </w:r>
            <w:r>
              <w:rPr>
                <w:rFonts w:ascii="宋体" w:hAnsi="宋体" w:cs="宋体"/>
                <w:b w:val="0"/>
                <w:color w:val="000000"/>
                <w:spacing w:val="-10"/>
                <w:sz w:val="21"/>
                <w:szCs w:val="21"/>
              </w:rPr>
              <w:cr/>
            </w:r>
            <w:r>
              <w:rPr>
                <w:rFonts w:ascii="宋体" w:hAnsi="宋体" w:cs="宋体"/>
                <w:b w:val="0"/>
                <w:color w:val="000000"/>
                <w:spacing w:val="-10"/>
                <w:sz w:val="21"/>
                <w:szCs w:val="21"/>
              </w:rPr>
              <w:t>、污染减排绩效挂钩制度，实行“以新”“、“增产减污”和“区域削减替代”的总量平衡政策和替代削减标准</w:t>
            </w:r>
          </w:p>
        </w:tc>
        <w:tc>
          <w:tcPr>
            <w:tcW w:w="1032" w:type="pct"/>
            <w:vAlign w:val="center"/>
          </w:tcPr>
          <w:p w14:paraId="1AAE08F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0E99F98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25AF1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230F3696">
            <w:pPr>
              <w:spacing w:line="0" w:lineRule="atLeast"/>
              <w:jc w:val="center"/>
              <w:rPr>
                <w:rFonts w:hint="eastAsia" w:hAnsi="宋体" w:cs="宋体"/>
                <w:color w:val="000000"/>
                <w:spacing w:val="-10"/>
                <w:kern w:val="0"/>
                <w:sz w:val="21"/>
                <w:szCs w:val="21"/>
              </w:rPr>
            </w:pPr>
          </w:p>
        </w:tc>
        <w:tc>
          <w:tcPr>
            <w:tcW w:w="252" w:type="pct"/>
            <w:vMerge w:val="continue"/>
            <w:vAlign w:val="center"/>
          </w:tcPr>
          <w:p w14:paraId="32A34607">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096218ED">
            <w:pPr>
              <w:spacing w:line="0" w:lineRule="atLeast"/>
              <w:jc w:val="center"/>
              <w:rPr>
                <w:rFonts w:hint="eastAsia" w:hAnsi="宋体" w:cs="宋体"/>
                <w:color w:val="000000"/>
                <w:spacing w:val="-10"/>
                <w:sz w:val="21"/>
                <w:szCs w:val="21"/>
              </w:rPr>
            </w:pPr>
          </w:p>
        </w:tc>
        <w:tc>
          <w:tcPr>
            <w:tcW w:w="2738" w:type="pct"/>
            <w:vAlign w:val="center"/>
          </w:tcPr>
          <w:p w14:paraId="5194CEC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2.11严格控制污染物新增排放量，对超过重点污染物排放总量控制指标的地区，暂停审批新增重点污染物排放总量的项目</w:t>
            </w:r>
          </w:p>
        </w:tc>
        <w:tc>
          <w:tcPr>
            <w:tcW w:w="1032" w:type="pct"/>
            <w:vAlign w:val="center"/>
          </w:tcPr>
          <w:p w14:paraId="15E389B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073D21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AC2E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42FA9CC0">
            <w:pPr>
              <w:spacing w:line="0" w:lineRule="atLeast"/>
              <w:jc w:val="center"/>
              <w:rPr>
                <w:rFonts w:hint="eastAsia" w:hAnsi="宋体" w:cs="宋体"/>
                <w:color w:val="000000"/>
                <w:spacing w:val="-10"/>
                <w:kern w:val="0"/>
                <w:sz w:val="21"/>
                <w:szCs w:val="21"/>
              </w:rPr>
            </w:pPr>
          </w:p>
        </w:tc>
        <w:tc>
          <w:tcPr>
            <w:tcW w:w="252" w:type="pct"/>
            <w:vMerge w:val="continue"/>
            <w:vAlign w:val="center"/>
          </w:tcPr>
          <w:p w14:paraId="1069BD88">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402A2595">
            <w:pPr>
              <w:spacing w:line="0" w:lineRule="atLeast"/>
              <w:jc w:val="center"/>
              <w:rPr>
                <w:rFonts w:hint="eastAsia" w:hAnsi="宋体" w:cs="宋体"/>
                <w:color w:val="000000"/>
                <w:spacing w:val="-10"/>
                <w:sz w:val="21"/>
                <w:szCs w:val="21"/>
              </w:rPr>
            </w:pPr>
          </w:p>
        </w:tc>
        <w:tc>
          <w:tcPr>
            <w:tcW w:w="2738" w:type="pct"/>
            <w:vAlign w:val="center"/>
          </w:tcPr>
          <w:p w14:paraId="75A18C2A">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2.12环境容量较小、生态环境脆弱，环境风险高的地区，应执行水污染物特别排放限值</w:t>
            </w:r>
          </w:p>
        </w:tc>
        <w:tc>
          <w:tcPr>
            <w:tcW w:w="1032" w:type="pct"/>
            <w:vAlign w:val="center"/>
          </w:tcPr>
          <w:p w14:paraId="16AFFC0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7263E87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BC4DD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3FEAD5DB">
            <w:pPr>
              <w:spacing w:line="0" w:lineRule="atLeast"/>
              <w:jc w:val="center"/>
              <w:rPr>
                <w:rFonts w:hint="eastAsia" w:hAnsi="宋体" w:cs="宋体"/>
                <w:color w:val="000000"/>
                <w:spacing w:val="-10"/>
                <w:kern w:val="0"/>
                <w:sz w:val="21"/>
                <w:szCs w:val="21"/>
              </w:rPr>
            </w:pPr>
          </w:p>
        </w:tc>
        <w:tc>
          <w:tcPr>
            <w:tcW w:w="252" w:type="pct"/>
            <w:vMerge w:val="continue"/>
            <w:vAlign w:val="center"/>
          </w:tcPr>
          <w:p w14:paraId="6C3234BE">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7585170B">
            <w:pPr>
              <w:spacing w:line="0" w:lineRule="atLeast"/>
              <w:jc w:val="center"/>
              <w:rPr>
                <w:rFonts w:hint="eastAsia" w:hAnsi="宋体" w:cs="宋体"/>
                <w:color w:val="000000"/>
                <w:spacing w:val="-10"/>
                <w:sz w:val="21"/>
                <w:szCs w:val="21"/>
              </w:rPr>
            </w:pPr>
          </w:p>
        </w:tc>
        <w:tc>
          <w:tcPr>
            <w:tcW w:w="2738" w:type="pct"/>
            <w:vAlign w:val="center"/>
          </w:tcPr>
          <w:p w14:paraId="5A95888F">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2.13加强对有色金属矿采选与有色金属冶炼及压延加工业、皮革、毛皮、羽毛（绒）及其制品业、化学原料及化学制品制造业、电镀、铅蓄电</w:t>
            </w:r>
            <w:r>
              <w:rPr>
                <w:rFonts w:ascii="宋体" w:hAnsi="宋体" w:cs="宋体"/>
                <w:b w:val="0"/>
                <w:color w:val="000000"/>
                <w:spacing w:val="-10"/>
                <w:sz w:val="21"/>
                <w:szCs w:val="21"/>
              </w:rPr>
              <w:cr/>
            </w:r>
            <w:r>
              <w:rPr>
                <w:rFonts w:ascii="宋体" w:hAnsi="宋体" w:cs="宋体"/>
                <w:b w:val="0"/>
                <w:color w:val="000000"/>
                <w:spacing w:val="-10"/>
                <w:sz w:val="21"/>
                <w:szCs w:val="21"/>
              </w:rPr>
              <w:t>制造行业等五大类涉及重金属排放行业的管理，原则上和田地区内新增以上五大类行业涉及排放铅（Pb）、汞（Hg）、镉（Cd）、铬（Cr）和类金属砷（As）五类重金属污染物的企业仅限布局于洛浦县的和田循环经济工业园区内</w:t>
            </w:r>
          </w:p>
        </w:tc>
        <w:tc>
          <w:tcPr>
            <w:tcW w:w="1032" w:type="pct"/>
            <w:vAlign w:val="center"/>
          </w:tcPr>
          <w:p w14:paraId="24B8EBA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1" w:type="pct"/>
            <w:vAlign w:val="center"/>
          </w:tcPr>
          <w:p w14:paraId="581A5C7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287C6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3BFE7C34">
            <w:pPr>
              <w:spacing w:line="0" w:lineRule="atLeast"/>
              <w:jc w:val="center"/>
              <w:rPr>
                <w:rFonts w:hint="eastAsia" w:hAnsi="宋体" w:cs="宋体"/>
                <w:color w:val="000000"/>
                <w:spacing w:val="-10"/>
                <w:sz w:val="21"/>
                <w:szCs w:val="21"/>
              </w:rPr>
            </w:pPr>
          </w:p>
        </w:tc>
        <w:tc>
          <w:tcPr>
            <w:tcW w:w="252" w:type="pct"/>
            <w:vMerge w:val="continue"/>
            <w:vAlign w:val="center"/>
          </w:tcPr>
          <w:p w14:paraId="3B4438A8">
            <w:pPr>
              <w:adjustRightInd w:val="0"/>
              <w:spacing w:line="0" w:lineRule="atLeast"/>
              <w:jc w:val="center"/>
              <w:rPr>
                <w:rFonts w:hint="eastAsia" w:hAnsi="宋体" w:cs="宋体"/>
                <w:color w:val="000000"/>
                <w:spacing w:val="-10"/>
                <w:sz w:val="21"/>
                <w:szCs w:val="21"/>
              </w:rPr>
            </w:pPr>
          </w:p>
        </w:tc>
        <w:tc>
          <w:tcPr>
            <w:tcW w:w="230" w:type="pct"/>
            <w:vMerge w:val="restart"/>
            <w:vAlign w:val="center"/>
          </w:tcPr>
          <w:p w14:paraId="05DC26F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环境风险防控</w:t>
            </w:r>
          </w:p>
        </w:tc>
        <w:tc>
          <w:tcPr>
            <w:tcW w:w="2738" w:type="pct"/>
            <w:vAlign w:val="center"/>
          </w:tcPr>
          <w:p w14:paraId="4788D14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3.1严格执行自治区总体准入要求中“A3 环境风险防控”和南疆三地州片区总体管控要求中“</w:t>
            </w:r>
            <w:r>
              <w:rPr>
                <w:rFonts w:ascii="宋体" w:hAnsi="宋体" w:cs="宋体"/>
                <w:b w:val="0"/>
                <w:color w:val="000000"/>
                <w:spacing w:val="-10"/>
                <w:sz w:val="21"/>
                <w:szCs w:val="21"/>
              </w:rPr>
              <w:cr/>
            </w:r>
            <w:r>
              <w:rPr>
                <w:rFonts w:ascii="宋体" w:hAnsi="宋体" w:cs="宋体"/>
                <w:b w:val="0"/>
                <w:color w:val="000000"/>
                <w:spacing w:val="-10"/>
                <w:sz w:val="21"/>
                <w:szCs w:val="21"/>
              </w:rPr>
              <w:t>3 环境风险防控”管控要求</w:t>
            </w:r>
            <w:r>
              <w:rPr>
                <w:rFonts w:ascii="宋体" w:hAnsi="宋体" w:cs="宋体"/>
                <w:b w:val="0"/>
                <w:color w:val="000000"/>
                <w:spacing w:val="-10"/>
                <w:sz w:val="21"/>
                <w:szCs w:val="21"/>
              </w:rPr>
              <w:cr/>
            </w:r>
          </w:p>
        </w:tc>
        <w:tc>
          <w:tcPr>
            <w:tcW w:w="1032" w:type="pct"/>
            <w:vAlign w:val="center"/>
          </w:tcPr>
          <w:p w14:paraId="23F48D77">
            <w:pPr>
              <w:spacing w:line="0" w:lineRule="atLeast"/>
              <w:jc w:val="center"/>
              <w:rPr>
                <w:rFonts w:hint="eastAsia" w:hAnsi="宋体" w:cs="宋体"/>
                <w:color w:val="000000"/>
                <w:spacing w:val="-15"/>
                <w:sz w:val="21"/>
                <w:szCs w:val="21"/>
              </w:rPr>
            </w:pPr>
            <w:r>
              <w:rPr>
                <w:rFonts w:hint="eastAsia" w:hAnsi="宋体" w:cs="宋体"/>
                <w:color w:val="000000"/>
                <w:spacing w:val="-15"/>
                <w:sz w:val="21"/>
                <w:szCs w:val="21"/>
              </w:rPr>
              <w:t>项目符合自治区总体准入要求中“A3 环境风险防控”和南疆三地州片区总体管控要求中“B3 环境风险防控”管控要求</w:t>
            </w:r>
          </w:p>
        </w:tc>
        <w:tc>
          <w:tcPr>
            <w:tcW w:w="361" w:type="pct"/>
            <w:vAlign w:val="center"/>
          </w:tcPr>
          <w:p w14:paraId="5BA14F9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054D8B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1FA0EE0B">
            <w:pPr>
              <w:spacing w:line="0" w:lineRule="atLeast"/>
              <w:jc w:val="center"/>
              <w:rPr>
                <w:rFonts w:hint="eastAsia" w:hAnsi="宋体" w:cs="宋体"/>
                <w:color w:val="000000"/>
                <w:spacing w:val="-10"/>
                <w:kern w:val="0"/>
                <w:sz w:val="21"/>
                <w:szCs w:val="21"/>
              </w:rPr>
            </w:pPr>
          </w:p>
        </w:tc>
        <w:tc>
          <w:tcPr>
            <w:tcW w:w="252" w:type="pct"/>
            <w:vMerge w:val="continue"/>
            <w:vAlign w:val="center"/>
          </w:tcPr>
          <w:p w14:paraId="048F3888">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6B85C8D6">
            <w:pPr>
              <w:spacing w:line="0" w:lineRule="atLeast"/>
              <w:jc w:val="center"/>
              <w:rPr>
                <w:rFonts w:hint="eastAsia" w:hAnsi="宋体" w:cs="宋体"/>
                <w:color w:val="000000"/>
                <w:spacing w:val="-10"/>
                <w:sz w:val="21"/>
                <w:szCs w:val="21"/>
              </w:rPr>
            </w:pPr>
          </w:p>
        </w:tc>
        <w:tc>
          <w:tcPr>
            <w:tcW w:w="2738" w:type="pct"/>
            <w:vAlign w:val="center"/>
          </w:tcPr>
          <w:p w14:paraId="7B2A2980">
            <w:pPr>
              <w:spacing w:line="0" w:lineRule="atLeast"/>
              <w:rPr>
                <w:rFonts w:hint="eastAsia" w:hAnsi="宋体" w:cs="宋体"/>
                <w:color w:val="000000"/>
                <w:spacing w:val="-10"/>
                <w:sz w:val="21"/>
                <w:szCs w:val="21"/>
              </w:rPr>
            </w:pPr>
            <w:r>
              <w:rPr>
                <w:rFonts w:hint="eastAsia" w:hAnsi="宋体" w:cs="宋体"/>
                <w:color w:val="000000"/>
                <w:spacing w:val="-10"/>
                <w:sz w:val="21"/>
                <w:szCs w:val="21"/>
              </w:rPr>
              <w:t>3.2落实企业防范环境风险主体责任，建立企业突发环境事件报告和应急处理制度</w:t>
            </w:r>
          </w:p>
        </w:tc>
        <w:tc>
          <w:tcPr>
            <w:tcW w:w="1032" w:type="pct"/>
            <w:vAlign w:val="center"/>
          </w:tcPr>
          <w:p w14:paraId="3F47A17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拟建工程按规定完善现有的突发环境事件应急预案</w:t>
            </w:r>
          </w:p>
        </w:tc>
        <w:tc>
          <w:tcPr>
            <w:tcW w:w="361" w:type="pct"/>
            <w:vAlign w:val="center"/>
          </w:tcPr>
          <w:p w14:paraId="046E009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19D74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186FD243">
            <w:pPr>
              <w:spacing w:line="0" w:lineRule="atLeast"/>
              <w:jc w:val="center"/>
              <w:rPr>
                <w:rFonts w:hint="eastAsia" w:hAnsi="宋体" w:cs="宋体"/>
                <w:color w:val="000000"/>
                <w:spacing w:val="-10"/>
                <w:kern w:val="0"/>
                <w:sz w:val="21"/>
                <w:szCs w:val="21"/>
              </w:rPr>
            </w:pPr>
          </w:p>
        </w:tc>
        <w:tc>
          <w:tcPr>
            <w:tcW w:w="252" w:type="pct"/>
            <w:vMerge w:val="continue"/>
            <w:vAlign w:val="center"/>
          </w:tcPr>
          <w:p w14:paraId="71D9D781">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E565139">
            <w:pPr>
              <w:spacing w:line="0" w:lineRule="atLeast"/>
              <w:jc w:val="center"/>
              <w:rPr>
                <w:rFonts w:hint="eastAsia" w:hAnsi="宋体" w:cs="宋体"/>
                <w:color w:val="000000"/>
                <w:spacing w:val="-10"/>
                <w:sz w:val="21"/>
                <w:szCs w:val="21"/>
              </w:rPr>
            </w:pPr>
          </w:p>
        </w:tc>
        <w:tc>
          <w:tcPr>
            <w:tcW w:w="2738" w:type="pct"/>
            <w:vAlign w:val="center"/>
          </w:tcPr>
          <w:p w14:paraId="6F49EB88">
            <w:pPr>
              <w:spacing w:line="0" w:lineRule="atLeast"/>
              <w:rPr>
                <w:rFonts w:hint="eastAsia" w:hAnsi="宋体" w:cs="宋体"/>
                <w:color w:val="000000"/>
                <w:spacing w:val="-10"/>
                <w:sz w:val="21"/>
                <w:szCs w:val="21"/>
              </w:rPr>
            </w:pPr>
            <w:r>
              <w:rPr>
                <w:rFonts w:hint="eastAsia" w:hAnsi="宋体" w:cs="宋体"/>
                <w:color w:val="000000"/>
                <w:spacing w:val="-10"/>
                <w:sz w:val="21"/>
                <w:szCs w:val="21"/>
              </w:rPr>
              <w:t>3.3所有污染源排污状况得到监控</w:t>
            </w:r>
          </w:p>
        </w:tc>
        <w:tc>
          <w:tcPr>
            <w:tcW w:w="1032" w:type="pct"/>
            <w:vAlign w:val="center"/>
          </w:tcPr>
          <w:p w14:paraId="73A77E4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拟建工程运营期间无废气、废水、噪声、固废产生</w:t>
            </w:r>
          </w:p>
        </w:tc>
        <w:tc>
          <w:tcPr>
            <w:tcW w:w="361" w:type="pct"/>
            <w:vAlign w:val="center"/>
          </w:tcPr>
          <w:p w14:paraId="204F26D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A1BA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Merge w:val="continue"/>
            <w:vAlign w:val="center"/>
          </w:tcPr>
          <w:p w14:paraId="7D368CFF">
            <w:pPr>
              <w:spacing w:line="0" w:lineRule="atLeast"/>
              <w:jc w:val="center"/>
              <w:rPr>
                <w:rFonts w:hint="eastAsia" w:hAnsi="宋体" w:cs="宋体"/>
                <w:color w:val="000000"/>
                <w:spacing w:val="-10"/>
                <w:kern w:val="0"/>
                <w:sz w:val="21"/>
                <w:szCs w:val="21"/>
              </w:rPr>
            </w:pPr>
          </w:p>
        </w:tc>
        <w:tc>
          <w:tcPr>
            <w:tcW w:w="252" w:type="pct"/>
            <w:vMerge w:val="continue"/>
            <w:vAlign w:val="center"/>
          </w:tcPr>
          <w:p w14:paraId="736CF006">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3BFCD6B6">
            <w:pPr>
              <w:spacing w:line="0" w:lineRule="atLeast"/>
              <w:jc w:val="center"/>
              <w:rPr>
                <w:rFonts w:hint="eastAsia" w:hAnsi="宋体" w:cs="宋体"/>
                <w:color w:val="000000"/>
                <w:spacing w:val="-10"/>
                <w:sz w:val="21"/>
                <w:szCs w:val="21"/>
              </w:rPr>
            </w:pPr>
          </w:p>
        </w:tc>
        <w:tc>
          <w:tcPr>
            <w:tcW w:w="2738" w:type="pct"/>
            <w:vAlign w:val="center"/>
          </w:tcPr>
          <w:p w14:paraId="29FF35BB">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3.4对使用和排放重金属、持久性有机污染物、危险废物和危险化学品的工业企业，实行分类管理和全过程监控</w:t>
            </w:r>
          </w:p>
        </w:tc>
        <w:tc>
          <w:tcPr>
            <w:tcW w:w="1032" w:type="pct"/>
            <w:vAlign w:val="center"/>
          </w:tcPr>
          <w:p w14:paraId="61BD0BE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拟建工程施工期产生的危险废物均交由具有危险废物处置单位处置，运营期无固废产生</w:t>
            </w:r>
          </w:p>
        </w:tc>
        <w:tc>
          <w:tcPr>
            <w:tcW w:w="361" w:type="pct"/>
            <w:vAlign w:val="center"/>
          </w:tcPr>
          <w:p w14:paraId="21E1C73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70E2B1FE">
      <w:pPr>
        <w:spacing w:line="460" w:lineRule="exact"/>
        <w:ind w:firstLine="526" w:firstLineChars="200"/>
        <w:rPr>
          <w:rFonts w:hint="eastAsia" w:hAnsi="宋体" w:cs="宋体"/>
          <w:color w:val="000000"/>
          <w:szCs w:val="24"/>
        </w:rPr>
      </w:pPr>
      <w:r>
        <w:br w:type="page"/>
      </w:r>
      <w:r>
        <w:rPr>
          <w:rFonts w:hint="eastAsia" w:ascii="黑体" w:hAnsi="黑体" w:eastAsia="黑体" w:cs="宋体"/>
          <w:color w:val="000000"/>
          <w:szCs w:val="24"/>
        </w:rPr>
        <w:t>续表3.5-6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98"/>
        <w:gridCol w:w="454"/>
        <w:gridCol w:w="415"/>
        <w:gridCol w:w="3994"/>
        <w:gridCol w:w="2805"/>
        <w:gridCol w:w="649"/>
      </w:tblGrid>
      <w:tr w14:paraId="259308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7" w:type="pct"/>
            <w:vAlign w:val="center"/>
          </w:tcPr>
          <w:p w14:paraId="577952D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w:t>
            </w:r>
          </w:p>
          <w:p w14:paraId="4B00E37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2697" w:type="pct"/>
            <w:gridSpan w:val="3"/>
            <w:vAlign w:val="center"/>
          </w:tcPr>
          <w:p w14:paraId="7EF63AE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556" w:type="pct"/>
            <w:vAlign w:val="center"/>
          </w:tcPr>
          <w:p w14:paraId="571084D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60" w:type="pct"/>
            <w:vAlign w:val="center"/>
          </w:tcPr>
          <w:p w14:paraId="7117CE1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6C166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08" w:hRule="atLeast"/>
          <w:jc w:val="center"/>
        </w:trPr>
        <w:tc>
          <w:tcPr>
            <w:tcW w:w="387" w:type="pct"/>
            <w:vMerge w:val="restart"/>
            <w:vAlign w:val="center"/>
          </w:tcPr>
          <w:p w14:paraId="3909D8CA">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52" w:type="pct"/>
            <w:vMerge w:val="restart"/>
            <w:vAlign w:val="center"/>
          </w:tcPr>
          <w:p w14:paraId="0AF21C4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0" w:type="pct"/>
            <w:vMerge w:val="restart"/>
            <w:vAlign w:val="center"/>
          </w:tcPr>
          <w:p w14:paraId="69C7460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环境风险防控</w:t>
            </w:r>
          </w:p>
        </w:tc>
        <w:tc>
          <w:tcPr>
            <w:tcW w:w="2215" w:type="pct"/>
            <w:vAlign w:val="center"/>
          </w:tcPr>
          <w:p w14:paraId="526CF4A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3.5建立政府主导、部门协调、分级负</w:t>
            </w:r>
            <w:r>
              <w:rPr>
                <w:rFonts w:ascii="宋体" w:hAnsi="宋体" w:cs="宋体"/>
                <w:b w:val="0"/>
                <w:color w:val="000000"/>
                <w:spacing w:val="-10"/>
                <w:sz w:val="21"/>
                <w:szCs w:val="21"/>
              </w:rPr>
              <w:cr/>
            </w:r>
            <w:r>
              <w:rPr>
                <w:rFonts w:ascii="宋体" w:hAnsi="宋体" w:cs="宋体"/>
                <w:b w:val="0"/>
                <w:color w:val="000000"/>
                <w:spacing w:val="-10"/>
                <w:sz w:val="21"/>
                <w:szCs w:val="21"/>
              </w:rPr>
              <w:t>责、属地为主、全社会参与的环境应急管理机制。制定完善环境突发事件应急预案，建立健全环境风险应急监测体系。强化环境应急救援能力建设，开展环境应急演练，提高环境风险应对能力</w:t>
            </w:r>
          </w:p>
        </w:tc>
        <w:tc>
          <w:tcPr>
            <w:tcW w:w="1556" w:type="pct"/>
            <w:vAlign w:val="center"/>
          </w:tcPr>
          <w:p w14:paraId="187EB9DB">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拟建工程按规定完善现有的突发环境事件应急预案，后续按照应急预案要求定期开展应急演练</w:t>
            </w:r>
          </w:p>
        </w:tc>
        <w:tc>
          <w:tcPr>
            <w:tcW w:w="360" w:type="pct"/>
            <w:vAlign w:val="center"/>
          </w:tcPr>
          <w:p w14:paraId="64C1BDD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17750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20" w:hRule="atLeast"/>
          <w:jc w:val="center"/>
        </w:trPr>
        <w:tc>
          <w:tcPr>
            <w:tcW w:w="387" w:type="pct"/>
            <w:vMerge w:val="continue"/>
            <w:vAlign w:val="center"/>
          </w:tcPr>
          <w:p w14:paraId="269C6BC4">
            <w:pPr>
              <w:spacing w:line="0" w:lineRule="atLeast"/>
              <w:jc w:val="center"/>
              <w:rPr>
                <w:rFonts w:hint="eastAsia" w:hAnsi="宋体" w:cs="宋体"/>
                <w:color w:val="000000"/>
                <w:spacing w:val="-10"/>
                <w:sz w:val="21"/>
                <w:szCs w:val="21"/>
              </w:rPr>
            </w:pPr>
          </w:p>
        </w:tc>
        <w:tc>
          <w:tcPr>
            <w:tcW w:w="252" w:type="pct"/>
            <w:vMerge w:val="continue"/>
            <w:vAlign w:val="center"/>
          </w:tcPr>
          <w:p w14:paraId="78677A63">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05A48871">
            <w:pPr>
              <w:adjustRightInd w:val="0"/>
              <w:spacing w:line="0" w:lineRule="atLeast"/>
              <w:jc w:val="center"/>
              <w:rPr>
                <w:rFonts w:hint="eastAsia" w:hAnsi="宋体" w:cs="宋体"/>
                <w:color w:val="000000"/>
                <w:spacing w:val="-10"/>
                <w:sz w:val="21"/>
                <w:szCs w:val="21"/>
              </w:rPr>
            </w:pPr>
          </w:p>
        </w:tc>
        <w:tc>
          <w:tcPr>
            <w:tcW w:w="2215" w:type="pct"/>
            <w:vAlign w:val="center"/>
          </w:tcPr>
          <w:p w14:paraId="49CB5E9E">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3.6定期评估玉龙喀什河、喀拉喀什河、克里雅河、策勒河、尼雅河、皮山河周边工业企业、工业集聚区环境和健康风险，落实防控措施</w:t>
            </w:r>
          </w:p>
        </w:tc>
        <w:tc>
          <w:tcPr>
            <w:tcW w:w="1556" w:type="pct"/>
            <w:vAlign w:val="center"/>
          </w:tcPr>
          <w:p w14:paraId="07AD6FD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拟建工程周边无河流</w:t>
            </w:r>
          </w:p>
        </w:tc>
        <w:tc>
          <w:tcPr>
            <w:tcW w:w="360" w:type="pct"/>
            <w:vAlign w:val="center"/>
          </w:tcPr>
          <w:p w14:paraId="66137C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3F7BC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97" w:hRule="atLeast"/>
          <w:jc w:val="center"/>
        </w:trPr>
        <w:tc>
          <w:tcPr>
            <w:tcW w:w="387" w:type="pct"/>
            <w:vMerge w:val="continue"/>
            <w:vAlign w:val="center"/>
          </w:tcPr>
          <w:p w14:paraId="5C6BADCC">
            <w:pPr>
              <w:spacing w:line="0" w:lineRule="atLeast"/>
              <w:jc w:val="center"/>
              <w:rPr>
                <w:rFonts w:hint="eastAsia" w:hAnsi="宋体" w:cs="宋体"/>
                <w:color w:val="000000"/>
                <w:spacing w:val="-10"/>
                <w:sz w:val="21"/>
                <w:szCs w:val="21"/>
              </w:rPr>
            </w:pPr>
          </w:p>
        </w:tc>
        <w:tc>
          <w:tcPr>
            <w:tcW w:w="252" w:type="pct"/>
            <w:vMerge w:val="continue"/>
            <w:vAlign w:val="center"/>
          </w:tcPr>
          <w:p w14:paraId="29C73F03">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4B808CF3">
            <w:pPr>
              <w:adjustRightInd w:val="0"/>
              <w:spacing w:line="0" w:lineRule="atLeast"/>
              <w:jc w:val="center"/>
              <w:rPr>
                <w:rFonts w:hint="eastAsia" w:hAnsi="宋体" w:cs="宋体"/>
                <w:color w:val="000000"/>
                <w:spacing w:val="-10"/>
                <w:sz w:val="21"/>
                <w:szCs w:val="21"/>
              </w:rPr>
            </w:pPr>
          </w:p>
        </w:tc>
        <w:tc>
          <w:tcPr>
            <w:tcW w:w="2215" w:type="pct"/>
            <w:vAlign w:val="center"/>
          </w:tcPr>
          <w:p w14:paraId="6F2BC52C">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3.7严格控制持久性有机污染物排放，实施持久性有机污染物统计报表制度，对污染物</w:t>
            </w:r>
            <w:r>
              <w:rPr>
                <w:rFonts w:ascii="宋体" w:hAnsi="宋体" w:cs="宋体"/>
                <w:b w:val="0"/>
                <w:color w:val="000000"/>
                <w:spacing w:val="-10"/>
                <w:sz w:val="21"/>
                <w:szCs w:val="21"/>
              </w:rPr>
              <w:cr/>
            </w:r>
            <w:r>
              <w:rPr>
                <w:rFonts w:ascii="宋体" w:hAnsi="宋体" w:cs="宋体"/>
                <w:b w:val="0"/>
                <w:color w:val="000000"/>
                <w:spacing w:val="-10"/>
                <w:sz w:val="21"/>
                <w:szCs w:val="21"/>
              </w:rPr>
              <w:t>废弃物进行严格</w:t>
            </w:r>
            <w:r>
              <w:rPr>
                <w:rFonts w:ascii="宋体" w:hAnsi="宋体" w:cs="宋体"/>
                <w:b w:val="0"/>
                <w:color w:val="000000"/>
                <w:spacing w:val="-10"/>
                <w:sz w:val="21"/>
                <w:szCs w:val="21"/>
              </w:rPr>
              <w:cr/>
            </w:r>
            <w:r>
              <w:rPr>
                <w:rFonts w:ascii="宋体" w:hAnsi="宋体" w:cs="宋体"/>
                <w:b w:val="0"/>
                <w:color w:val="000000"/>
                <w:spacing w:val="-10"/>
                <w:sz w:val="21"/>
                <w:szCs w:val="21"/>
              </w:rPr>
              <w:t>理</w:t>
            </w:r>
          </w:p>
        </w:tc>
        <w:tc>
          <w:tcPr>
            <w:tcW w:w="1556" w:type="pct"/>
            <w:vAlign w:val="center"/>
          </w:tcPr>
          <w:p w14:paraId="78430E4D">
            <w:pPr>
              <w:adjustRightInd w:val="0"/>
              <w:spacing w:line="0" w:lineRule="atLeast"/>
              <w:rPr>
                <w:rFonts w:hint="eastAsia" w:hAnsi="宋体" w:cs="宋体"/>
                <w:color w:val="000000"/>
                <w:spacing w:val="-20"/>
                <w:sz w:val="21"/>
                <w:szCs w:val="21"/>
              </w:rPr>
            </w:pPr>
            <w:r>
              <w:rPr>
                <w:rFonts w:hint="eastAsia" w:hAnsi="宋体" w:cs="宋体"/>
                <w:color w:val="000000"/>
                <w:spacing w:val="-20"/>
                <w:sz w:val="21"/>
                <w:szCs w:val="21"/>
              </w:rPr>
              <w:t>拟建工程不涉及持久性有机污染物排放</w:t>
            </w:r>
          </w:p>
        </w:tc>
        <w:tc>
          <w:tcPr>
            <w:tcW w:w="360" w:type="pct"/>
            <w:vAlign w:val="center"/>
          </w:tcPr>
          <w:p w14:paraId="20C8663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2BC6BC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93" w:hRule="atLeast"/>
          <w:jc w:val="center"/>
        </w:trPr>
        <w:tc>
          <w:tcPr>
            <w:tcW w:w="387" w:type="pct"/>
            <w:vMerge w:val="continue"/>
            <w:vAlign w:val="center"/>
          </w:tcPr>
          <w:p w14:paraId="689D5022">
            <w:pPr>
              <w:spacing w:line="0" w:lineRule="atLeast"/>
              <w:jc w:val="center"/>
              <w:rPr>
                <w:rFonts w:hint="eastAsia" w:hAnsi="宋体" w:cs="宋体"/>
                <w:color w:val="000000"/>
                <w:spacing w:val="-10"/>
                <w:sz w:val="21"/>
                <w:szCs w:val="21"/>
              </w:rPr>
            </w:pPr>
          </w:p>
        </w:tc>
        <w:tc>
          <w:tcPr>
            <w:tcW w:w="252" w:type="pct"/>
            <w:vMerge w:val="continue"/>
            <w:vAlign w:val="center"/>
          </w:tcPr>
          <w:p w14:paraId="7DFCF394">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B278B93">
            <w:pPr>
              <w:adjustRightInd w:val="0"/>
              <w:spacing w:line="0" w:lineRule="atLeast"/>
              <w:jc w:val="center"/>
              <w:rPr>
                <w:rFonts w:hint="eastAsia" w:hAnsi="宋体" w:cs="宋体"/>
                <w:color w:val="000000"/>
                <w:spacing w:val="-10"/>
                <w:sz w:val="21"/>
                <w:szCs w:val="21"/>
              </w:rPr>
            </w:pPr>
          </w:p>
        </w:tc>
        <w:tc>
          <w:tcPr>
            <w:tcW w:w="2215" w:type="pct"/>
            <w:vAlign w:val="center"/>
          </w:tcPr>
          <w:p w14:paraId="6452C772">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3.8加强养殖投入品管理，依法规范、限制使用抗生素类、激素类药物或其它化学物质等化学药品，开展专项整治。严格控制环境激素类化学品污染</w:t>
            </w:r>
          </w:p>
        </w:tc>
        <w:tc>
          <w:tcPr>
            <w:tcW w:w="1556" w:type="pct"/>
            <w:vAlign w:val="center"/>
          </w:tcPr>
          <w:p w14:paraId="3F45F0A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0" w:type="pct"/>
            <w:vAlign w:val="center"/>
          </w:tcPr>
          <w:p w14:paraId="55D63FA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0CD5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84" w:hRule="atLeast"/>
          <w:jc w:val="center"/>
        </w:trPr>
        <w:tc>
          <w:tcPr>
            <w:tcW w:w="387" w:type="pct"/>
            <w:vMerge w:val="continue"/>
            <w:vAlign w:val="center"/>
          </w:tcPr>
          <w:p w14:paraId="23226B03">
            <w:pPr>
              <w:spacing w:line="0" w:lineRule="atLeast"/>
              <w:jc w:val="center"/>
              <w:rPr>
                <w:rFonts w:hint="eastAsia" w:hAnsi="宋体" w:cs="宋体"/>
                <w:color w:val="000000"/>
                <w:spacing w:val="-10"/>
                <w:sz w:val="21"/>
                <w:szCs w:val="21"/>
              </w:rPr>
            </w:pPr>
          </w:p>
        </w:tc>
        <w:tc>
          <w:tcPr>
            <w:tcW w:w="252" w:type="pct"/>
            <w:vMerge w:val="continue"/>
            <w:vAlign w:val="center"/>
          </w:tcPr>
          <w:p w14:paraId="6385CC38">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75C0D9DB">
            <w:pPr>
              <w:adjustRightInd w:val="0"/>
              <w:spacing w:line="0" w:lineRule="atLeast"/>
              <w:jc w:val="center"/>
              <w:rPr>
                <w:rFonts w:hint="eastAsia" w:hAnsi="宋体" w:cs="宋体"/>
                <w:color w:val="000000"/>
                <w:spacing w:val="-10"/>
                <w:sz w:val="21"/>
                <w:szCs w:val="21"/>
              </w:rPr>
            </w:pPr>
          </w:p>
        </w:tc>
        <w:tc>
          <w:tcPr>
            <w:tcW w:w="2215" w:type="pct"/>
            <w:vAlign w:val="center"/>
          </w:tcPr>
          <w:p w14:paraId="373FD368">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3.9对玉龙喀什河、喀拉喀什河、克里雅河、策勒河、尼雅河、皮山河周边矿山开采企业及尾矿库进行风险排查，及时清理病库、危库及不符合产业政策和环保要求的矿山开采企业，避免水污染环境风险事故</w:t>
            </w:r>
          </w:p>
        </w:tc>
        <w:tc>
          <w:tcPr>
            <w:tcW w:w="1556" w:type="pct"/>
            <w:vAlign w:val="center"/>
          </w:tcPr>
          <w:p w14:paraId="68309BB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0" w:type="pct"/>
            <w:vAlign w:val="center"/>
          </w:tcPr>
          <w:p w14:paraId="63BC6E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DDD50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49" w:hRule="atLeast"/>
          <w:jc w:val="center"/>
        </w:trPr>
        <w:tc>
          <w:tcPr>
            <w:tcW w:w="387" w:type="pct"/>
            <w:vMerge w:val="continue"/>
            <w:vAlign w:val="center"/>
          </w:tcPr>
          <w:p w14:paraId="265C62CC">
            <w:pPr>
              <w:spacing w:line="0" w:lineRule="atLeast"/>
              <w:jc w:val="center"/>
              <w:rPr>
                <w:rFonts w:hint="eastAsia" w:hAnsi="宋体" w:cs="宋体"/>
                <w:color w:val="000000"/>
                <w:spacing w:val="-10"/>
                <w:sz w:val="21"/>
                <w:szCs w:val="21"/>
              </w:rPr>
            </w:pPr>
          </w:p>
        </w:tc>
        <w:tc>
          <w:tcPr>
            <w:tcW w:w="252" w:type="pct"/>
            <w:vMerge w:val="continue"/>
            <w:vAlign w:val="center"/>
          </w:tcPr>
          <w:p w14:paraId="5639B6AA">
            <w:pPr>
              <w:adjustRightInd w:val="0"/>
              <w:spacing w:line="0" w:lineRule="atLeast"/>
              <w:jc w:val="center"/>
              <w:rPr>
                <w:rFonts w:hint="eastAsia" w:hAnsi="宋体" w:cs="宋体"/>
                <w:color w:val="000000"/>
                <w:spacing w:val="-10"/>
                <w:sz w:val="21"/>
                <w:szCs w:val="21"/>
              </w:rPr>
            </w:pPr>
          </w:p>
        </w:tc>
        <w:tc>
          <w:tcPr>
            <w:tcW w:w="230" w:type="pct"/>
            <w:vMerge w:val="continue"/>
            <w:vAlign w:val="center"/>
          </w:tcPr>
          <w:p w14:paraId="24873B91">
            <w:pPr>
              <w:adjustRightInd w:val="0"/>
              <w:spacing w:line="0" w:lineRule="atLeast"/>
              <w:jc w:val="center"/>
              <w:rPr>
                <w:rFonts w:hint="eastAsia" w:hAnsi="宋体" w:cs="宋体"/>
                <w:color w:val="000000"/>
                <w:spacing w:val="-10"/>
                <w:sz w:val="21"/>
                <w:szCs w:val="21"/>
              </w:rPr>
            </w:pPr>
          </w:p>
        </w:tc>
        <w:tc>
          <w:tcPr>
            <w:tcW w:w="2215" w:type="pct"/>
            <w:vAlign w:val="center"/>
          </w:tcPr>
          <w:p w14:paraId="7BF4938A">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3.10矿山企业严格按照开发利用方案和地质环境保护与土地复垦方案要求进行矿产资源开发和地质环境恢复治理工作，按照“边生产、边恢复”要求进行开发，按照“谁破坏、谁治理”原则，及时督促矿山企业完成治理恢复任务</w:t>
            </w:r>
          </w:p>
        </w:tc>
        <w:tc>
          <w:tcPr>
            <w:tcW w:w="1556" w:type="pct"/>
            <w:vAlign w:val="center"/>
          </w:tcPr>
          <w:p w14:paraId="6C54CF0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0" w:type="pct"/>
            <w:vAlign w:val="center"/>
          </w:tcPr>
          <w:p w14:paraId="29272A7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0A2F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32" w:hRule="atLeast"/>
          <w:jc w:val="center"/>
        </w:trPr>
        <w:tc>
          <w:tcPr>
            <w:tcW w:w="387" w:type="pct"/>
            <w:vMerge w:val="continue"/>
            <w:vAlign w:val="center"/>
          </w:tcPr>
          <w:p w14:paraId="1F44FD3D">
            <w:pPr>
              <w:spacing w:line="0" w:lineRule="atLeast"/>
              <w:jc w:val="center"/>
              <w:rPr>
                <w:rFonts w:hint="eastAsia" w:hAnsi="宋体" w:cs="宋体"/>
                <w:color w:val="000000"/>
                <w:spacing w:val="-10"/>
                <w:sz w:val="21"/>
                <w:szCs w:val="21"/>
              </w:rPr>
            </w:pPr>
          </w:p>
        </w:tc>
        <w:tc>
          <w:tcPr>
            <w:tcW w:w="252" w:type="pct"/>
            <w:vMerge w:val="continue"/>
            <w:vAlign w:val="center"/>
          </w:tcPr>
          <w:p w14:paraId="3A1AF804">
            <w:pPr>
              <w:adjustRightInd w:val="0"/>
              <w:spacing w:line="0" w:lineRule="atLeast"/>
              <w:jc w:val="center"/>
              <w:rPr>
                <w:rFonts w:hint="eastAsia" w:hAnsi="宋体" w:cs="宋体"/>
                <w:color w:val="000000"/>
                <w:spacing w:val="-10"/>
                <w:sz w:val="21"/>
                <w:szCs w:val="21"/>
              </w:rPr>
            </w:pPr>
          </w:p>
        </w:tc>
        <w:tc>
          <w:tcPr>
            <w:tcW w:w="230" w:type="pct"/>
            <w:vAlign w:val="center"/>
          </w:tcPr>
          <w:p w14:paraId="45DED49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资源开发利用效率</w:t>
            </w:r>
          </w:p>
        </w:tc>
        <w:tc>
          <w:tcPr>
            <w:tcW w:w="2215" w:type="pct"/>
            <w:vAlign w:val="center"/>
          </w:tcPr>
          <w:p w14:paraId="162C0159">
            <w:pPr>
              <w:spacing w:line="0" w:lineRule="atLeast"/>
              <w:rPr>
                <w:rFonts w:hint="eastAsia" w:hAnsi="宋体" w:cs="宋体"/>
                <w:color w:val="000000"/>
                <w:spacing w:val="-10"/>
                <w:sz w:val="21"/>
                <w:szCs w:val="21"/>
              </w:rPr>
            </w:pPr>
            <w:r>
              <w:rPr>
                <w:rFonts w:hint="eastAsia" w:hAnsi="宋体" w:cs="宋体"/>
                <w:color w:val="000000"/>
                <w:spacing w:val="-10"/>
                <w:sz w:val="21"/>
                <w:szCs w:val="21"/>
              </w:rPr>
              <w:t>4.1严格执行自治区</w:t>
            </w:r>
            <w:r>
              <w:rPr>
                <w:rFonts w:hint="eastAsia" w:hAnsi="宋体" w:cs="宋体"/>
                <w:color w:val="000000"/>
                <w:spacing w:val="-10"/>
                <w:sz w:val="21"/>
                <w:szCs w:val="21"/>
              </w:rPr>
              <w:cr/>
            </w:r>
            <w:r>
              <w:rPr>
                <w:rFonts w:hint="eastAsia" w:hAnsi="宋体" w:cs="宋体"/>
                <w:color w:val="000000"/>
                <w:spacing w:val="-10"/>
                <w:sz w:val="21"/>
                <w:szCs w:val="21"/>
              </w:rPr>
              <w:t>总体准入要求中“A4 资源开发利用效率”和南疆三地州片区总体管控要求中“B4 资源开发利用效率”管控要求</w:t>
            </w:r>
          </w:p>
        </w:tc>
        <w:tc>
          <w:tcPr>
            <w:tcW w:w="1556" w:type="pct"/>
            <w:vAlign w:val="center"/>
          </w:tcPr>
          <w:p w14:paraId="60CE9BC7">
            <w:pPr>
              <w:adjustRightInd w:val="0"/>
              <w:spacing w:line="0" w:lineRule="atLeast"/>
              <w:rPr>
                <w:rFonts w:hint="eastAsia" w:hAnsi="宋体" w:cs="宋体"/>
                <w:color w:val="000000"/>
                <w:spacing w:val="-20"/>
                <w:sz w:val="21"/>
                <w:szCs w:val="21"/>
              </w:rPr>
            </w:pPr>
            <w:r>
              <w:rPr>
                <w:rFonts w:hint="eastAsia" w:hAnsi="宋体" w:cs="宋体"/>
                <w:color w:val="000000"/>
                <w:spacing w:val="-20"/>
                <w:sz w:val="21"/>
                <w:szCs w:val="21"/>
              </w:rPr>
              <w:t>拟建工程符合自治区总体准入要求中“A4 资源开发利用效率”和南疆三地州片区总体管控要求中“B4 资源开发利用效率”管控要求</w:t>
            </w:r>
          </w:p>
        </w:tc>
        <w:tc>
          <w:tcPr>
            <w:tcW w:w="360" w:type="pct"/>
            <w:vAlign w:val="center"/>
          </w:tcPr>
          <w:p w14:paraId="09D2B3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6872F49E">
      <w:pPr>
        <w:spacing w:line="460" w:lineRule="exact"/>
        <w:ind w:firstLine="526" w:firstLineChars="200"/>
        <w:rPr>
          <w:rFonts w:hint="eastAsia" w:hAnsi="宋体" w:cs="宋体"/>
          <w:color w:val="000000"/>
          <w:szCs w:val="24"/>
        </w:rPr>
      </w:pPr>
      <w:r>
        <w:br w:type="page"/>
      </w:r>
      <w:r>
        <w:rPr>
          <w:rFonts w:hint="eastAsia" w:ascii="黑体" w:hAnsi="黑体" w:eastAsia="黑体"/>
        </w:rPr>
        <w:t>续</w:t>
      </w:r>
      <w:r>
        <w:rPr>
          <w:rFonts w:hint="eastAsia" w:ascii="黑体" w:hAnsi="黑体" w:eastAsia="黑体" w:cs="宋体"/>
          <w:color w:val="000000"/>
          <w:szCs w:val="24"/>
        </w:rPr>
        <w:t>表3.5-6 拟建工程与《和田地区生态环境准入清单（2023年）》符合性分析一览表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67"/>
        <w:gridCol w:w="463"/>
        <w:gridCol w:w="427"/>
        <w:gridCol w:w="4657"/>
        <w:gridCol w:w="2144"/>
        <w:gridCol w:w="657"/>
      </w:tblGrid>
      <w:tr w14:paraId="78E73F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Align w:val="center"/>
          </w:tcPr>
          <w:p w14:paraId="4A2286E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文件名称</w:t>
            </w:r>
          </w:p>
        </w:tc>
        <w:tc>
          <w:tcPr>
            <w:tcW w:w="3077" w:type="pct"/>
            <w:gridSpan w:val="3"/>
            <w:vAlign w:val="center"/>
          </w:tcPr>
          <w:p w14:paraId="04920A9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1189" w:type="pct"/>
            <w:vAlign w:val="center"/>
          </w:tcPr>
          <w:p w14:paraId="12C80D7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364" w:type="pct"/>
            <w:vAlign w:val="center"/>
          </w:tcPr>
          <w:p w14:paraId="42E54F2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056E0B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Merge w:val="restart"/>
            <w:vAlign w:val="center"/>
          </w:tcPr>
          <w:p w14:paraId="4FCDC0E7">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《和田地区生态环境准入清单（2023年）》</w:t>
            </w:r>
          </w:p>
        </w:tc>
        <w:tc>
          <w:tcPr>
            <w:tcW w:w="257" w:type="pct"/>
            <w:vMerge w:val="restart"/>
            <w:vAlign w:val="center"/>
          </w:tcPr>
          <w:p w14:paraId="7FD606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和田地区总体管控要求</w:t>
            </w:r>
          </w:p>
        </w:tc>
        <w:tc>
          <w:tcPr>
            <w:tcW w:w="237" w:type="pct"/>
            <w:vMerge w:val="restart"/>
            <w:vAlign w:val="center"/>
          </w:tcPr>
          <w:p w14:paraId="2222398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资源开发利用效率</w:t>
            </w:r>
          </w:p>
        </w:tc>
        <w:tc>
          <w:tcPr>
            <w:tcW w:w="2583" w:type="pct"/>
            <w:vAlign w:val="center"/>
          </w:tcPr>
          <w:p w14:paraId="66DA7EE6">
            <w:pPr>
              <w:spacing w:line="0" w:lineRule="atLeast"/>
              <w:rPr>
                <w:rFonts w:hint="eastAsia" w:hAnsi="宋体" w:cs="宋体"/>
                <w:color w:val="000000"/>
                <w:spacing w:val="-16"/>
                <w:sz w:val="21"/>
                <w:szCs w:val="21"/>
              </w:rPr>
            </w:pPr>
            <w:r>
              <w:rPr>
                <w:rFonts w:hint="eastAsia" w:hAnsi="宋体" w:cs="宋体"/>
                <w:color w:val="000000"/>
                <w:spacing w:val="-16"/>
                <w:sz w:val="21"/>
                <w:szCs w:val="21"/>
              </w:rPr>
              <w:t>4.2到2020年，和田地区年用水总量不得超过38.77亿立方米。到2025年，和田地区年用水总量不得超过38.77亿立方米。到2030年，和田地区年用水总量不得超过38.765亿立方米。到2020年较2017年，和田地区新增地下水开采总量不得超过1.8015亿立方米（总量</w:t>
            </w:r>
            <w:r>
              <w:rPr>
                <w:rFonts w:hint="eastAsia" w:hAnsi="宋体" w:cs="宋体"/>
                <w:color w:val="000000"/>
                <w:spacing w:val="-16"/>
                <w:sz w:val="21"/>
                <w:szCs w:val="21"/>
              </w:rPr>
              <w:cr/>
            </w:r>
            <w:r>
              <w:rPr>
                <w:rFonts w:hint="eastAsia" w:hAnsi="宋体" w:cs="宋体"/>
                <w:color w:val="000000"/>
                <w:spacing w:val="-16"/>
                <w:sz w:val="21"/>
                <w:szCs w:val="21"/>
              </w:rPr>
              <w:t>得超过5.644亿立方米）。到2025年较2017年，和田地区新增地下水开采总量不得超过2.1619亿立方米（开采总量6.0044亿立方米）。到2030年较2017年，和田地区新增地下水开采总量不得超过2.5219亿立方米（开采总量6.3644亿立方米）</w:t>
            </w:r>
          </w:p>
        </w:tc>
        <w:tc>
          <w:tcPr>
            <w:tcW w:w="1189" w:type="pct"/>
            <w:vAlign w:val="center"/>
          </w:tcPr>
          <w:p w14:paraId="03937736">
            <w:pPr>
              <w:adjustRightInd w:val="0"/>
              <w:spacing w:line="0" w:lineRule="atLeast"/>
              <w:rPr>
                <w:rFonts w:hint="eastAsia" w:hAnsi="宋体" w:cs="宋体"/>
                <w:color w:val="000000"/>
                <w:spacing w:val="-10"/>
                <w:sz w:val="21"/>
                <w:szCs w:val="21"/>
              </w:rPr>
            </w:pPr>
            <w:r>
              <w:rPr>
                <w:rFonts w:hint="eastAsia" w:hAnsi="宋体" w:cs="宋体"/>
                <w:color w:val="000000"/>
                <w:spacing w:val="-10"/>
                <w:kern w:val="0"/>
                <w:sz w:val="21"/>
                <w:szCs w:val="21"/>
                <w:lang w:bidi="ar"/>
              </w:rPr>
              <w:t>拟建工程运营期不涉及用水</w:t>
            </w:r>
          </w:p>
        </w:tc>
        <w:tc>
          <w:tcPr>
            <w:tcW w:w="364" w:type="pct"/>
            <w:vAlign w:val="center"/>
          </w:tcPr>
          <w:p w14:paraId="738EAB1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C31EE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Merge w:val="continue"/>
            <w:vAlign w:val="center"/>
          </w:tcPr>
          <w:p w14:paraId="10BD4D05">
            <w:pPr>
              <w:spacing w:line="0" w:lineRule="atLeast"/>
              <w:jc w:val="center"/>
              <w:rPr>
                <w:rFonts w:hint="eastAsia" w:hAnsi="宋体" w:cs="宋体"/>
                <w:color w:val="000000"/>
                <w:spacing w:val="-10"/>
                <w:sz w:val="21"/>
                <w:szCs w:val="21"/>
              </w:rPr>
            </w:pPr>
          </w:p>
        </w:tc>
        <w:tc>
          <w:tcPr>
            <w:tcW w:w="257" w:type="pct"/>
            <w:vMerge w:val="continue"/>
            <w:vAlign w:val="center"/>
          </w:tcPr>
          <w:p w14:paraId="59711C54">
            <w:pPr>
              <w:adjustRightInd w:val="0"/>
              <w:spacing w:line="0" w:lineRule="atLeast"/>
              <w:jc w:val="center"/>
              <w:rPr>
                <w:rFonts w:hint="eastAsia" w:hAnsi="宋体" w:cs="宋体"/>
                <w:color w:val="000000"/>
                <w:spacing w:val="-10"/>
                <w:sz w:val="21"/>
                <w:szCs w:val="21"/>
              </w:rPr>
            </w:pPr>
          </w:p>
        </w:tc>
        <w:tc>
          <w:tcPr>
            <w:tcW w:w="237" w:type="pct"/>
            <w:vMerge w:val="continue"/>
            <w:vAlign w:val="center"/>
          </w:tcPr>
          <w:p w14:paraId="21851263">
            <w:pPr>
              <w:adjustRightInd w:val="0"/>
              <w:spacing w:line="0" w:lineRule="atLeast"/>
              <w:jc w:val="center"/>
              <w:rPr>
                <w:rFonts w:hint="eastAsia" w:hAnsi="宋体" w:cs="宋体"/>
                <w:color w:val="000000"/>
                <w:spacing w:val="-10"/>
                <w:sz w:val="21"/>
                <w:szCs w:val="21"/>
              </w:rPr>
            </w:pPr>
          </w:p>
        </w:tc>
        <w:tc>
          <w:tcPr>
            <w:tcW w:w="2583" w:type="pct"/>
            <w:vAlign w:val="center"/>
          </w:tcPr>
          <w:p w14:paraId="272E3F5B">
            <w:pPr>
              <w:spacing w:line="0" w:lineRule="atLeast"/>
              <w:rPr>
                <w:rFonts w:hint="eastAsia" w:hAnsi="宋体" w:cs="宋体"/>
                <w:color w:val="000000"/>
                <w:spacing w:val="-10"/>
                <w:sz w:val="21"/>
                <w:szCs w:val="21"/>
              </w:rPr>
            </w:pPr>
            <w:r>
              <w:rPr>
                <w:rFonts w:hint="eastAsia" w:hAnsi="宋体" w:cs="宋体"/>
                <w:color w:val="000000"/>
                <w:spacing w:val="-10"/>
                <w:sz w:val="21"/>
                <w:szCs w:val="21"/>
              </w:rPr>
              <w:t>4.3到2020年及2030年，和田地区综合能耗总量控制在自治区下达目标任务范围内</w:t>
            </w:r>
          </w:p>
        </w:tc>
        <w:tc>
          <w:tcPr>
            <w:tcW w:w="1189" w:type="pct"/>
            <w:vAlign w:val="center"/>
          </w:tcPr>
          <w:p w14:paraId="20984F89">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364" w:type="pct"/>
            <w:vAlign w:val="center"/>
          </w:tcPr>
          <w:p w14:paraId="35F6FD50">
            <w:pPr>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14C01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Merge w:val="continue"/>
            <w:vAlign w:val="center"/>
          </w:tcPr>
          <w:p w14:paraId="53720092">
            <w:pPr>
              <w:spacing w:line="0" w:lineRule="atLeast"/>
              <w:jc w:val="center"/>
              <w:rPr>
                <w:rFonts w:hint="eastAsia" w:hAnsi="宋体" w:cs="宋体"/>
                <w:color w:val="000000"/>
                <w:spacing w:val="-10"/>
                <w:sz w:val="21"/>
                <w:szCs w:val="21"/>
              </w:rPr>
            </w:pPr>
          </w:p>
        </w:tc>
        <w:tc>
          <w:tcPr>
            <w:tcW w:w="257" w:type="pct"/>
            <w:vMerge w:val="continue"/>
            <w:vAlign w:val="center"/>
          </w:tcPr>
          <w:p w14:paraId="747C95CD">
            <w:pPr>
              <w:adjustRightInd w:val="0"/>
              <w:spacing w:line="0" w:lineRule="atLeast"/>
              <w:jc w:val="center"/>
              <w:rPr>
                <w:rFonts w:hint="eastAsia" w:hAnsi="宋体" w:cs="宋体"/>
                <w:color w:val="000000"/>
                <w:spacing w:val="-10"/>
                <w:sz w:val="21"/>
                <w:szCs w:val="21"/>
              </w:rPr>
            </w:pPr>
          </w:p>
        </w:tc>
        <w:tc>
          <w:tcPr>
            <w:tcW w:w="237" w:type="pct"/>
            <w:vMerge w:val="continue"/>
            <w:vAlign w:val="center"/>
          </w:tcPr>
          <w:p w14:paraId="30A123EA">
            <w:pPr>
              <w:adjustRightInd w:val="0"/>
              <w:spacing w:line="0" w:lineRule="atLeast"/>
              <w:jc w:val="center"/>
              <w:rPr>
                <w:rFonts w:hint="eastAsia" w:hAnsi="宋体" w:cs="宋体"/>
                <w:color w:val="000000"/>
                <w:spacing w:val="-10"/>
                <w:sz w:val="21"/>
                <w:szCs w:val="21"/>
              </w:rPr>
            </w:pPr>
          </w:p>
        </w:tc>
        <w:tc>
          <w:tcPr>
            <w:tcW w:w="2583" w:type="pct"/>
            <w:vAlign w:val="center"/>
          </w:tcPr>
          <w:p w14:paraId="65870CFF">
            <w:pPr>
              <w:spacing w:line="0" w:lineRule="atLeast"/>
              <w:rPr>
                <w:rFonts w:hint="eastAsia" w:hAnsi="宋体" w:cs="宋体"/>
                <w:color w:val="000000"/>
                <w:spacing w:val="-10"/>
                <w:sz w:val="21"/>
                <w:szCs w:val="21"/>
              </w:rPr>
            </w:pPr>
            <w:r>
              <w:rPr>
                <w:rFonts w:hint="eastAsia" w:hAnsi="宋体" w:cs="宋体"/>
                <w:color w:val="000000"/>
                <w:spacing w:val="-10"/>
                <w:sz w:val="21"/>
                <w:szCs w:val="21"/>
              </w:rPr>
              <w:t>4.4在高污染燃料禁燃区内，禁止销售、燃用原煤、粉煤、各种可燃废物等高污染燃料；禁止新建、扩建</w:t>
            </w:r>
            <w:r>
              <w:rPr>
                <w:rFonts w:hint="eastAsia" w:hAnsi="宋体" w:cs="宋体"/>
                <w:color w:val="000000"/>
                <w:spacing w:val="-10"/>
                <w:sz w:val="21"/>
                <w:szCs w:val="21"/>
              </w:rPr>
              <w:cr/>
            </w:r>
            <w:r>
              <w:rPr>
                <w:rFonts w:hint="eastAsia" w:hAnsi="宋体" w:cs="宋体"/>
                <w:color w:val="000000"/>
                <w:spacing w:val="-10"/>
                <w:sz w:val="21"/>
                <w:szCs w:val="21"/>
              </w:rPr>
              <w:t>用高污染燃料的设施；已建设成的</w:t>
            </w:r>
            <w:r>
              <w:rPr>
                <w:rFonts w:hint="eastAsia" w:hAnsi="宋体" w:cs="宋体"/>
                <w:color w:val="000000"/>
                <w:spacing w:val="-10"/>
                <w:sz w:val="21"/>
                <w:szCs w:val="21"/>
              </w:rPr>
              <w:cr/>
            </w:r>
            <w:r>
              <w:rPr>
                <w:rFonts w:hint="eastAsia" w:hAnsi="宋体" w:cs="宋体"/>
                <w:color w:val="000000"/>
                <w:spacing w:val="-10"/>
                <w:sz w:val="21"/>
                <w:szCs w:val="21"/>
              </w:rPr>
              <w:t>应当在规定的期限内改用电、天然气、液化石油气、生物质燃料、含硫量低于0.5%的型煤或者其他清洁能源</w:t>
            </w:r>
          </w:p>
        </w:tc>
        <w:tc>
          <w:tcPr>
            <w:tcW w:w="1189" w:type="pct"/>
            <w:vAlign w:val="center"/>
          </w:tcPr>
          <w:p w14:paraId="7645C41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4" w:type="pct"/>
            <w:vAlign w:val="center"/>
          </w:tcPr>
          <w:p w14:paraId="26498236">
            <w:pPr>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2D7747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Merge w:val="continue"/>
            <w:vAlign w:val="center"/>
          </w:tcPr>
          <w:p w14:paraId="087FC230">
            <w:pPr>
              <w:spacing w:line="0" w:lineRule="atLeast"/>
              <w:jc w:val="center"/>
              <w:rPr>
                <w:rFonts w:hint="eastAsia" w:hAnsi="宋体" w:cs="宋体"/>
                <w:color w:val="000000"/>
                <w:spacing w:val="-10"/>
                <w:sz w:val="21"/>
                <w:szCs w:val="21"/>
              </w:rPr>
            </w:pPr>
          </w:p>
        </w:tc>
        <w:tc>
          <w:tcPr>
            <w:tcW w:w="257" w:type="pct"/>
            <w:vMerge w:val="continue"/>
            <w:vAlign w:val="center"/>
          </w:tcPr>
          <w:p w14:paraId="15A85FF1">
            <w:pPr>
              <w:adjustRightInd w:val="0"/>
              <w:spacing w:line="0" w:lineRule="atLeast"/>
              <w:jc w:val="center"/>
              <w:rPr>
                <w:rFonts w:hint="eastAsia" w:hAnsi="宋体" w:cs="宋体"/>
                <w:color w:val="000000"/>
                <w:spacing w:val="-10"/>
                <w:sz w:val="21"/>
                <w:szCs w:val="21"/>
              </w:rPr>
            </w:pPr>
          </w:p>
        </w:tc>
        <w:tc>
          <w:tcPr>
            <w:tcW w:w="237" w:type="pct"/>
            <w:vMerge w:val="continue"/>
            <w:vAlign w:val="center"/>
          </w:tcPr>
          <w:p w14:paraId="32FF7F6D">
            <w:pPr>
              <w:adjustRightInd w:val="0"/>
              <w:spacing w:line="0" w:lineRule="atLeast"/>
              <w:jc w:val="center"/>
              <w:rPr>
                <w:rFonts w:hint="eastAsia" w:hAnsi="宋体" w:cs="宋体"/>
                <w:color w:val="000000"/>
                <w:spacing w:val="-10"/>
                <w:sz w:val="21"/>
                <w:szCs w:val="21"/>
              </w:rPr>
            </w:pPr>
          </w:p>
        </w:tc>
        <w:tc>
          <w:tcPr>
            <w:tcW w:w="2583" w:type="pct"/>
            <w:vAlign w:val="center"/>
          </w:tcPr>
          <w:p w14:paraId="30E71777">
            <w:pPr>
              <w:spacing w:line="0" w:lineRule="atLeast"/>
              <w:rPr>
                <w:rFonts w:hint="eastAsia" w:hAnsi="宋体" w:cs="宋体"/>
                <w:color w:val="000000"/>
                <w:spacing w:val="-10"/>
                <w:sz w:val="21"/>
                <w:szCs w:val="21"/>
              </w:rPr>
            </w:pPr>
            <w:r>
              <w:rPr>
                <w:rFonts w:hint="eastAsia" w:hAnsi="宋体" w:cs="宋体"/>
                <w:color w:val="000000"/>
                <w:spacing w:val="-10"/>
                <w:sz w:val="21"/>
                <w:szCs w:val="21"/>
              </w:rPr>
              <w:t>4.5已设露天矿山，企业按照绿色矿山建设标准加快升级改造；新设露天矿山必须按照绿色矿山建设标准进行建设</w:t>
            </w:r>
          </w:p>
        </w:tc>
        <w:tc>
          <w:tcPr>
            <w:tcW w:w="1189" w:type="pct"/>
            <w:vAlign w:val="center"/>
          </w:tcPr>
          <w:p w14:paraId="17BD45E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4" w:type="pct"/>
            <w:vAlign w:val="center"/>
          </w:tcPr>
          <w:p w14:paraId="30B503C6">
            <w:pPr>
              <w:spacing w:line="0" w:lineRule="atLeast"/>
              <w:jc w:val="center"/>
              <w:rPr>
                <w:rFonts w:hAnsi="宋体" w:cs="宋体"/>
                <w:color w:val="000000"/>
                <w:spacing w:val="-10"/>
                <w:sz w:val="21"/>
                <w:szCs w:val="21"/>
              </w:rPr>
            </w:pPr>
            <w:r>
              <w:rPr>
                <w:rFonts w:hint="eastAsia" w:hAnsi="宋体" w:cs="宋体"/>
                <w:color w:val="000000"/>
                <w:spacing w:val="-10"/>
                <w:sz w:val="21"/>
                <w:szCs w:val="21"/>
              </w:rPr>
              <w:t>--</w:t>
            </w:r>
          </w:p>
        </w:tc>
      </w:tr>
      <w:tr w14:paraId="047B58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pct"/>
            <w:vMerge w:val="continue"/>
            <w:vAlign w:val="center"/>
          </w:tcPr>
          <w:p w14:paraId="008BC6E1">
            <w:pPr>
              <w:spacing w:line="0" w:lineRule="atLeast"/>
              <w:jc w:val="center"/>
              <w:rPr>
                <w:rFonts w:hint="eastAsia" w:hAnsi="宋体" w:cs="宋体"/>
                <w:color w:val="000000"/>
                <w:spacing w:val="-10"/>
                <w:sz w:val="21"/>
                <w:szCs w:val="21"/>
              </w:rPr>
            </w:pPr>
          </w:p>
        </w:tc>
        <w:tc>
          <w:tcPr>
            <w:tcW w:w="257" w:type="pct"/>
            <w:vMerge w:val="continue"/>
            <w:vAlign w:val="center"/>
          </w:tcPr>
          <w:p w14:paraId="3421C5C2">
            <w:pPr>
              <w:adjustRightInd w:val="0"/>
              <w:spacing w:line="0" w:lineRule="atLeast"/>
              <w:jc w:val="center"/>
              <w:rPr>
                <w:rFonts w:hint="eastAsia" w:hAnsi="宋体" w:cs="宋体"/>
                <w:color w:val="000000"/>
                <w:spacing w:val="-10"/>
                <w:sz w:val="21"/>
                <w:szCs w:val="21"/>
              </w:rPr>
            </w:pPr>
          </w:p>
        </w:tc>
        <w:tc>
          <w:tcPr>
            <w:tcW w:w="237" w:type="pct"/>
            <w:vMerge w:val="continue"/>
            <w:vAlign w:val="center"/>
          </w:tcPr>
          <w:p w14:paraId="288B466F">
            <w:pPr>
              <w:adjustRightInd w:val="0"/>
              <w:spacing w:line="0" w:lineRule="atLeast"/>
              <w:jc w:val="center"/>
              <w:rPr>
                <w:rFonts w:hint="eastAsia" w:hAnsi="宋体" w:cs="宋体"/>
                <w:color w:val="000000"/>
                <w:spacing w:val="-10"/>
                <w:sz w:val="21"/>
                <w:szCs w:val="21"/>
              </w:rPr>
            </w:pPr>
          </w:p>
        </w:tc>
        <w:tc>
          <w:tcPr>
            <w:tcW w:w="2583" w:type="pct"/>
            <w:vAlign w:val="center"/>
          </w:tcPr>
          <w:p w14:paraId="4423A61D">
            <w:pPr>
              <w:spacing w:line="0" w:lineRule="atLeast"/>
              <w:rPr>
                <w:rFonts w:hint="eastAsia" w:hAnsi="宋体" w:cs="宋体"/>
                <w:color w:val="000000"/>
                <w:spacing w:val="-10"/>
                <w:sz w:val="21"/>
                <w:szCs w:val="21"/>
              </w:rPr>
            </w:pPr>
            <w:r>
              <w:rPr>
                <w:rFonts w:hint="eastAsia" w:hAnsi="宋体" w:cs="宋体"/>
                <w:color w:val="000000"/>
                <w:spacing w:val="-10"/>
                <w:sz w:val="21"/>
                <w:szCs w:val="21"/>
              </w:rPr>
              <w:t>4.6绿洲边缘新垦区耕地的稳固措施与管控要求，不得随意开垦与弃荒</w:t>
            </w:r>
          </w:p>
        </w:tc>
        <w:tc>
          <w:tcPr>
            <w:tcW w:w="1189" w:type="pct"/>
            <w:vAlign w:val="center"/>
          </w:tcPr>
          <w:p w14:paraId="1A93529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364" w:type="pct"/>
            <w:vAlign w:val="center"/>
          </w:tcPr>
          <w:p w14:paraId="0943EEB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7FD36F4B">
      <w:pPr>
        <w:spacing w:before="240" w:line="460" w:lineRule="exact"/>
        <w:ind w:firstLine="526" w:firstLineChars="200"/>
        <w:rPr>
          <w:rFonts w:ascii="黑体" w:hAnsi="宋体" w:eastAsia="黑体"/>
          <w:color w:val="000000"/>
          <w:szCs w:val="24"/>
        </w:rPr>
      </w:pPr>
      <w:r>
        <w:rPr>
          <w:rFonts w:hint="eastAsia" w:ascii="黑体" w:hAnsi="宋体" w:eastAsia="黑体" w:cs="宋体"/>
          <w:color w:val="000000"/>
          <w:szCs w:val="24"/>
        </w:rPr>
        <w:t>表3.5-7 拟建工程与所在管控单元管控要求符合性分析一览表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98"/>
        <w:gridCol w:w="709"/>
        <w:gridCol w:w="4750"/>
        <w:gridCol w:w="2274"/>
        <w:gridCol w:w="484"/>
      </w:tblGrid>
      <w:tr w14:paraId="424680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noWrap/>
            <w:vAlign w:val="center"/>
          </w:tcPr>
          <w:p w14:paraId="52B82EB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5459" w:type="dxa"/>
            <w:gridSpan w:val="2"/>
            <w:noWrap/>
            <w:vAlign w:val="center"/>
          </w:tcPr>
          <w:p w14:paraId="5E0829E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2274" w:type="dxa"/>
            <w:noWrap/>
            <w:vAlign w:val="center"/>
          </w:tcPr>
          <w:p w14:paraId="355444E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484" w:type="dxa"/>
            <w:noWrap/>
            <w:vAlign w:val="center"/>
          </w:tcPr>
          <w:p w14:paraId="64C151F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78381D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51" w:hRule="atLeast"/>
          <w:jc w:val="center"/>
        </w:trPr>
        <w:tc>
          <w:tcPr>
            <w:tcW w:w="798" w:type="dxa"/>
            <w:vMerge w:val="restart"/>
            <w:noWrap/>
            <w:vAlign w:val="center"/>
          </w:tcPr>
          <w:p w14:paraId="6A744B2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ZH65292430001沙雅县一般管控单元</w:t>
            </w:r>
          </w:p>
        </w:tc>
        <w:tc>
          <w:tcPr>
            <w:tcW w:w="709" w:type="dxa"/>
            <w:vMerge w:val="restart"/>
            <w:noWrap/>
            <w:vAlign w:val="center"/>
          </w:tcPr>
          <w:p w14:paraId="1068A7F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空间布局约束</w:t>
            </w:r>
          </w:p>
        </w:tc>
        <w:tc>
          <w:tcPr>
            <w:tcW w:w="4750" w:type="dxa"/>
            <w:noWrap/>
            <w:vAlign w:val="center"/>
          </w:tcPr>
          <w:p w14:paraId="397649C0">
            <w:pPr>
              <w:spacing w:line="0" w:lineRule="atLeast"/>
              <w:rPr>
                <w:rFonts w:hint="eastAsia" w:hAnsi="宋体" w:cs="宋体"/>
                <w:color w:val="000000"/>
                <w:spacing w:val="-10"/>
                <w:sz w:val="21"/>
                <w:szCs w:val="21"/>
              </w:rPr>
            </w:pPr>
            <w:r>
              <w:rPr>
                <w:rFonts w:hint="eastAsia" w:hAnsi="宋体" w:cs="宋体"/>
                <w:color w:val="000000"/>
                <w:spacing w:val="-10"/>
                <w:kern w:val="0"/>
                <w:sz w:val="21"/>
                <w:szCs w:val="21"/>
                <w:lang w:bidi="ar"/>
              </w:rPr>
              <w:t>1.建设项目用地原则上不得占用基本农田，确需占用基本农田的建设项目须符合《中华人民共和国基本农田保护条例》中相关要求，占用耕地、林地或草地的建设项目须按照国家、自治区相关补偿要求进行补偿。</w:t>
            </w:r>
          </w:p>
        </w:tc>
        <w:tc>
          <w:tcPr>
            <w:tcW w:w="2274" w:type="dxa"/>
            <w:noWrap/>
            <w:vAlign w:val="center"/>
          </w:tcPr>
          <w:p w14:paraId="198B9A29">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拟建工程不占用基本农田</w:t>
            </w:r>
          </w:p>
        </w:tc>
        <w:tc>
          <w:tcPr>
            <w:tcW w:w="484" w:type="dxa"/>
            <w:noWrap/>
            <w:vAlign w:val="center"/>
          </w:tcPr>
          <w:p w14:paraId="28F7BA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CBE4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7A24A8B9">
            <w:pPr>
              <w:spacing w:line="0" w:lineRule="atLeast"/>
              <w:jc w:val="center"/>
              <w:rPr>
                <w:rFonts w:hint="eastAsia" w:hAnsi="宋体" w:cs="宋体"/>
                <w:color w:val="000000"/>
                <w:spacing w:val="-10"/>
                <w:sz w:val="21"/>
                <w:szCs w:val="21"/>
              </w:rPr>
            </w:pPr>
          </w:p>
        </w:tc>
        <w:tc>
          <w:tcPr>
            <w:tcW w:w="709" w:type="dxa"/>
            <w:vMerge w:val="continue"/>
            <w:noWrap/>
            <w:vAlign w:val="center"/>
          </w:tcPr>
          <w:p w14:paraId="16504F8D">
            <w:pPr>
              <w:spacing w:line="0" w:lineRule="atLeast"/>
              <w:jc w:val="center"/>
              <w:rPr>
                <w:rFonts w:hint="eastAsia" w:hAnsi="宋体" w:cs="宋体"/>
                <w:color w:val="000000"/>
                <w:spacing w:val="-10"/>
                <w:sz w:val="21"/>
                <w:szCs w:val="21"/>
              </w:rPr>
            </w:pPr>
          </w:p>
        </w:tc>
        <w:tc>
          <w:tcPr>
            <w:tcW w:w="4750" w:type="dxa"/>
            <w:noWrap/>
            <w:vAlign w:val="center"/>
          </w:tcPr>
          <w:p w14:paraId="33E29B09">
            <w:pPr>
              <w:adjustRightInd w:val="0"/>
              <w:spacing w:line="0" w:lineRule="atLeast"/>
              <w:jc w:val="left"/>
              <w:rPr>
                <w:rFonts w:hint="eastAsia" w:hAnsi="宋体" w:cs="宋体"/>
                <w:color w:val="000000"/>
                <w:spacing w:val="-10"/>
                <w:sz w:val="21"/>
                <w:szCs w:val="21"/>
              </w:rPr>
            </w:pPr>
            <w:r>
              <w:rPr>
                <w:rFonts w:hint="eastAsia" w:hAnsi="宋体" w:cs="宋体"/>
                <w:color w:val="000000"/>
                <w:spacing w:val="-10"/>
                <w:kern w:val="0"/>
                <w:sz w:val="21"/>
                <w:szCs w:val="21"/>
              </w:rPr>
              <w:t>2.对违反资源环境法律法规、规划，污染环境、破坏生态、乱采滥挖的露天矿山，依法整治；对污染治理不规范的露天矿山，依法责令停产整治，对拒不停产或擅自恢复生产的依法强制关闭；对责任主体灭失的露天矿山，要加强修复绿化、减尘抑尘。</w:t>
            </w:r>
          </w:p>
        </w:tc>
        <w:tc>
          <w:tcPr>
            <w:tcW w:w="2274" w:type="dxa"/>
            <w:noWrap/>
            <w:vAlign w:val="center"/>
          </w:tcPr>
          <w:p w14:paraId="52CAA4C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noWrap/>
            <w:vAlign w:val="center"/>
          </w:tcPr>
          <w:p w14:paraId="1E6854B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4D34F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6B44413F">
            <w:pPr>
              <w:spacing w:line="0" w:lineRule="atLeast"/>
              <w:jc w:val="center"/>
              <w:rPr>
                <w:rFonts w:hint="eastAsia" w:hAnsi="宋体" w:cs="宋体"/>
                <w:color w:val="000000"/>
                <w:spacing w:val="-10"/>
                <w:sz w:val="21"/>
                <w:szCs w:val="21"/>
              </w:rPr>
            </w:pPr>
          </w:p>
        </w:tc>
        <w:tc>
          <w:tcPr>
            <w:tcW w:w="709" w:type="dxa"/>
            <w:vMerge w:val="continue"/>
            <w:noWrap/>
            <w:vAlign w:val="center"/>
          </w:tcPr>
          <w:p w14:paraId="7EF3B181">
            <w:pPr>
              <w:spacing w:line="0" w:lineRule="atLeast"/>
              <w:jc w:val="center"/>
              <w:rPr>
                <w:rFonts w:hint="eastAsia" w:hAnsi="宋体" w:cs="宋体"/>
                <w:color w:val="000000"/>
                <w:spacing w:val="-10"/>
                <w:sz w:val="21"/>
                <w:szCs w:val="21"/>
              </w:rPr>
            </w:pPr>
          </w:p>
        </w:tc>
        <w:tc>
          <w:tcPr>
            <w:tcW w:w="4750" w:type="dxa"/>
            <w:noWrap/>
            <w:vAlign w:val="center"/>
          </w:tcPr>
          <w:p w14:paraId="72DB811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3.永久基本农田集中区域禁止规划新建可能造成土壤污染的建设项目。涉及有毒有害物质可能造成土壤污染的新（改、扩）建项目，提出并落实土壤和地下水污染防治要求</w:t>
            </w:r>
          </w:p>
        </w:tc>
        <w:tc>
          <w:tcPr>
            <w:tcW w:w="2274" w:type="dxa"/>
            <w:noWrap/>
            <w:vAlign w:val="center"/>
          </w:tcPr>
          <w:p w14:paraId="40DDB0FB">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拟建工程不占用基本农田</w:t>
            </w:r>
          </w:p>
        </w:tc>
        <w:tc>
          <w:tcPr>
            <w:tcW w:w="484" w:type="dxa"/>
            <w:noWrap/>
            <w:vAlign w:val="center"/>
          </w:tcPr>
          <w:p w14:paraId="59108F1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1782D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33F1CE09">
            <w:pPr>
              <w:spacing w:line="0" w:lineRule="atLeast"/>
              <w:jc w:val="center"/>
              <w:rPr>
                <w:rFonts w:hint="eastAsia" w:hAnsi="宋体" w:cs="宋体"/>
                <w:color w:val="000000"/>
                <w:spacing w:val="-10"/>
                <w:sz w:val="21"/>
                <w:szCs w:val="21"/>
              </w:rPr>
            </w:pPr>
          </w:p>
        </w:tc>
        <w:tc>
          <w:tcPr>
            <w:tcW w:w="709" w:type="dxa"/>
            <w:vMerge w:val="continue"/>
            <w:noWrap/>
            <w:vAlign w:val="center"/>
          </w:tcPr>
          <w:p w14:paraId="1E3B9B55">
            <w:pPr>
              <w:spacing w:line="0" w:lineRule="atLeast"/>
              <w:jc w:val="center"/>
              <w:rPr>
                <w:rFonts w:hint="eastAsia" w:hAnsi="宋体" w:cs="宋体"/>
                <w:color w:val="000000"/>
                <w:spacing w:val="-10"/>
                <w:sz w:val="21"/>
                <w:szCs w:val="21"/>
              </w:rPr>
            </w:pPr>
          </w:p>
        </w:tc>
        <w:tc>
          <w:tcPr>
            <w:tcW w:w="4750" w:type="dxa"/>
            <w:noWrap/>
            <w:vAlign w:val="center"/>
          </w:tcPr>
          <w:p w14:paraId="196D4376">
            <w:pPr>
              <w:adjustRightInd w:val="0"/>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4.严格执行畜禽养殖禁养区规定，根据区域用地和消纳水平，合理确定养殖规模</w:t>
            </w:r>
          </w:p>
        </w:tc>
        <w:tc>
          <w:tcPr>
            <w:tcW w:w="2274" w:type="dxa"/>
            <w:noWrap/>
            <w:vAlign w:val="center"/>
          </w:tcPr>
          <w:p w14:paraId="4CDD0B7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noWrap/>
            <w:vAlign w:val="center"/>
          </w:tcPr>
          <w:p w14:paraId="75FF917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081405EA">
      <w:pPr>
        <w:spacing w:line="460" w:lineRule="exact"/>
        <w:ind w:firstLine="526" w:firstLineChars="200"/>
        <w:rPr>
          <w:rFonts w:ascii="黑体" w:hAnsi="宋体" w:eastAsia="黑体"/>
          <w:color w:val="000000"/>
          <w:szCs w:val="24"/>
        </w:rPr>
      </w:pPr>
      <w:r>
        <w:br w:type="page"/>
      </w:r>
      <w:r>
        <w:rPr>
          <w:rFonts w:hint="eastAsia" w:ascii="黑体" w:hAnsi="黑体" w:eastAsia="黑体"/>
        </w:rPr>
        <w:t>续</w:t>
      </w:r>
      <w:r>
        <w:rPr>
          <w:rFonts w:hint="eastAsia" w:ascii="黑体" w:hAnsi="宋体" w:eastAsia="黑体" w:cs="宋体"/>
          <w:color w:val="000000"/>
          <w:szCs w:val="24"/>
        </w:rPr>
        <w:t>表3.5-7 拟建工程与所在管控单元管控要求符合性分析一览表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98"/>
        <w:gridCol w:w="709"/>
        <w:gridCol w:w="4750"/>
        <w:gridCol w:w="2274"/>
        <w:gridCol w:w="8"/>
        <w:gridCol w:w="476"/>
      </w:tblGrid>
      <w:tr w14:paraId="498F76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noWrap/>
            <w:vAlign w:val="center"/>
          </w:tcPr>
          <w:p w14:paraId="76EBFCA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5459" w:type="dxa"/>
            <w:gridSpan w:val="2"/>
            <w:noWrap/>
            <w:vAlign w:val="center"/>
          </w:tcPr>
          <w:p w14:paraId="7B136A7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2274" w:type="dxa"/>
            <w:noWrap/>
            <w:vAlign w:val="center"/>
          </w:tcPr>
          <w:p w14:paraId="0FA089B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484" w:type="dxa"/>
            <w:gridSpan w:val="2"/>
            <w:noWrap/>
            <w:vAlign w:val="center"/>
          </w:tcPr>
          <w:p w14:paraId="3BECE60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0CE787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restart"/>
            <w:noWrap/>
            <w:vAlign w:val="center"/>
          </w:tcPr>
          <w:p w14:paraId="4D85BF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ZH65292430001沙雅县一般管控单元</w:t>
            </w:r>
          </w:p>
        </w:tc>
        <w:tc>
          <w:tcPr>
            <w:tcW w:w="709" w:type="dxa"/>
            <w:vMerge w:val="restart"/>
            <w:noWrap/>
            <w:vAlign w:val="center"/>
          </w:tcPr>
          <w:p w14:paraId="1929293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空间布局约束</w:t>
            </w:r>
          </w:p>
        </w:tc>
        <w:tc>
          <w:tcPr>
            <w:tcW w:w="4750" w:type="dxa"/>
            <w:noWrap/>
            <w:vAlign w:val="center"/>
          </w:tcPr>
          <w:p w14:paraId="7C17454F">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5.禁止向沙漠、滩涂、盐碱地、沼泽地等非法排污、倾倒有毒有害物质</w:t>
            </w:r>
          </w:p>
        </w:tc>
        <w:tc>
          <w:tcPr>
            <w:tcW w:w="2274" w:type="dxa"/>
            <w:noWrap/>
            <w:vAlign w:val="center"/>
          </w:tcPr>
          <w:p w14:paraId="750554F2">
            <w:pPr>
              <w:adjustRightInd w:val="0"/>
              <w:spacing w:line="0" w:lineRule="atLeast"/>
              <w:rPr>
                <w:rFonts w:hint="eastAsia" w:hAnsi="宋体" w:cs="宋体"/>
                <w:color w:val="000000"/>
                <w:spacing w:val="-24"/>
                <w:sz w:val="21"/>
                <w:szCs w:val="21"/>
              </w:rPr>
            </w:pPr>
            <w:r>
              <w:rPr>
                <w:rFonts w:hint="eastAsia" w:hAnsi="宋体" w:cs="宋体"/>
                <w:color w:val="000000"/>
                <w:spacing w:val="-10"/>
                <w:sz w:val="21"/>
                <w:szCs w:val="21"/>
              </w:rPr>
              <w:t>拟建工程施工期产生的危险废物均交由具有危险废物处置单位处置，运营期无固废产生</w:t>
            </w:r>
          </w:p>
        </w:tc>
        <w:tc>
          <w:tcPr>
            <w:tcW w:w="484" w:type="dxa"/>
            <w:gridSpan w:val="2"/>
            <w:noWrap/>
            <w:vAlign w:val="center"/>
          </w:tcPr>
          <w:p w14:paraId="25012EE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87AEE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78" w:hRule="atLeast"/>
          <w:jc w:val="center"/>
        </w:trPr>
        <w:tc>
          <w:tcPr>
            <w:tcW w:w="798" w:type="dxa"/>
            <w:vMerge w:val="continue"/>
            <w:noWrap/>
            <w:vAlign w:val="center"/>
          </w:tcPr>
          <w:p w14:paraId="04857F25">
            <w:pPr>
              <w:spacing w:line="0" w:lineRule="atLeast"/>
              <w:jc w:val="center"/>
              <w:rPr>
                <w:rFonts w:hint="eastAsia" w:hAnsi="宋体" w:cs="宋体"/>
                <w:color w:val="000000"/>
                <w:spacing w:val="-10"/>
                <w:sz w:val="21"/>
                <w:szCs w:val="21"/>
              </w:rPr>
            </w:pPr>
          </w:p>
        </w:tc>
        <w:tc>
          <w:tcPr>
            <w:tcW w:w="709" w:type="dxa"/>
            <w:vMerge w:val="continue"/>
            <w:noWrap/>
            <w:vAlign w:val="center"/>
          </w:tcPr>
          <w:p w14:paraId="0370C88D">
            <w:pPr>
              <w:spacing w:line="0" w:lineRule="atLeast"/>
              <w:jc w:val="center"/>
              <w:rPr>
                <w:rFonts w:hint="eastAsia" w:hAnsi="宋体" w:cs="宋体"/>
                <w:color w:val="000000"/>
                <w:spacing w:val="-10"/>
                <w:sz w:val="21"/>
                <w:szCs w:val="21"/>
              </w:rPr>
            </w:pPr>
          </w:p>
        </w:tc>
        <w:tc>
          <w:tcPr>
            <w:tcW w:w="4750" w:type="dxa"/>
            <w:noWrap/>
            <w:vAlign w:val="center"/>
          </w:tcPr>
          <w:p w14:paraId="27EAF3E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6.禁止利用渗坑、裂隙、溶洞或者采用稀释等方法处置危险废物</w:t>
            </w:r>
          </w:p>
        </w:tc>
        <w:tc>
          <w:tcPr>
            <w:tcW w:w="2274" w:type="dxa"/>
            <w:noWrap/>
            <w:vAlign w:val="center"/>
          </w:tcPr>
          <w:p w14:paraId="1161407A">
            <w:pPr>
              <w:adjustRightInd w:val="0"/>
              <w:spacing w:line="0" w:lineRule="atLeast"/>
              <w:rPr>
                <w:rFonts w:hint="eastAsia" w:hAnsi="宋体" w:cs="宋体"/>
                <w:color w:val="000000"/>
                <w:spacing w:val="-24"/>
                <w:sz w:val="21"/>
                <w:szCs w:val="21"/>
              </w:rPr>
            </w:pPr>
            <w:r>
              <w:rPr>
                <w:rFonts w:hint="eastAsia" w:hAnsi="宋体" w:cs="宋体"/>
                <w:color w:val="000000"/>
                <w:spacing w:val="-10"/>
                <w:sz w:val="21"/>
                <w:szCs w:val="21"/>
              </w:rPr>
              <w:t>拟建工程施工期产生的危险废物均交由具有危险废物处置单位处置，运营期无固废产生</w:t>
            </w:r>
          </w:p>
        </w:tc>
        <w:tc>
          <w:tcPr>
            <w:tcW w:w="484" w:type="dxa"/>
            <w:gridSpan w:val="2"/>
            <w:noWrap/>
            <w:vAlign w:val="center"/>
          </w:tcPr>
          <w:p w14:paraId="34A2166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53090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5AC9D330">
            <w:pPr>
              <w:spacing w:line="0" w:lineRule="atLeast"/>
              <w:jc w:val="center"/>
              <w:rPr>
                <w:rFonts w:hint="eastAsia" w:hAnsi="宋体" w:cs="宋体"/>
                <w:color w:val="000000"/>
                <w:spacing w:val="-10"/>
                <w:sz w:val="21"/>
                <w:szCs w:val="21"/>
              </w:rPr>
            </w:pPr>
          </w:p>
        </w:tc>
        <w:tc>
          <w:tcPr>
            <w:tcW w:w="709" w:type="dxa"/>
            <w:vMerge w:val="restart"/>
            <w:noWrap/>
            <w:vAlign w:val="center"/>
          </w:tcPr>
          <w:p w14:paraId="630D95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w:t>
            </w:r>
          </w:p>
          <w:p w14:paraId="606D528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管控</w:t>
            </w:r>
          </w:p>
        </w:tc>
        <w:tc>
          <w:tcPr>
            <w:tcW w:w="4750" w:type="dxa"/>
            <w:noWrap/>
            <w:vAlign w:val="center"/>
          </w:tcPr>
          <w:p w14:paraId="1251303F">
            <w:pPr>
              <w:spacing w:line="0" w:lineRule="atLeast"/>
              <w:jc w:val="left"/>
              <w:rPr>
                <w:rFonts w:hint="eastAsia" w:hAnsi="宋体" w:cs="宋体"/>
                <w:color w:val="000000"/>
                <w:spacing w:val="-10"/>
                <w:sz w:val="21"/>
                <w:szCs w:val="21"/>
              </w:rPr>
            </w:pPr>
            <w:r>
              <w:rPr>
                <w:rFonts w:hint="eastAsia" w:hAnsi="宋体" w:cs="宋体"/>
                <w:color w:val="000000"/>
                <w:spacing w:val="-10"/>
                <w:sz w:val="21"/>
                <w:szCs w:val="21"/>
                <w:lang w:bidi="ar"/>
              </w:rPr>
              <w:t>1.强化畜禽粪污资源化利用，改善养殖场通风环境，提高畜禽粪污综合利用率，减少氨挥发排放。鼓励和支持散养密集区实行畜禽粪污分户收集、集中处理</w:t>
            </w:r>
          </w:p>
        </w:tc>
        <w:tc>
          <w:tcPr>
            <w:tcW w:w="2274" w:type="dxa"/>
            <w:noWrap/>
            <w:vAlign w:val="center"/>
          </w:tcPr>
          <w:p w14:paraId="6EC8BB0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gridSpan w:val="2"/>
            <w:noWrap/>
            <w:vAlign w:val="center"/>
          </w:tcPr>
          <w:p w14:paraId="19B333A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24C6A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56770902">
            <w:pPr>
              <w:spacing w:line="0" w:lineRule="atLeast"/>
              <w:jc w:val="center"/>
              <w:rPr>
                <w:rFonts w:hint="eastAsia" w:hAnsi="宋体" w:cs="宋体"/>
                <w:color w:val="000000"/>
                <w:spacing w:val="-10"/>
                <w:sz w:val="21"/>
                <w:szCs w:val="21"/>
              </w:rPr>
            </w:pPr>
          </w:p>
        </w:tc>
        <w:tc>
          <w:tcPr>
            <w:tcW w:w="709" w:type="dxa"/>
            <w:vMerge w:val="continue"/>
            <w:noWrap/>
            <w:vAlign w:val="center"/>
          </w:tcPr>
          <w:p w14:paraId="1C09A813">
            <w:pPr>
              <w:spacing w:line="0" w:lineRule="atLeast"/>
              <w:jc w:val="center"/>
              <w:rPr>
                <w:rFonts w:hint="eastAsia" w:hAnsi="宋体" w:cs="宋体"/>
                <w:color w:val="000000"/>
                <w:spacing w:val="-10"/>
                <w:sz w:val="21"/>
                <w:szCs w:val="21"/>
              </w:rPr>
            </w:pPr>
          </w:p>
        </w:tc>
        <w:tc>
          <w:tcPr>
            <w:tcW w:w="4750" w:type="dxa"/>
            <w:noWrap/>
            <w:vAlign w:val="center"/>
          </w:tcPr>
          <w:p w14:paraId="550712BD">
            <w:pPr>
              <w:adjustRightInd w:val="0"/>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2.严格控制林地、草地、园地农药使用量，禁止使用高毒、高残留农药</w:t>
            </w:r>
          </w:p>
        </w:tc>
        <w:tc>
          <w:tcPr>
            <w:tcW w:w="2274" w:type="dxa"/>
            <w:noWrap/>
            <w:vAlign w:val="center"/>
          </w:tcPr>
          <w:p w14:paraId="74A5EF8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gridSpan w:val="2"/>
            <w:noWrap/>
            <w:vAlign w:val="center"/>
          </w:tcPr>
          <w:p w14:paraId="75896A4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3EAD35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117" w:hRule="atLeast"/>
          <w:jc w:val="center"/>
        </w:trPr>
        <w:tc>
          <w:tcPr>
            <w:tcW w:w="798" w:type="dxa"/>
            <w:vMerge w:val="continue"/>
            <w:noWrap/>
            <w:vAlign w:val="center"/>
          </w:tcPr>
          <w:p w14:paraId="40AE4B98">
            <w:pPr>
              <w:spacing w:line="0" w:lineRule="atLeast"/>
              <w:jc w:val="center"/>
              <w:rPr>
                <w:rFonts w:hint="eastAsia" w:hAnsi="宋体" w:cs="宋体"/>
                <w:color w:val="000000"/>
                <w:spacing w:val="-10"/>
                <w:sz w:val="21"/>
                <w:szCs w:val="21"/>
              </w:rPr>
            </w:pPr>
          </w:p>
        </w:tc>
        <w:tc>
          <w:tcPr>
            <w:tcW w:w="709" w:type="dxa"/>
            <w:vMerge w:val="continue"/>
            <w:noWrap/>
            <w:vAlign w:val="center"/>
          </w:tcPr>
          <w:p w14:paraId="5DD33C87">
            <w:pPr>
              <w:spacing w:line="0" w:lineRule="atLeast"/>
              <w:jc w:val="center"/>
              <w:rPr>
                <w:rFonts w:hint="eastAsia" w:hAnsi="宋体" w:cs="宋体"/>
                <w:color w:val="000000"/>
                <w:spacing w:val="-10"/>
                <w:sz w:val="21"/>
                <w:szCs w:val="21"/>
              </w:rPr>
            </w:pPr>
          </w:p>
        </w:tc>
        <w:tc>
          <w:tcPr>
            <w:tcW w:w="4750" w:type="dxa"/>
            <w:noWrap/>
            <w:vAlign w:val="center"/>
          </w:tcPr>
          <w:p w14:paraId="337BE3DC">
            <w:pPr>
              <w:adjustRightInd w:val="0"/>
              <w:spacing w:line="0" w:lineRule="atLeast"/>
              <w:jc w:val="left"/>
              <w:rPr>
                <w:rFonts w:hint="eastAsia" w:hAnsi="宋体" w:cs="宋体"/>
                <w:color w:val="000000"/>
                <w:spacing w:val="-10"/>
                <w:sz w:val="21"/>
                <w:szCs w:val="21"/>
              </w:rPr>
            </w:pPr>
            <w:r>
              <w:rPr>
                <w:rFonts w:hint="eastAsia" w:hAnsi="宋体" w:cs="宋体"/>
                <w:color w:val="000000"/>
                <w:spacing w:val="-10"/>
                <w:sz w:val="21"/>
                <w:szCs w:val="21"/>
              </w:rPr>
              <w:t>3.加强种植业污染防治。深入推进化肥农药减量增效，全面推广测土配方施肥，引导推动有机肥、绿肥替代化肥，集成推广化肥减量增效技术模式，加强农药包装废弃物管理。实施农膜回收行动，健全农田废旧地膜回收利用体系，提高废旧地膜回收率。推进农作物秸秆综合利用，不断完善秸秆收储运用体系，形成布局合理、多元利用的秸秆综合利用格局</w:t>
            </w:r>
          </w:p>
        </w:tc>
        <w:tc>
          <w:tcPr>
            <w:tcW w:w="2274" w:type="dxa"/>
            <w:noWrap/>
            <w:vAlign w:val="center"/>
          </w:tcPr>
          <w:p w14:paraId="743959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gridSpan w:val="2"/>
            <w:noWrap/>
            <w:vAlign w:val="center"/>
          </w:tcPr>
          <w:p w14:paraId="464A6C7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CCCBF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51B7F598">
            <w:pPr>
              <w:spacing w:line="0" w:lineRule="atLeast"/>
              <w:jc w:val="center"/>
              <w:rPr>
                <w:rFonts w:hint="eastAsia" w:hAnsi="宋体" w:cs="宋体"/>
                <w:color w:val="000000"/>
                <w:spacing w:val="-10"/>
                <w:sz w:val="21"/>
                <w:szCs w:val="21"/>
              </w:rPr>
            </w:pPr>
          </w:p>
        </w:tc>
        <w:tc>
          <w:tcPr>
            <w:tcW w:w="709" w:type="dxa"/>
            <w:vMerge w:val="continue"/>
            <w:noWrap/>
            <w:vAlign w:val="center"/>
          </w:tcPr>
          <w:p w14:paraId="12EA5AE4">
            <w:pPr>
              <w:spacing w:line="0" w:lineRule="atLeast"/>
              <w:jc w:val="center"/>
              <w:rPr>
                <w:rFonts w:hint="eastAsia" w:hAnsi="宋体" w:cs="宋体"/>
                <w:color w:val="000000"/>
                <w:spacing w:val="-10"/>
                <w:sz w:val="21"/>
                <w:szCs w:val="21"/>
                <w:lang w:bidi="ar"/>
              </w:rPr>
            </w:pPr>
          </w:p>
        </w:tc>
        <w:tc>
          <w:tcPr>
            <w:tcW w:w="4750" w:type="dxa"/>
            <w:noWrap/>
            <w:vAlign w:val="center"/>
          </w:tcPr>
          <w:p w14:paraId="55C2806E">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4.对化学品生产企业、工业集聚区、尾矿库、矿山开采区、危险废物处置场、垃圾填埋场等地下水污染源及周边区域，逐步开展地下水环境状况调查评估，加强风险管控</w:t>
            </w:r>
          </w:p>
        </w:tc>
        <w:tc>
          <w:tcPr>
            <w:tcW w:w="2274" w:type="dxa"/>
            <w:noWrap/>
            <w:vAlign w:val="center"/>
          </w:tcPr>
          <w:p w14:paraId="119B3B46">
            <w:pPr>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拟建工程制定完善的地下水监测计划；切实保障地下水生态环境安全</w:t>
            </w:r>
          </w:p>
        </w:tc>
        <w:tc>
          <w:tcPr>
            <w:tcW w:w="484" w:type="dxa"/>
            <w:gridSpan w:val="2"/>
            <w:noWrap/>
            <w:vAlign w:val="center"/>
          </w:tcPr>
          <w:p w14:paraId="6B02888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7CEB7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35" w:hRule="atLeast"/>
          <w:jc w:val="center"/>
        </w:trPr>
        <w:tc>
          <w:tcPr>
            <w:tcW w:w="798" w:type="dxa"/>
            <w:vMerge w:val="continue"/>
            <w:noWrap/>
            <w:vAlign w:val="center"/>
          </w:tcPr>
          <w:p w14:paraId="3523D550">
            <w:pPr>
              <w:spacing w:line="0" w:lineRule="atLeast"/>
              <w:jc w:val="center"/>
              <w:rPr>
                <w:rFonts w:hint="eastAsia" w:hAnsi="宋体" w:cs="宋体"/>
                <w:color w:val="000000"/>
                <w:spacing w:val="-10"/>
                <w:sz w:val="21"/>
                <w:szCs w:val="21"/>
              </w:rPr>
            </w:pPr>
          </w:p>
        </w:tc>
        <w:tc>
          <w:tcPr>
            <w:tcW w:w="709" w:type="dxa"/>
            <w:vMerge w:val="continue"/>
            <w:noWrap/>
            <w:vAlign w:val="center"/>
          </w:tcPr>
          <w:p w14:paraId="7FD0437F">
            <w:pPr>
              <w:spacing w:line="0" w:lineRule="atLeast"/>
              <w:jc w:val="center"/>
              <w:rPr>
                <w:rFonts w:hint="eastAsia" w:hAnsi="宋体" w:cs="宋体"/>
                <w:color w:val="000000"/>
                <w:spacing w:val="-10"/>
                <w:sz w:val="21"/>
                <w:szCs w:val="21"/>
                <w:lang w:bidi="ar"/>
              </w:rPr>
            </w:pPr>
          </w:p>
        </w:tc>
        <w:tc>
          <w:tcPr>
            <w:tcW w:w="4750" w:type="dxa"/>
            <w:noWrap/>
            <w:vAlign w:val="center"/>
          </w:tcPr>
          <w:p w14:paraId="2BDFDEA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5.严控土壤重金属污染，加强油（气）田开发土壤污染防治，以历史遗留工业企业污染场地为重点，开展土壤污染风险管控与修复工程</w:t>
            </w:r>
          </w:p>
        </w:tc>
        <w:tc>
          <w:tcPr>
            <w:tcW w:w="2274" w:type="dxa"/>
            <w:noWrap/>
            <w:vAlign w:val="center"/>
          </w:tcPr>
          <w:p w14:paraId="5F30494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塔中Ⅰ号气田Ⅲ区已开展历史遗留污油泥清理工作，已完成受污染土壤清理工作</w:t>
            </w:r>
          </w:p>
        </w:tc>
        <w:tc>
          <w:tcPr>
            <w:tcW w:w="484" w:type="dxa"/>
            <w:gridSpan w:val="2"/>
            <w:noWrap/>
            <w:vAlign w:val="center"/>
          </w:tcPr>
          <w:p w14:paraId="5CD8F91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66707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84" w:hRule="atLeast"/>
          <w:jc w:val="center"/>
        </w:trPr>
        <w:tc>
          <w:tcPr>
            <w:tcW w:w="798" w:type="dxa"/>
            <w:vMerge w:val="continue"/>
            <w:noWrap/>
            <w:vAlign w:val="center"/>
          </w:tcPr>
          <w:p w14:paraId="2EE100E2">
            <w:pPr>
              <w:spacing w:line="0" w:lineRule="atLeast"/>
              <w:jc w:val="center"/>
              <w:rPr>
                <w:rFonts w:hint="eastAsia" w:hAnsi="宋体" w:cs="宋体"/>
                <w:color w:val="000000"/>
                <w:spacing w:val="-10"/>
                <w:sz w:val="21"/>
                <w:szCs w:val="21"/>
              </w:rPr>
            </w:pPr>
          </w:p>
        </w:tc>
        <w:tc>
          <w:tcPr>
            <w:tcW w:w="709" w:type="dxa"/>
            <w:vMerge w:val="continue"/>
            <w:noWrap/>
            <w:vAlign w:val="center"/>
          </w:tcPr>
          <w:p w14:paraId="188DB588">
            <w:pPr>
              <w:spacing w:line="0" w:lineRule="atLeast"/>
              <w:jc w:val="center"/>
              <w:rPr>
                <w:rFonts w:hint="eastAsia" w:hAnsi="宋体" w:cs="宋体"/>
                <w:color w:val="000000"/>
                <w:spacing w:val="-10"/>
                <w:sz w:val="21"/>
                <w:szCs w:val="21"/>
                <w:lang w:bidi="ar"/>
              </w:rPr>
            </w:pPr>
          </w:p>
        </w:tc>
        <w:tc>
          <w:tcPr>
            <w:tcW w:w="4750" w:type="dxa"/>
            <w:noWrap/>
            <w:vAlign w:val="center"/>
          </w:tcPr>
          <w:p w14:paraId="7653EE25">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6.因地制宜推进农村厕所革命，分类分区推进农村生活污水治理，全面提升农村生活垃圾治理水平，建立健全农村人居环境长效管护机制。实施化肥农药减量增效行动和农膜回收、秸秆综合利用行动。加强种养结合，整县推进畜禽粪污资源化利用</w:t>
            </w:r>
          </w:p>
        </w:tc>
        <w:tc>
          <w:tcPr>
            <w:tcW w:w="2274" w:type="dxa"/>
            <w:noWrap/>
            <w:vAlign w:val="center"/>
          </w:tcPr>
          <w:p w14:paraId="310669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拟建工程不涉及</w:t>
            </w:r>
          </w:p>
        </w:tc>
        <w:tc>
          <w:tcPr>
            <w:tcW w:w="484" w:type="dxa"/>
            <w:gridSpan w:val="2"/>
            <w:noWrap/>
            <w:vAlign w:val="center"/>
          </w:tcPr>
          <w:p w14:paraId="53838BA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034AE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restart"/>
            <w:noWrap/>
            <w:vAlign w:val="center"/>
          </w:tcPr>
          <w:p w14:paraId="646B5546">
            <w:pPr>
              <w:spacing w:line="0" w:lineRule="atLeast"/>
              <w:jc w:val="center"/>
              <w:rPr>
                <w:rFonts w:hAnsi="宋体" w:cs="宋体"/>
                <w:color w:val="000000"/>
                <w:spacing w:val="-10"/>
                <w:sz w:val="21"/>
                <w:szCs w:val="21"/>
              </w:rPr>
            </w:pPr>
            <w:r>
              <w:rPr>
                <w:rFonts w:hint="eastAsia" w:hAnsi="宋体" w:cs="宋体"/>
                <w:color w:val="000000"/>
                <w:spacing w:val="-10"/>
                <w:sz w:val="21"/>
                <w:szCs w:val="21"/>
              </w:rPr>
              <w:t>ZH65292430001沙雅县一般管控单元</w:t>
            </w:r>
          </w:p>
        </w:tc>
        <w:tc>
          <w:tcPr>
            <w:tcW w:w="709" w:type="dxa"/>
            <w:vMerge w:val="restart"/>
            <w:noWrap/>
            <w:vAlign w:val="center"/>
          </w:tcPr>
          <w:p w14:paraId="2348F90C">
            <w:pPr>
              <w:spacing w:line="0" w:lineRule="atLeast"/>
              <w:jc w:val="center"/>
              <w:rPr>
                <w:rFonts w:hAnsi="宋体" w:cs="宋体"/>
                <w:color w:val="000000"/>
                <w:spacing w:val="-10"/>
                <w:sz w:val="21"/>
                <w:szCs w:val="21"/>
                <w:lang w:bidi="ar"/>
              </w:rPr>
            </w:pPr>
            <w:r>
              <w:rPr>
                <w:rFonts w:hint="eastAsia" w:hAnsi="宋体" w:cs="宋体"/>
                <w:color w:val="000000"/>
                <w:spacing w:val="-10"/>
                <w:kern w:val="0"/>
                <w:sz w:val="21"/>
                <w:szCs w:val="21"/>
                <w:lang w:bidi="ar"/>
              </w:rPr>
              <w:t>环境风险防控</w:t>
            </w:r>
          </w:p>
        </w:tc>
        <w:tc>
          <w:tcPr>
            <w:tcW w:w="4750" w:type="dxa"/>
            <w:noWrap/>
            <w:vAlign w:val="center"/>
          </w:tcPr>
          <w:p w14:paraId="15576727">
            <w:pPr>
              <w:spacing w:line="0" w:lineRule="atLeast"/>
              <w:rPr>
                <w:rFonts w:hAnsi="宋体" w:cs="宋体"/>
                <w:color w:val="000000"/>
                <w:spacing w:val="-10"/>
                <w:sz w:val="21"/>
                <w:szCs w:val="21"/>
              </w:rPr>
            </w:pPr>
            <w:r>
              <w:rPr>
                <w:rFonts w:hint="eastAsia" w:hAnsi="宋体" w:cs="宋体"/>
                <w:color w:val="000000"/>
                <w:spacing w:val="-10"/>
                <w:sz w:val="21"/>
                <w:szCs w:val="21"/>
              </w:rPr>
              <w:t>1.加强对矿山、油田等矿产资源开采影响区域内未利用地的环境监管，发现土壤污染问题的，要坚决查处，并及时督促有关单位采取有效防治措施消除或减轻污染</w:t>
            </w:r>
          </w:p>
        </w:tc>
        <w:tc>
          <w:tcPr>
            <w:tcW w:w="2282" w:type="dxa"/>
            <w:gridSpan w:val="2"/>
            <w:noWrap/>
            <w:vAlign w:val="center"/>
          </w:tcPr>
          <w:p w14:paraId="7B52C441">
            <w:pPr>
              <w:spacing w:line="0" w:lineRule="atLeast"/>
              <w:rPr>
                <w:rFonts w:hint="eastAsia" w:hAnsi="宋体" w:cs="宋体"/>
                <w:color w:val="000000"/>
                <w:spacing w:val="-10"/>
                <w:sz w:val="21"/>
                <w:szCs w:val="21"/>
              </w:rPr>
            </w:pPr>
            <w:r>
              <w:rPr>
                <w:rFonts w:hint="eastAsia" w:hAnsi="宋体" w:cs="宋体"/>
                <w:color w:val="000000"/>
                <w:spacing w:val="-10"/>
                <w:sz w:val="21"/>
                <w:szCs w:val="21"/>
              </w:rPr>
              <w:t>塔中Ⅰ号气田</w:t>
            </w:r>
            <w:r>
              <w:rPr>
                <w:rFonts w:hAnsi="宋体" w:cs="宋体"/>
                <w:color w:val="000000"/>
                <w:spacing w:val="-10"/>
                <w:sz w:val="21"/>
                <w:szCs w:val="21"/>
              </w:rPr>
              <w:t>已</w:t>
            </w:r>
            <w:r>
              <w:rPr>
                <w:rFonts w:hint="eastAsia" w:hAnsi="宋体" w:cs="宋体"/>
                <w:color w:val="000000"/>
                <w:spacing w:val="-10"/>
                <w:sz w:val="21"/>
                <w:szCs w:val="21"/>
              </w:rPr>
              <w:t>对区域存在的</w:t>
            </w:r>
            <w:r>
              <w:rPr>
                <w:rFonts w:hAnsi="宋体" w:cs="宋体"/>
                <w:color w:val="000000"/>
                <w:spacing w:val="-10"/>
                <w:sz w:val="21"/>
                <w:szCs w:val="21"/>
              </w:rPr>
              <w:t>历史遗留污染场地</w:t>
            </w:r>
            <w:r>
              <w:rPr>
                <w:rFonts w:hint="eastAsia" w:hAnsi="宋体" w:cs="宋体"/>
                <w:color w:val="000000"/>
                <w:spacing w:val="-10"/>
                <w:sz w:val="21"/>
                <w:szCs w:val="21"/>
              </w:rPr>
              <w:t>进行治理</w:t>
            </w:r>
          </w:p>
        </w:tc>
        <w:tc>
          <w:tcPr>
            <w:tcW w:w="476" w:type="dxa"/>
            <w:noWrap/>
            <w:vAlign w:val="center"/>
          </w:tcPr>
          <w:p w14:paraId="162D689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FF851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776CE724">
            <w:pPr>
              <w:spacing w:line="0" w:lineRule="atLeast"/>
              <w:jc w:val="center"/>
              <w:rPr>
                <w:rFonts w:hAnsi="宋体" w:cs="宋体"/>
                <w:color w:val="000000"/>
                <w:spacing w:val="-10"/>
                <w:sz w:val="21"/>
                <w:szCs w:val="21"/>
                <w:lang w:bidi="ar"/>
              </w:rPr>
            </w:pPr>
          </w:p>
        </w:tc>
        <w:tc>
          <w:tcPr>
            <w:tcW w:w="709" w:type="dxa"/>
            <w:vMerge w:val="continue"/>
            <w:noWrap/>
            <w:vAlign w:val="center"/>
          </w:tcPr>
          <w:p w14:paraId="0FD1C89C">
            <w:pPr>
              <w:spacing w:line="0" w:lineRule="atLeast"/>
              <w:jc w:val="center"/>
              <w:rPr>
                <w:rFonts w:hAnsi="宋体" w:cs="宋体"/>
                <w:color w:val="000000"/>
                <w:spacing w:val="-10"/>
                <w:kern w:val="0"/>
                <w:sz w:val="21"/>
                <w:szCs w:val="21"/>
                <w:lang w:bidi="ar"/>
              </w:rPr>
            </w:pPr>
          </w:p>
        </w:tc>
        <w:tc>
          <w:tcPr>
            <w:tcW w:w="4750" w:type="dxa"/>
            <w:noWrap/>
            <w:vAlign w:val="center"/>
          </w:tcPr>
          <w:p w14:paraId="18303D2E">
            <w:pPr>
              <w:spacing w:line="0" w:lineRule="atLeast"/>
              <w:jc w:val="left"/>
              <w:rPr>
                <w:rFonts w:hAnsi="宋体" w:cs="宋体"/>
                <w:color w:val="000000"/>
                <w:spacing w:val="-10"/>
                <w:sz w:val="21"/>
                <w:szCs w:val="21"/>
              </w:rPr>
            </w:pPr>
            <w:r>
              <w:rPr>
                <w:rFonts w:hint="eastAsia" w:hAnsi="宋体" w:cs="宋体"/>
                <w:color w:val="000000"/>
                <w:spacing w:val="-10"/>
                <w:sz w:val="21"/>
                <w:szCs w:val="21"/>
                <w:lang w:bidi="ar"/>
              </w:rPr>
              <w:t>2.对排查出的危库和病库以及风险评估有严重环境安全隐患的尾矿库，要求企业完善污染治理设施、进行治理和修复。全面整治历史遗留尾矿库，完善覆膜、压土、排洪、堤坝加固等隐患治理和闭库措施</w:t>
            </w:r>
          </w:p>
        </w:tc>
        <w:tc>
          <w:tcPr>
            <w:tcW w:w="2282" w:type="dxa"/>
            <w:gridSpan w:val="2"/>
            <w:noWrap/>
            <w:vAlign w:val="center"/>
          </w:tcPr>
          <w:p w14:paraId="22B95B98">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476" w:type="dxa"/>
            <w:noWrap/>
            <w:vAlign w:val="center"/>
          </w:tcPr>
          <w:p w14:paraId="4C043902">
            <w:pPr>
              <w:adjustRightInd w:val="0"/>
              <w:spacing w:line="0" w:lineRule="atLeast"/>
              <w:jc w:val="center"/>
              <w:rPr>
                <w:rFonts w:hAnsi="宋体" w:cs="宋体"/>
                <w:color w:val="000000"/>
                <w:spacing w:val="-10"/>
                <w:sz w:val="21"/>
                <w:szCs w:val="21"/>
              </w:rPr>
            </w:pPr>
            <w:r>
              <w:rPr>
                <w:rFonts w:hint="eastAsia" w:hAnsi="宋体"/>
                <w:color w:val="000000"/>
                <w:spacing w:val="-10"/>
                <w:sz w:val="21"/>
                <w:szCs w:val="21"/>
              </w:rPr>
              <w:t>--</w:t>
            </w:r>
          </w:p>
        </w:tc>
      </w:tr>
    </w:tbl>
    <w:p w14:paraId="7E84186B">
      <w:pPr>
        <w:spacing w:line="460" w:lineRule="exact"/>
        <w:ind w:firstLine="526" w:firstLineChars="200"/>
        <w:rPr>
          <w:rFonts w:ascii="黑体" w:hAnsi="宋体" w:eastAsia="黑体"/>
          <w:color w:val="000000"/>
          <w:szCs w:val="24"/>
        </w:rPr>
      </w:pPr>
      <w:r>
        <w:br w:type="page"/>
      </w:r>
      <w:r>
        <w:rPr>
          <w:rFonts w:hint="eastAsia" w:ascii="黑体" w:hAnsi="黑体" w:eastAsia="黑体"/>
        </w:rPr>
        <w:t>续</w:t>
      </w:r>
      <w:r>
        <w:rPr>
          <w:rFonts w:hint="eastAsia" w:ascii="黑体" w:hAnsi="宋体" w:eastAsia="黑体" w:cs="宋体"/>
          <w:color w:val="000000"/>
          <w:szCs w:val="24"/>
        </w:rPr>
        <w:t>表3.5-7 拟建工程与所在管控单元管控要求符合性分析一览表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97"/>
        <w:gridCol w:w="714"/>
        <w:gridCol w:w="4747"/>
        <w:gridCol w:w="2273"/>
        <w:gridCol w:w="8"/>
        <w:gridCol w:w="476"/>
      </w:tblGrid>
      <w:tr w14:paraId="28F3D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noWrap/>
            <w:vAlign w:val="center"/>
          </w:tcPr>
          <w:p w14:paraId="6594405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5459" w:type="dxa"/>
            <w:gridSpan w:val="2"/>
            <w:noWrap/>
            <w:vAlign w:val="center"/>
          </w:tcPr>
          <w:p w14:paraId="552DFC3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文件要求</w:t>
            </w:r>
          </w:p>
        </w:tc>
        <w:tc>
          <w:tcPr>
            <w:tcW w:w="2274" w:type="dxa"/>
            <w:noWrap/>
            <w:vAlign w:val="center"/>
          </w:tcPr>
          <w:p w14:paraId="587B57D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拟建工程</w:t>
            </w:r>
          </w:p>
        </w:tc>
        <w:tc>
          <w:tcPr>
            <w:tcW w:w="484" w:type="dxa"/>
            <w:gridSpan w:val="2"/>
            <w:noWrap/>
            <w:vAlign w:val="center"/>
          </w:tcPr>
          <w:p w14:paraId="17A74D2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符合性</w:t>
            </w:r>
          </w:p>
        </w:tc>
      </w:tr>
      <w:tr w14:paraId="560DD7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restart"/>
            <w:noWrap/>
            <w:vAlign w:val="center"/>
          </w:tcPr>
          <w:p w14:paraId="1A476EAB">
            <w:pPr>
              <w:spacing w:line="0" w:lineRule="atLeast"/>
              <w:jc w:val="center"/>
              <w:rPr>
                <w:rFonts w:hAnsi="宋体" w:cs="宋体"/>
                <w:color w:val="000000"/>
                <w:spacing w:val="-10"/>
                <w:sz w:val="21"/>
                <w:szCs w:val="21"/>
              </w:rPr>
            </w:pPr>
            <w:r>
              <w:rPr>
                <w:rFonts w:hint="eastAsia" w:hAnsi="宋体" w:cs="宋体"/>
                <w:color w:val="000000"/>
                <w:spacing w:val="-10"/>
                <w:sz w:val="21"/>
                <w:szCs w:val="21"/>
              </w:rPr>
              <w:t>ZH65292430001沙雅县一般管控单元</w:t>
            </w:r>
          </w:p>
        </w:tc>
        <w:tc>
          <w:tcPr>
            <w:tcW w:w="709" w:type="dxa"/>
            <w:noWrap/>
            <w:vAlign w:val="center"/>
          </w:tcPr>
          <w:p w14:paraId="309C2C68">
            <w:pPr>
              <w:spacing w:line="0" w:lineRule="atLeast"/>
              <w:jc w:val="center"/>
              <w:rPr>
                <w:rFonts w:hAnsi="宋体" w:cs="宋体"/>
                <w:color w:val="000000"/>
                <w:spacing w:val="-10"/>
                <w:sz w:val="21"/>
                <w:szCs w:val="21"/>
                <w:lang w:bidi="ar"/>
              </w:rPr>
            </w:pPr>
            <w:r>
              <w:rPr>
                <w:rFonts w:hint="eastAsia" w:hAnsi="宋体" w:cs="宋体"/>
                <w:color w:val="000000"/>
                <w:spacing w:val="-10"/>
                <w:kern w:val="0"/>
                <w:sz w:val="21"/>
                <w:szCs w:val="21"/>
                <w:lang w:bidi="ar"/>
              </w:rPr>
              <w:t>环境风险防控</w:t>
            </w:r>
          </w:p>
        </w:tc>
        <w:tc>
          <w:tcPr>
            <w:tcW w:w="4750" w:type="dxa"/>
            <w:noWrap/>
            <w:vAlign w:val="center"/>
          </w:tcPr>
          <w:p w14:paraId="6FDB5567">
            <w:pPr>
              <w:spacing w:line="0" w:lineRule="atLeast"/>
              <w:jc w:val="left"/>
              <w:rPr>
                <w:rFonts w:hAnsi="宋体" w:cs="宋体"/>
                <w:color w:val="000000"/>
                <w:spacing w:val="-10"/>
                <w:sz w:val="21"/>
                <w:szCs w:val="21"/>
                <w:lang w:bidi="ar"/>
              </w:rPr>
            </w:pPr>
            <w:r>
              <w:rPr>
                <w:rFonts w:hint="eastAsia" w:hAnsi="宋体" w:cs="宋体"/>
                <w:color w:val="000000"/>
                <w:spacing w:val="-10"/>
                <w:sz w:val="21"/>
                <w:szCs w:val="21"/>
                <w:lang w:bidi="ar"/>
              </w:rPr>
              <w:t>3.依法推行农用地分类管理制度，强化受污染耕地安全利用和风险管控。因地制宜制定实施安全利用方案，鼓励采取种植结构调整等措施，确保受污染耕地全部实现安全利用</w:t>
            </w:r>
          </w:p>
        </w:tc>
        <w:tc>
          <w:tcPr>
            <w:tcW w:w="2282" w:type="dxa"/>
            <w:gridSpan w:val="2"/>
            <w:noWrap/>
            <w:vAlign w:val="center"/>
          </w:tcPr>
          <w:p w14:paraId="5CC6F490">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476" w:type="dxa"/>
            <w:noWrap/>
            <w:vAlign w:val="center"/>
          </w:tcPr>
          <w:p w14:paraId="33B67175">
            <w:pPr>
              <w:adjustRightInd w:val="0"/>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2B2D26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6AE3D44A">
            <w:pPr>
              <w:spacing w:line="0" w:lineRule="atLeast"/>
              <w:jc w:val="center"/>
              <w:rPr>
                <w:rFonts w:hAnsi="宋体" w:cs="宋体"/>
                <w:color w:val="000000"/>
                <w:spacing w:val="-10"/>
                <w:sz w:val="21"/>
                <w:szCs w:val="21"/>
                <w:lang w:bidi="ar"/>
              </w:rPr>
            </w:pPr>
          </w:p>
        </w:tc>
        <w:tc>
          <w:tcPr>
            <w:tcW w:w="709" w:type="dxa"/>
            <w:vMerge w:val="restart"/>
            <w:noWrap/>
            <w:vAlign w:val="center"/>
          </w:tcPr>
          <w:p w14:paraId="060E4826">
            <w:pPr>
              <w:spacing w:line="0" w:lineRule="atLeast"/>
              <w:jc w:val="center"/>
              <w:rPr>
                <w:rFonts w:hAnsi="宋体" w:cs="宋体"/>
                <w:color w:val="000000"/>
                <w:spacing w:val="-10"/>
                <w:kern w:val="0"/>
                <w:sz w:val="21"/>
                <w:szCs w:val="21"/>
                <w:lang w:bidi="ar"/>
              </w:rPr>
            </w:pPr>
            <w:r>
              <w:rPr>
                <w:rFonts w:hint="eastAsia" w:hAnsi="宋体" w:cs="宋体"/>
                <w:color w:val="000000"/>
                <w:spacing w:val="-10"/>
                <w:sz w:val="21"/>
                <w:szCs w:val="21"/>
                <w:lang w:bidi="ar"/>
              </w:rPr>
              <w:t>资源利用效率</w:t>
            </w:r>
          </w:p>
        </w:tc>
        <w:tc>
          <w:tcPr>
            <w:tcW w:w="4750" w:type="dxa"/>
            <w:noWrap/>
            <w:vAlign w:val="center"/>
          </w:tcPr>
          <w:p w14:paraId="43B61E37">
            <w:pPr>
              <w:spacing w:line="0" w:lineRule="atLeast"/>
              <w:jc w:val="left"/>
              <w:rPr>
                <w:rFonts w:hAnsi="宋体" w:cs="宋体"/>
                <w:color w:val="000000"/>
                <w:spacing w:val="-10"/>
                <w:sz w:val="21"/>
                <w:szCs w:val="21"/>
              </w:rPr>
            </w:pPr>
            <w:r>
              <w:rPr>
                <w:rFonts w:hint="eastAsia" w:hAnsi="宋体" w:cs="宋体"/>
                <w:color w:val="000000"/>
                <w:spacing w:val="-10"/>
                <w:sz w:val="21"/>
                <w:szCs w:val="21"/>
              </w:rPr>
              <w:t>1.全面推进秸秆综合利用，鼓励秸秆资源化、饲料化、肥料化利用，推动秸秆还田与离田收集</w:t>
            </w:r>
          </w:p>
        </w:tc>
        <w:tc>
          <w:tcPr>
            <w:tcW w:w="2282" w:type="dxa"/>
            <w:gridSpan w:val="2"/>
            <w:noWrap/>
            <w:vAlign w:val="center"/>
          </w:tcPr>
          <w:p w14:paraId="28E2DA80">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476" w:type="dxa"/>
            <w:noWrap/>
            <w:vAlign w:val="center"/>
          </w:tcPr>
          <w:p w14:paraId="01EF5AE9">
            <w:pPr>
              <w:adjustRightInd w:val="0"/>
              <w:spacing w:line="0" w:lineRule="atLeast"/>
              <w:jc w:val="center"/>
              <w:rPr>
                <w:rFonts w:hAnsi="宋体" w:cs="宋体"/>
                <w:color w:val="000000"/>
                <w:spacing w:val="-10"/>
                <w:sz w:val="21"/>
                <w:szCs w:val="21"/>
              </w:rPr>
            </w:pPr>
            <w:r>
              <w:rPr>
                <w:rFonts w:hint="eastAsia" w:hAnsi="宋体"/>
                <w:color w:val="000000"/>
                <w:spacing w:val="-10"/>
                <w:sz w:val="21"/>
                <w:szCs w:val="21"/>
              </w:rPr>
              <w:t>--</w:t>
            </w:r>
          </w:p>
        </w:tc>
      </w:tr>
      <w:tr w14:paraId="018B88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129C67C3">
            <w:pPr>
              <w:spacing w:line="0" w:lineRule="atLeast"/>
              <w:jc w:val="center"/>
              <w:rPr>
                <w:rFonts w:hAnsi="宋体" w:cs="宋体"/>
                <w:color w:val="000000"/>
                <w:spacing w:val="-10"/>
                <w:sz w:val="21"/>
                <w:szCs w:val="21"/>
                <w:lang w:bidi="ar"/>
              </w:rPr>
            </w:pPr>
          </w:p>
        </w:tc>
        <w:tc>
          <w:tcPr>
            <w:tcW w:w="709" w:type="dxa"/>
            <w:vMerge w:val="continue"/>
            <w:noWrap/>
            <w:vAlign w:val="center"/>
          </w:tcPr>
          <w:p w14:paraId="2DC11DD4">
            <w:pPr>
              <w:spacing w:line="0" w:lineRule="atLeast"/>
              <w:jc w:val="center"/>
              <w:rPr>
                <w:rFonts w:hAnsi="宋体" w:cs="宋体"/>
                <w:color w:val="000000"/>
                <w:spacing w:val="-10"/>
                <w:kern w:val="0"/>
                <w:sz w:val="21"/>
                <w:szCs w:val="21"/>
                <w:lang w:bidi="ar"/>
              </w:rPr>
            </w:pPr>
          </w:p>
        </w:tc>
        <w:tc>
          <w:tcPr>
            <w:tcW w:w="4750" w:type="dxa"/>
            <w:noWrap/>
            <w:vAlign w:val="center"/>
          </w:tcPr>
          <w:p w14:paraId="42E409E0">
            <w:pPr>
              <w:adjustRightInd w:val="0"/>
              <w:spacing w:line="0" w:lineRule="atLeast"/>
              <w:jc w:val="left"/>
              <w:rPr>
                <w:rFonts w:hAnsi="宋体" w:cs="宋体"/>
                <w:color w:val="000000"/>
                <w:spacing w:val="-10"/>
                <w:sz w:val="21"/>
                <w:szCs w:val="21"/>
                <w:lang w:bidi="ar"/>
              </w:rPr>
            </w:pPr>
            <w:r>
              <w:rPr>
                <w:rFonts w:hint="eastAsia" w:hAnsi="宋体" w:cs="宋体"/>
                <w:color w:val="000000"/>
                <w:spacing w:val="-10"/>
                <w:sz w:val="21"/>
                <w:szCs w:val="21"/>
              </w:rPr>
              <w:t>2.减少化肥农药使用量，增加有机肥使用量，实现化肥农药使用量负增长</w:t>
            </w:r>
          </w:p>
        </w:tc>
        <w:tc>
          <w:tcPr>
            <w:tcW w:w="2282" w:type="dxa"/>
            <w:gridSpan w:val="2"/>
            <w:noWrap/>
            <w:vAlign w:val="center"/>
          </w:tcPr>
          <w:p w14:paraId="1E84A605">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476" w:type="dxa"/>
            <w:noWrap/>
            <w:vAlign w:val="center"/>
          </w:tcPr>
          <w:p w14:paraId="1E31B14E">
            <w:pPr>
              <w:adjustRightInd w:val="0"/>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6EC836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8" w:type="dxa"/>
            <w:vMerge w:val="continue"/>
            <w:noWrap/>
            <w:vAlign w:val="center"/>
          </w:tcPr>
          <w:p w14:paraId="0584D15F">
            <w:pPr>
              <w:spacing w:line="0" w:lineRule="atLeast"/>
              <w:jc w:val="center"/>
              <w:rPr>
                <w:rFonts w:hAnsi="宋体" w:cs="宋体"/>
                <w:color w:val="000000"/>
                <w:spacing w:val="-10"/>
                <w:sz w:val="21"/>
                <w:szCs w:val="21"/>
                <w:lang w:bidi="ar"/>
              </w:rPr>
            </w:pPr>
          </w:p>
        </w:tc>
        <w:tc>
          <w:tcPr>
            <w:tcW w:w="709" w:type="dxa"/>
            <w:vMerge w:val="continue"/>
            <w:noWrap/>
            <w:vAlign w:val="center"/>
          </w:tcPr>
          <w:p w14:paraId="7FF4699D">
            <w:pPr>
              <w:spacing w:line="0" w:lineRule="atLeast"/>
              <w:jc w:val="center"/>
              <w:rPr>
                <w:rFonts w:hAnsi="宋体" w:cs="宋体"/>
                <w:color w:val="000000"/>
                <w:spacing w:val="-10"/>
                <w:kern w:val="0"/>
                <w:sz w:val="21"/>
                <w:szCs w:val="21"/>
                <w:lang w:bidi="ar"/>
              </w:rPr>
            </w:pPr>
          </w:p>
        </w:tc>
        <w:tc>
          <w:tcPr>
            <w:tcW w:w="4750" w:type="dxa"/>
            <w:noWrap/>
            <w:vAlign w:val="center"/>
          </w:tcPr>
          <w:p w14:paraId="7EBC1417">
            <w:pPr>
              <w:adjustRightInd w:val="0"/>
              <w:spacing w:line="0" w:lineRule="atLeast"/>
              <w:jc w:val="left"/>
              <w:rPr>
                <w:rFonts w:hAnsi="宋体" w:cs="宋体"/>
                <w:color w:val="000000"/>
                <w:spacing w:val="-10"/>
                <w:sz w:val="21"/>
                <w:szCs w:val="21"/>
                <w:lang w:bidi="ar"/>
              </w:rPr>
            </w:pPr>
            <w:r>
              <w:rPr>
                <w:rFonts w:hint="eastAsia" w:hAnsi="宋体" w:cs="宋体"/>
                <w:color w:val="000000"/>
                <w:spacing w:val="-10"/>
                <w:sz w:val="21"/>
                <w:szCs w:val="21"/>
              </w:rPr>
              <w:t>3.推广渠道防渗、管道输水、喷灌、微灌等节水灌溉技术，完善灌溉用水计量设施。推进规模化高效节水灌溉，推广农作物节水抗旱技术。建立灌区墒情测报网络，提高农业用水效率，降低农业用水比重</w:t>
            </w:r>
          </w:p>
        </w:tc>
        <w:tc>
          <w:tcPr>
            <w:tcW w:w="2282" w:type="dxa"/>
            <w:gridSpan w:val="2"/>
            <w:noWrap/>
            <w:vAlign w:val="center"/>
          </w:tcPr>
          <w:p w14:paraId="652384E6">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拟建工程不涉及</w:t>
            </w:r>
          </w:p>
        </w:tc>
        <w:tc>
          <w:tcPr>
            <w:tcW w:w="476" w:type="dxa"/>
            <w:noWrap/>
            <w:vAlign w:val="center"/>
          </w:tcPr>
          <w:p w14:paraId="1A4CF624">
            <w:pPr>
              <w:adjustRightInd w:val="0"/>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288B5A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59" w:hRule="atLeast"/>
          <w:jc w:val="center"/>
        </w:trPr>
        <w:tc>
          <w:tcPr>
            <w:tcW w:w="798" w:type="dxa"/>
            <w:vMerge w:val="restart"/>
            <w:tcMar>
              <w:left w:w="28" w:type="dxa"/>
              <w:right w:w="28" w:type="dxa"/>
            </w:tcMar>
            <w:vAlign w:val="center"/>
          </w:tcPr>
          <w:p w14:paraId="1782937D">
            <w:pPr>
              <w:spacing w:line="0" w:lineRule="atLeast"/>
              <w:jc w:val="center"/>
              <w:rPr>
                <w:rFonts w:hint="eastAsia" w:hAnsi="宋体"/>
                <w:color w:val="000000"/>
                <w:spacing w:val="-10"/>
                <w:sz w:val="21"/>
                <w:szCs w:val="21"/>
              </w:rPr>
            </w:pPr>
            <w:r>
              <w:rPr>
                <w:rFonts w:hint="eastAsia" w:hAnsi="宋体" w:cs="宋体"/>
                <w:color w:val="000000"/>
                <w:spacing w:val="-10"/>
                <w:kern w:val="0"/>
                <w:sz w:val="21"/>
                <w:szCs w:val="21"/>
              </w:rPr>
              <w:t>ZH65322730001民丰县一般管控单元</w:t>
            </w:r>
          </w:p>
        </w:tc>
        <w:tc>
          <w:tcPr>
            <w:tcW w:w="714" w:type="dxa"/>
            <w:tcMar>
              <w:left w:w="28" w:type="dxa"/>
              <w:right w:w="28" w:type="dxa"/>
            </w:tcMar>
            <w:vAlign w:val="center"/>
          </w:tcPr>
          <w:p w14:paraId="07E27A84">
            <w:pPr>
              <w:adjustRightInd w:val="0"/>
              <w:spacing w:line="0" w:lineRule="atLeast"/>
              <w:jc w:val="center"/>
              <w:rPr>
                <w:rFonts w:hint="eastAsia" w:hAnsi="宋体" w:cs="宋体"/>
                <w:color w:val="000000"/>
                <w:spacing w:val="-10"/>
                <w:sz w:val="21"/>
                <w:szCs w:val="21"/>
                <w:lang w:eastAsia="en-US"/>
              </w:rPr>
            </w:pPr>
            <w:r>
              <w:rPr>
                <w:rFonts w:hint="eastAsia" w:hAnsi="宋体" w:cs="宋体"/>
                <w:color w:val="000000"/>
                <w:spacing w:val="-10"/>
                <w:sz w:val="21"/>
                <w:szCs w:val="21"/>
              </w:rPr>
              <w:t>空间布局约束</w:t>
            </w:r>
          </w:p>
        </w:tc>
        <w:tc>
          <w:tcPr>
            <w:tcW w:w="4745" w:type="dxa"/>
            <w:tcMar>
              <w:left w:w="28" w:type="dxa"/>
              <w:right w:w="28" w:type="dxa"/>
            </w:tcMar>
            <w:vAlign w:val="center"/>
          </w:tcPr>
          <w:p w14:paraId="2FC0F7B8">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执行和田地区总体管控要求、一般管控单元分类管控要求中关于空间布局约束的准入要求。</w:t>
            </w:r>
          </w:p>
        </w:tc>
        <w:tc>
          <w:tcPr>
            <w:tcW w:w="2282" w:type="dxa"/>
            <w:gridSpan w:val="2"/>
            <w:tcMar>
              <w:left w:w="28" w:type="dxa"/>
              <w:right w:w="28" w:type="dxa"/>
            </w:tcMar>
            <w:vAlign w:val="center"/>
          </w:tcPr>
          <w:p w14:paraId="44B28D5B">
            <w:pPr>
              <w:spacing w:line="0" w:lineRule="atLeast"/>
              <w:rPr>
                <w:rFonts w:hAnsi="宋体" w:cs="宋体"/>
                <w:color w:val="000000"/>
                <w:spacing w:val="-10"/>
                <w:sz w:val="21"/>
                <w:szCs w:val="21"/>
              </w:rPr>
            </w:pPr>
            <w:r>
              <w:rPr>
                <w:rFonts w:hint="eastAsia" w:hAnsi="宋体" w:cs="宋体"/>
                <w:color w:val="000000"/>
                <w:spacing w:val="-10"/>
                <w:sz w:val="21"/>
                <w:szCs w:val="21"/>
              </w:rPr>
              <w:t>拟建工程满足和田地区总体管控要求中“空间布局约束”要求</w:t>
            </w:r>
          </w:p>
        </w:tc>
        <w:tc>
          <w:tcPr>
            <w:tcW w:w="476" w:type="dxa"/>
            <w:tcMar>
              <w:left w:w="28" w:type="dxa"/>
              <w:right w:w="28" w:type="dxa"/>
            </w:tcMar>
            <w:vAlign w:val="center"/>
          </w:tcPr>
          <w:p w14:paraId="4D58B47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19FEDA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98" w:type="dxa"/>
            <w:vMerge w:val="continue"/>
            <w:tcMar>
              <w:left w:w="28" w:type="dxa"/>
              <w:right w:w="28" w:type="dxa"/>
            </w:tcMar>
            <w:vAlign w:val="center"/>
          </w:tcPr>
          <w:p w14:paraId="534E4910">
            <w:pPr>
              <w:spacing w:line="0" w:lineRule="atLeast"/>
              <w:jc w:val="center"/>
              <w:rPr>
                <w:rFonts w:hint="eastAsia" w:hAnsi="宋体"/>
                <w:color w:val="000000"/>
                <w:spacing w:val="-10"/>
                <w:sz w:val="21"/>
                <w:szCs w:val="21"/>
              </w:rPr>
            </w:pPr>
          </w:p>
        </w:tc>
        <w:tc>
          <w:tcPr>
            <w:tcW w:w="714" w:type="dxa"/>
            <w:tcMar>
              <w:left w:w="28" w:type="dxa"/>
              <w:right w:w="28" w:type="dxa"/>
            </w:tcMar>
            <w:vAlign w:val="center"/>
          </w:tcPr>
          <w:p w14:paraId="5D812C1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污染物排放管控</w:t>
            </w:r>
          </w:p>
        </w:tc>
        <w:tc>
          <w:tcPr>
            <w:tcW w:w="4745" w:type="dxa"/>
            <w:tcMar>
              <w:left w:w="28" w:type="dxa"/>
              <w:right w:w="28" w:type="dxa"/>
            </w:tcMar>
            <w:vAlign w:val="center"/>
          </w:tcPr>
          <w:p w14:paraId="55B44487">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执行和田地区总体管控要求、一般管控单元分类管控要求中关于污染物排放管控的准入要求。</w:t>
            </w:r>
          </w:p>
        </w:tc>
        <w:tc>
          <w:tcPr>
            <w:tcW w:w="2282" w:type="dxa"/>
            <w:gridSpan w:val="2"/>
            <w:tcMar>
              <w:left w:w="28" w:type="dxa"/>
              <w:right w:w="28" w:type="dxa"/>
            </w:tcMar>
            <w:vAlign w:val="center"/>
          </w:tcPr>
          <w:p w14:paraId="0CDE1D0C">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拟建工程满足和田地区总体管控要求、一般管控单元分类管控要求中关于污染物排放管控的准入要求</w:t>
            </w:r>
          </w:p>
        </w:tc>
        <w:tc>
          <w:tcPr>
            <w:tcW w:w="476" w:type="dxa"/>
            <w:tcMar>
              <w:left w:w="28" w:type="dxa"/>
              <w:right w:w="28" w:type="dxa"/>
            </w:tcMar>
            <w:vAlign w:val="center"/>
          </w:tcPr>
          <w:p w14:paraId="78CC97D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4B579D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125" w:hRule="atLeast"/>
          <w:jc w:val="center"/>
        </w:trPr>
        <w:tc>
          <w:tcPr>
            <w:tcW w:w="798" w:type="dxa"/>
            <w:vMerge w:val="continue"/>
            <w:tcMar>
              <w:left w:w="28" w:type="dxa"/>
              <w:right w:w="28" w:type="dxa"/>
            </w:tcMar>
            <w:vAlign w:val="center"/>
          </w:tcPr>
          <w:p w14:paraId="6A2F7340">
            <w:pPr>
              <w:spacing w:line="0" w:lineRule="atLeast"/>
              <w:jc w:val="center"/>
              <w:rPr>
                <w:rFonts w:hint="eastAsia" w:hAnsi="宋体" w:cs="宋体"/>
                <w:color w:val="000000"/>
                <w:spacing w:val="-10"/>
                <w:kern w:val="0"/>
                <w:sz w:val="21"/>
                <w:szCs w:val="21"/>
              </w:rPr>
            </w:pPr>
          </w:p>
        </w:tc>
        <w:tc>
          <w:tcPr>
            <w:tcW w:w="714" w:type="dxa"/>
            <w:tcMar>
              <w:left w:w="28" w:type="dxa"/>
              <w:right w:w="28" w:type="dxa"/>
            </w:tcMar>
            <w:vAlign w:val="center"/>
          </w:tcPr>
          <w:p w14:paraId="3380E9F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环境风险防控</w:t>
            </w:r>
          </w:p>
        </w:tc>
        <w:tc>
          <w:tcPr>
            <w:tcW w:w="4745" w:type="dxa"/>
            <w:tcMar>
              <w:left w:w="28" w:type="dxa"/>
              <w:right w:w="28" w:type="dxa"/>
            </w:tcMar>
            <w:vAlign w:val="center"/>
          </w:tcPr>
          <w:p w14:paraId="2E93C484">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执行和田地区总体管控要求、一般管控单元分类管控要求中关于环境风险防控的准入要求。</w:t>
            </w:r>
          </w:p>
        </w:tc>
        <w:tc>
          <w:tcPr>
            <w:tcW w:w="2282" w:type="dxa"/>
            <w:gridSpan w:val="2"/>
            <w:tcMar>
              <w:left w:w="28" w:type="dxa"/>
              <w:right w:w="28" w:type="dxa"/>
            </w:tcMar>
            <w:vAlign w:val="center"/>
          </w:tcPr>
          <w:p w14:paraId="5442CF2E">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拟建工程满足和田地区总体管控要求、一般管控单元分类管控要求中关于环境风险防控的准入要求</w:t>
            </w:r>
          </w:p>
        </w:tc>
        <w:tc>
          <w:tcPr>
            <w:tcW w:w="476" w:type="dxa"/>
            <w:tcMar>
              <w:left w:w="28" w:type="dxa"/>
              <w:right w:w="28" w:type="dxa"/>
            </w:tcMar>
            <w:vAlign w:val="center"/>
          </w:tcPr>
          <w:p w14:paraId="64263C2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r w14:paraId="525658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17" w:hRule="atLeast"/>
          <w:jc w:val="center"/>
        </w:trPr>
        <w:tc>
          <w:tcPr>
            <w:tcW w:w="798" w:type="dxa"/>
            <w:vMerge w:val="continue"/>
            <w:tcMar>
              <w:left w:w="28" w:type="dxa"/>
              <w:right w:w="28" w:type="dxa"/>
            </w:tcMar>
            <w:vAlign w:val="center"/>
          </w:tcPr>
          <w:p w14:paraId="529A9216">
            <w:pPr>
              <w:spacing w:line="0" w:lineRule="atLeast"/>
              <w:jc w:val="center"/>
              <w:rPr>
                <w:rFonts w:hint="eastAsia" w:hAnsi="宋体"/>
                <w:color w:val="000000"/>
                <w:spacing w:val="-10"/>
                <w:sz w:val="21"/>
                <w:szCs w:val="21"/>
              </w:rPr>
            </w:pPr>
          </w:p>
        </w:tc>
        <w:tc>
          <w:tcPr>
            <w:tcW w:w="714" w:type="dxa"/>
            <w:tcMar>
              <w:left w:w="28" w:type="dxa"/>
              <w:right w:w="28" w:type="dxa"/>
            </w:tcMar>
            <w:vAlign w:val="center"/>
          </w:tcPr>
          <w:p w14:paraId="56D2D2D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资源</w:t>
            </w:r>
          </w:p>
          <w:p w14:paraId="33A269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利用</w:t>
            </w:r>
          </w:p>
          <w:p w14:paraId="3B288372">
            <w:pPr>
              <w:spacing w:line="0" w:lineRule="atLeast"/>
              <w:jc w:val="center"/>
              <w:rPr>
                <w:rFonts w:hint="eastAsia" w:hAnsi="宋体" w:cs="宋体"/>
                <w:color w:val="000000"/>
                <w:spacing w:val="-10"/>
                <w:sz w:val="21"/>
                <w:szCs w:val="21"/>
                <w:lang w:eastAsia="en-US"/>
              </w:rPr>
            </w:pPr>
            <w:r>
              <w:rPr>
                <w:rFonts w:hint="eastAsia" w:hAnsi="宋体" w:cs="宋体"/>
                <w:color w:val="000000"/>
                <w:spacing w:val="-10"/>
                <w:sz w:val="21"/>
                <w:szCs w:val="21"/>
              </w:rPr>
              <w:t>效率</w:t>
            </w:r>
          </w:p>
        </w:tc>
        <w:tc>
          <w:tcPr>
            <w:tcW w:w="4745" w:type="dxa"/>
            <w:tcMar>
              <w:left w:w="28" w:type="dxa"/>
              <w:right w:w="28" w:type="dxa"/>
            </w:tcMar>
            <w:vAlign w:val="center"/>
          </w:tcPr>
          <w:p w14:paraId="3931EBD4">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执行和田地区总体管控要求、一般管控单元分类管控要求中关于资源利用效率的准入要求。</w:t>
            </w:r>
          </w:p>
        </w:tc>
        <w:tc>
          <w:tcPr>
            <w:tcW w:w="2282" w:type="dxa"/>
            <w:gridSpan w:val="2"/>
            <w:tcMar>
              <w:left w:w="28" w:type="dxa"/>
              <w:right w:w="28" w:type="dxa"/>
            </w:tcMar>
            <w:vAlign w:val="center"/>
          </w:tcPr>
          <w:p w14:paraId="70C95836">
            <w:pPr>
              <w:adjustRightInd w:val="0"/>
              <w:spacing w:line="0" w:lineRule="atLeast"/>
              <w:rPr>
                <w:rFonts w:hint="eastAsia" w:hAnsi="宋体" w:cs="宋体"/>
                <w:color w:val="000000"/>
                <w:spacing w:val="-10"/>
                <w:sz w:val="21"/>
                <w:szCs w:val="21"/>
              </w:rPr>
            </w:pPr>
            <w:r>
              <w:rPr>
                <w:rFonts w:hint="eastAsia" w:hAnsi="宋体" w:cs="宋体"/>
                <w:color w:val="000000"/>
                <w:spacing w:val="-10"/>
                <w:sz w:val="21"/>
                <w:szCs w:val="21"/>
              </w:rPr>
              <w:t>拟建工程满足和田地区总体管控要求、一般管控单元分类管控要求中关于资源利用效率的准入要求</w:t>
            </w:r>
          </w:p>
        </w:tc>
        <w:tc>
          <w:tcPr>
            <w:tcW w:w="476" w:type="dxa"/>
            <w:tcMar>
              <w:left w:w="28" w:type="dxa"/>
              <w:right w:w="28" w:type="dxa"/>
            </w:tcMar>
            <w:vAlign w:val="center"/>
          </w:tcPr>
          <w:p w14:paraId="4742DF3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符合</w:t>
            </w:r>
          </w:p>
        </w:tc>
      </w:tr>
    </w:tbl>
    <w:p w14:paraId="15B562B8">
      <w:pPr>
        <w:spacing w:before="240" w:line="480" w:lineRule="exact"/>
        <w:ind w:firstLine="526" w:firstLineChars="200"/>
        <w:rPr>
          <w:rFonts w:hint="eastAsia" w:hAnsi="宋体" w:cs="黑体"/>
          <w:color w:val="000000"/>
          <w:szCs w:val="24"/>
        </w:rPr>
      </w:pPr>
      <w:r>
        <w:rPr>
          <w:rFonts w:hint="eastAsia" w:hAnsi="宋体" w:cs="宋体"/>
          <w:color w:val="000000"/>
          <w:szCs w:val="24"/>
        </w:rPr>
        <w:t>拟建工程符合</w:t>
      </w:r>
      <w:r>
        <w:rPr>
          <w:rFonts w:hint="eastAsia" w:hAnsi="宋体"/>
          <w:color w:val="000000"/>
          <w:szCs w:val="24"/>
        </w:rPr>
        <w:t>《关于印发〈新疆维吾尔自治区生态环境分区管控动态更新成果〉的通知》（新环环评发〔2024〕157号）中</w:t>
      </w:r>
      <w:r>
        <w:rPr>
          <w:rFonts w:hint="eastAsia" w:hAnsi="宋体" w:cs="宋体"/>
          <w:color w:val="000000"/>
          <w:szCs w:val="24"/>
        </w:rPr>
        <w:t>新疆维吾尔自治区总体管控要求、《阿克苏地区生态环境准入清单（2023年）》中阿克苏地区总体管控要求、</w:t>
      </w:r>
      <w:r>
        <w:rPr>
          <w:rFonts w:hint="eastAsia" w:hAnsi="宋体" w:cs="宋体"/>
          <w:color w:val="000000"/>
          <w:spacing w:val="-10"/>
          <w:kern w:val="0"/>
          <w:szCs w:val="24"/>
        </w:rPr>
        <w:t>《和田地区生态环境准入清单（2023年）》</w:t>
      </w:r>
      <w:r>
        <w:rPr>
          <w:rFonts w:hint="eastAsia" w:hAnsi="宋体" w:cs="宋体"/>
          <w:color w:val="000000"/>
          <w:szCs w:val="24"/>
        </w:rPr>
        <w:t>中和田地区总体管控要求、所在管控单元沙雅县一般管控单元要求及民丰县一般管控单元要求。</w:t>
      </w:r>
    </w:p>
    <w:p w14:paraId="0077B4D0">
      <w:pPr>
        <w:spacing w:line="480" w:lineRule="exact"/>
        <w:outlineLvl w:val="1"/>
        <w:rPr>
          <w:rFonts w:hint="eastAsia" w:ascii="黑体" w:hAnsi="黑体" w:eastAsia="黑体" w:cs="黑体"/>
          <w:color w:val="000000"/>
          <w:sz w:val="28"/>
          <w:szCs w:val="28"/>
          <w:lang w:bidi="ar"/>
        </w:rPr>
      </w:pPr>
      <w:bookmarkStart w:id="134" w:name="_Toc198040179"/>
      <w:bookmarkStart w:id="135" w:name="_Toc198040323"/>
      <w:bookmarkStart w:id="136" w:name="_Toc230178789"/>
      <w:bookmarkStart w:id="137" w:name="_Toc208474673"/>
      <w:r>
        <w:rPr>
          <w:rFonts w:hint="eastAsia" w:ascii="黑体" w:hAnsi="黑体" w:eastAsia="黑体" w:cs="黑体"/>
          <w:color w:val="000000"/>
          <w:sz w:val="28"/>
          <w:szCs w:val="28"/>
          <w:lang w:bidi="ar"/>
        </w:rPr>
        <w:t>3.6 选址选线合理性分析</w:t>
      </w:r>
      <w:bookmarkEnd w:id="134"/>
      <w:bookmarkEnd w:id="135"/>
      <w:bookmarkEnd w:id="136"/>
      <w:bookmarkEnd w:id="137"/>
    </w:p>
    <w:p w14:paraId="24FCF897">
      <w:pPr>
        <w:spacing w:line="480" w:lineRule="exact"/>
        <w:ind w:firstLine="526" w:firstLineChars="200"/>
        <w:rPr>
          <w:rFonts w:hint="eastAsia" w:hAnsi="宋体" w:cs="宋体"/>
          <w:color w:val="000000"/>
          <w:kern w:val="0"/>
          <w:szCs w:val="24"/>
          <w:lang w:bidi="ar"/>
        </w:rPr>
      </w:pPr>
      <w:r>
        <w:rPr>
          <w:rFonts w:hint="eastAsia" w:hAnsi="宋体" w:cs="宋体"/>
          <w:color w:val="000000"/>
          <w:kern w:val="0"/>
          <w:szCs w:val="24"/>
          <w:lang w:bidi="ar"/>
        </w:rPr>
        <w:t>（1）项目总体布局合理性分析</w:t>
      </w:r>
    </w:p>
    <w:p w14:paraId="2FCF075F">
      <w:pPr>
        <w:spacing w:line="480" w:lineRule="exact"/>
        <w:ind w:firstLine="526" w:firstLineChars="200"/>
        <w:rPr>
          <w:rFonts w:hint="eastAsia" w:hAnsi="宋体" w:cs="宋体"/>
          <w:color w:val="000000"/>
          <w:kern w:val="0"/>
          <w:szCs w:val="24"/>
          <w:lang w:bidi="ar"/>
        </w:rPr>
      </w:pPr>
      <w:r>
        <w:rPr>
          <w:rFonts w:hint="eastAsia" w:hAnsi="宋体" w:cs="宋体"/>
          <w:color w:val="000000"/>
          <w:kern w:val="0"/>
          <w:szCs w:val="24"/>
          <w:lang w:bidi="ar"/>
        </w:rPr>
        <w:t>拟建工程开发区域位于塔中Ⅰ号气田Ⅲ区内，位于城市建成区以外，除位于塔里木河流域水土流失重点治理区以外，项目不占用及穿越</w:t>
      </w:r>
      <w:r>
        <w:rPr>
          <w:rFonts w:hint="eastAsia" w:hAnsi="宋体" w:cs="宋体"/>
          <w:color w:val="000000"/>
          <w:szCs w:val="24"/>
        </w:rPr>
        <w:t>自然保护区、风景名胜区、水源保护区、文物保护单位</w:t>
      </w:r>
      <w:r>
        <w:rPr>
          <w:rFonts w:hint="eastAsia" w:hAnsi="宋体" w:cs="宋体"/>
          <w:color w:val="000000"/>
          <w:kern w:val="0"/>
          <w:szCs w:val="24"/>
          <w:lang w:bidi="ar"/>
        </w:rPr>
        <w:t>等其他环境敏感区；从现状调查结果看，项目临时占地的土地利用类型均为沙地。建设过程中将严格执行各项水土保持措施，以减小因工程建设带来的不利影响，从而减少水土流失。</w:t>
      </w:r>
    </w:p>
    <w:p w14:paraId="3E666E8C">
      <w:pPr>
        <w:spacing w:line="480" w:lineRule="exact"/>
        <w:ind w:firstLine="526" w:firstLineChars="200"/>
        <w:rPr>
          <w:rFonts w:hint="eastAsia" w:hAnsi="宋体" w:cs="宋体"/>
          <w:color w:val="000000"/>
          <w:kern w:val="0"/>
          <w:szCs w:val="24"/>
          <w:lang w:bidi="ar"/>
        </w:rPr>
      </w:pPr>
      <w:r>
        <w:rPr>
          <w:rFonts w:hint="eastAsia" w:hAnsi="宋体" w:cs="宋体"/>
          <w:color w:val="000000"/>
          <w:kern w:val="0"/>
          <w:szCs w:val="24"/>
          <w:lang w:bidi="ar"/>
        </w:rPr>
        <w:t>拟建工程管线避让城市规划区、</w:t>
      </w:r>
      <w:r>
        <w:rPr>
          <w:rFonts w:hint="eastAsia" w:hAnsi="宋体" w:cs="宋体"/>
          <w:color w:val="000000"/>
          <w:szCs w:val="24"/>
        </w:rPr>
        <w:t>自然保护区、风景名胜区、水源保护区、文物保护单位</w:t>
      </w:r>
      <w:r>
        <w:rPr>
          <w:rFonts w:hint="eastAsia" w:hAnsi="宋体" w:cs="宋体"/>
          <w:color w:val="000000"/>
          <w:kern w:val="0"/>
          <w:szCs w:val="24"/>
          <w:lang w:bidi="ar"/>
        </w:rPr>
        <w:t>等环境敏感点，总体布局合理。本次评价要求油气田开发要严格按照开发方案划定区域进行，认真落实环评提出的环境保护措施，项目与其他建构筑的距离要严格满足相关设计技术规范要求。</w:t>
      </w:r>
    </w:p>
    <w:p w14:paraId="3BE1A3E3">
      <w:pPr>
        <w:ind w:firstLine="526" w:firstLineChars="200"/>
        <w:rPr>
          <w:rFonts w:hAnsi="宋体" w:cs="宋体"/>
          <w:color w:val="000000"/>
          <w:szCs w:val="24"/>
        </w:rPr>
      </w:pPr>
      <w:r>
        <w:rPr>
          <w:rFonts w:hint="eastAsia" w:hAnsi="宋体" w:cs="宋体"/>
          <w:color w:val="000000"/>
          <w:kern w:val="0"/>
          <w:szCs w:val="24"/>
        </w:rPr>
        <w:t>（2）管线选线可行性分析</w:t>
      </w:r>
    </w:p>
    <w:p w14:paraId="4FAEE6EC">
      <w:pPr>
        <w:topLinePunct/>
        <w:ind w:firstLine="526" w:firstLineChars="200"/>
        <w:rPr>
          <w:rFonts w:hint="eastAsia"/>
          <w:color w:val="000000"/>
        </w:rPr>
      </w:pPr>
      <w:r>
        <w:rPr>
          <w:rFonts w:hint="eastAsia" w:hAnsi="宋体" w:cs="宋体"/>
          <w:color w:val="000000"/>
          <w:kern w:val="0"/>
          <w:lang w:bidi="ar"/>
        </w:rPr>
        <w:t>拟建工程管线周边不涉及</w:t>
      </w:r>
      <w:r>
        <w:rPr>
          <w:rFonts w:hint="eastAsia" w:hAnsi="宋体" w:cs="宋体"/>
          <w:color w:val="000000"/>
        </w:rPr>
        <w:t>自然保护区、风景名胜区、水源保护区、居民区、文物保护单位</w:t>
      </w:r>
      <w:r>
        <w:rPr>
          <w:rFonts w:hint="eastAsia" w:hAnsi="宋体" w:cs="宋体"/>
          <w:color w:val="000000"/>
          <w:kern w:val="0"/>
          <w:lang w:bidi="ar"/>
        </w:rPr>
        <w:t>等环境敏感点，同时管线敷设区域不占用野生保护植被，</w:t>
      </w:r>
      <w:r>
        <w:rPr>
          <w:rFonts w:hint="eastAsia" w:hAnsi="宋体"/>
          <w:color w:val="000000"/>
        </w:rPr>
        <w:t>避开</w:t>
      </w:r>
      <w:r>
        <w:rPr>
          <w:rFonts w:hint="eastAsia" w:hAnsi="宋体" w:cs="宋体"/>
          <w:color w:val="000000"/>
          <w:kern w:val="0"/>
          <w:lang w:bidi="ar"/>
        </w:rPr>
        <w:t>地质灾害（洪水等）易发区和潜发区，管线等临时占地依法办理用地审批手续，目前管线正在同步办理用地手续。综上所述，从环境保护角度看，管道选线可行。</w:t>
      </w:r>
    </w:p>
    <w:p w14:paraId="5727531B">
      <w:pPr>
        <w:spacing w:line="480" w:lineRule="exact"/>
        <w:rPr>
          <w:rFonts w:hAnsi="宋体" w:cs="宋体"/>
          <w:color w:val="000000"/>
          <w:kern w:val="0"/>
          <w:szCs w:val="24"/>
          <w:lang w:bidi="ar"/>
        </w:rPr>
      </w:pPr>
      <w:r>
        <w:rPr>
          <w:rFonts w:hint="eastAsia" w:hAnsi="宋体" w:cs="宋体"/>
          <w:color w:val="000000"/>
          <w:kern w:val="0"/>
          <w:szCs w:val="24"/>
          <w:lang w:bidi="ar"/>
        </w:rPr>
        <w:br w:type="page"/>
      </w:r>
    </w:p>
    <w:bookmarkEnd w:id="122"/>
    <w:bookmarkEnd w:id="123"/>
    <w:p w14:paraId="59BCBEA5">
      <w:pPr>
        <w:tabs>
          <w:tab w:val="left" w:pos="2718"/>
        </w:tabs>
        <w:spacing w:line="480" w:lineRule="exact"/>
        <w:outlineLvl w:val="0"/>
        <w:rPr>
          <w:rFonts w:ascii="黑体" w:hAnsi="黑体" w:eastAsia="黑体"/>
          <w:color w:val="000000"/>
          <w:sz w:val="32"/>
          <w:szCs w:val="32"/>
        </w:rPr>
      </w:pPr>
      <w:bookmarkStart w:id="138" w:name="_Toc198040180"/>
      <w:bookmarkStart w:id="139" w:name="_Toc26314"/>
      <w:bookmarkStart w:id="140" w:name="_Toc230178790"/>
      <w:bookmarkStart w:id="141" w:name="_Toc208474674"/>
      <w:bookmarkStart w:id="142" w:name="_Toc198040324"/>
      <w:bookmarkStart w:id="143" w:name="_Toc534138564"/>
      <w:bookmarkStart w:id="144" w:name="_Toc515275140"/>
      <w:bookmarkStart w:id="145" w:name="_Toc529970375"/>
      <w:bookmarkStart w:id="146" w:name="_Toc30347684"/>
      <w:bookmarkStart w:id="147" w:name="_Toc21433517"/>
      <w:bookmarkStart w:id="148" w:name="_Toc16840089"/>
      <w:bookmarkStart w:id="149" w:name="_Toc38102021"/>
      <w:bookmarkStart w:id="150" w:name="_Toc534138567"/>
      <w:r>
        <w:rPr>
          <w:rFonts w:hint="eastAsia" w:ascii="黑体" w:hAnsi="黑体" w:eastAsia="黑体"/>
          <w:color w:val="000000"/>
          <w:sz w:val="32"/>
          <w:szCs w:val="32"/>
        </w:rPr>
        <w:t>4 环境现状调查与评价</w:t>
      </w:r>
      <w:bookmarkEnd w:id="138"/>
      <w:bookmarkEnd w:id="139"/>
      <w:bookmarkEnd w:id="140"/>
      <w:bookmarkEnd w:id="141"/>
      <w:bookmarkEnd w:id="142"/>
    </w:p>
    <w:p w14:paraId="40FBF552">
      <w:pPr>
        <w:spacing w:line="480" w:lineRule="exact"/>
        <w:outlineLvl w:val="1"/>
        <w:rPr>
          <w:rFonts w:ascii="黑体" w:hAnsi="黑体" w:eastAsia="黑体" w:cs="黑体"/>
          <w:color w:val="000000"/>
          <w:sz w:val="28"/>
          <w:szCs w:val="28"/>
          <w:lang w:bidi="ar"/>
        </w:rPr>
      </w:pPr>
      <w:bookmarkStart w:id="151" w:name="_Toc38102010"/>
      <w:bookmarkStart w:id="152" w:name="_Toc35"/>
      <w:bookmarkStart w:id="153" w:name="_Toc534138555"/>
      <w:bookmarkStart w:id="154" w:name="_Toc198040181"/>
      <w:bookmarkStart w:id="155" w:name="_Toc230178791"/>
      <w:bookmarkStart w:id="156" w:name="_Toc16840087"/>
      <w:bookmarkStart w:id="157" w:name="_Toc208474675"/>
      <w:bookmarkStart w:id="158" w:name="_Toc145918514"/>
      <w:bookmarkStart w:id="159" w:name="_Toc515275138"/>
      <w:bookmarkStart w:id="160" w:name="_Toc415122151"/>
      <w:bookmarkStart w:id="161" w:name="_Toc155879929"/>
      <w:bookmarkStart w:id="162" w:name="_Toc198040325"/>
      <w:bookmarkStart w:id="163" w:name="_Toc21433515"/>
      <w:bookmarkStart w:id="164" w:name="_Toc30347682"/>
      <w:r>
        <w:rPr>
          <w:rFonts w:hint="eastAsia" w:ascii="黑体" w:hAnsi="黑体" w:eastAsia="黑体" w:cs="黑体"/>
          <w:color w:val="000000"/>
          <w:sz w:val="28"/>
          <w:szCs w:val="28"/>
          <w:lang w:bidi="ar"/>
        </w:rPr>
        <w:t>4.1 自然环境概况</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6D813940">
      <w:pPr>
        <w:spacing w:line="480" w:lineRule="exact"/>
        <w:outlineLvl w:val="2"/>
        <w:rPr>
          <w:rFonts w:hint="eastAsia" w:hAnsi="宋体" w:cs="宋体"/>
          <w:color w:val="000000"/>
          <w:szCs w:val="24"/>
        </w:rPr>
      </w:pPr>
      <w:bookmarkStart w:id="165" w:name="_Toc415122152"/>
      <w:bookmarkStart w:id="166" w:name="_Toc534138556"/>
      <w:r>
        <w:rPr>
          <w:rFonts w:hint="eastAsia" w:hAnsi="宋体" w:cs="宋体"/>
          <w:color w:val="000000"/>
          <w:szCs w:val="24"/>
        </w:rPr>
        <w:t>4.1.1 地理位置</w:t>
      </w:r>
      <w:bookmarkEnd w:id="165"/>
      <w:bookmarkEnd w:id="166"/>
    </w:p>
    <w:p w14:paraId="737FF47A">
      <w:pPr>
        <w:ind w:firstLine="480"/>
        <w:rPr>
          <w:rFonts w:hint="eastAsia" w:hAnsi="宋体" w:cs="宋体"/>
          <w:color w:val="000000"/>
          <w:szCs w:val="24"/>
        </w:rPr>
      </w:pPr>
      <w:r>
        <w:rPr>
          <w:rFonts w:hint="eastAsia" w:hAnsi="宋体" w:cs="宋体"/>
          <w:color w:val="000000"/>
          <w:szCs w:val="24"/>
        </w:rPr>
        <w:t>沙雅县位于新疆西南部，阿克苏地区东偏南。处于塔里木盆地北部，渭干河绿洲平原的南端，北靠天山，南拥大漠。地处东经81°45′～84°47′，北纬39°31′～41°25′之间，东西宽180km，南北长220km，总面积31972.5km</w:t>
      </w:r>
      <w:r>
        <w:rPr>
          <w:rFonts w:hint="eastAsia" w:hAnsi="宋体" w:cs="宋体"/>
          <w:color w:val="000000"/>
          <w:szCs w:val="24"/>
          <w:vertAlign w:val="superscript"/>
        </w:rPr>
        <w:t>2</w:t>
      </w:r>
      <w:r>
        <w:rPr>
          <w:rFonts w:hint="eastAsia" w:hAnsi="宋体" w:cs="宋体"/>
          <w:color w:val="000000"/>
          <w:szCs w:val="24"/>
        </w:rPr>
        <w:t>。北接天山南缘的库车、新和两县，南辖塔克拉玛干沙漠的一部分，与和田地区的民丰、于田两县沙漠相连，西与阿克苏市毗邻，东南和巴州的且末县接壤。</w:t>
      </w:r>
    </w:p>
    <w:p w14:paraId="32FFF016">
      <w:pPr>
        <w:ind w:firstLine="480"/>
        <w:rPr>
          <w:rFonts w:hint="eastAsia" w:hAnsi="宋体" w:cs="宋体"/>
          <w:color w:val="000000"/>
          <w:szCs w:val="24"/>
        </w:rPr>
      </w:pPr>
      <w:r>
        <w:rPr>
          <w:rFonts w:hint="eastAsia" w:hAnsi="宋体" w:cs="宋体"/>
          <w:color w:val="000000"/>
          <w:spacing w:val="6"/>
          <w:szCs w:val="24"/>
        </w:rPr>
        <w:t>民丰县位于和田地区的东部，昆仑山北麓，塔克拉玛干沙漠南缘，地处东经</w:t>
      </w:r>
      <w:r>
        <w:rPr>
          <w:rFonts w:hint="eastAsia" w:hAnsi="宋体" w:cs="宋体"/>
          <w:color w:val="000000"/>
          <w:spacing w:val="0"/>
          <w:szCs w:val="24"/>
        </w:rPr>
        <w:t>82°22′～85°55′，北纬35°20′～39°29′</w:t>
      </w:r>
      <w:r>
        <w:rPr>
          <w:rFonts w:hint="eastAsia" w:hAnsi="宋体" w:cs="宋体"/>
          <w:color w:val="000000"/>
          <w:spacing w:val="6"/>
          <w:szCs w:val="24"/>
        </w:rPr>
        <w:t>，总面积 56759.86km</w:t>
      </w:r>
      <w:r>
        <w:rPr>
          <w:rFonts w:hint="eastAsia" w:hAnsi="宋体" w:cs="宋体"/>
          <w:color w:val="000000"/>
          <w:spacing w:val="6"/>
          <w:szCs w:val="24"/>
          <w:vertAlign w:val="superscript"/>
        </w:rPr>
        <w:t>2</w:t>
      </w:r>
      <w:r>
        <w:rPr>
          <w:rFonts w:hint="eastAsia" w:hAnsi="宋体" w:cs="宋体"/>
          <w:color w:val="000000"/>
          <w:spacing w:val="6"/>
          <w:szCs w:val="24"/>
        </w:rPr>
        <w:t>，东临且末县，西连于田县，县城距自治区首府乌鲁木齐市的直线距离 858km，公路里程1190km，南越昆仑山与西藏自治区改则县接壤，北接阿克苏地区沙雅县。</w:t>
      </w:r>
    </w:p>
    <w:p w14:paraId="4973452F">
      <w:pPr>
        <w:ind w:firstLine="480"/>
        <w:rPr>
          <w:rFonts w:hint="eastAsia" w:hAnsi="宋体" w:cs="宋体"/>
          <w:color w:val="000000"/>
          <w:szCs w:val="24"/>
        </w:rPr>
      </w:pPr>
      <w:r>
        <w:rPr>
          <w:rFonts w:hint="eastAsia" w:hAnsi="宋体" w:cs="宋体"/>
          <w:color w:val="000000"/>
          <w:szCs w:val="24"/>
        </w:rPr>
        <w:t>拟建工程位于新疆维吾尔自治区阿克苏地区沙雅县、和田地区民丰县境内，地处塔克拉玛干大沙漠腹地，区域以油气开采为主，现状占地均为沙地，</w:t>
      </w:r>
      <w:r>
        <w:rPr>
          <w:rFonts w:hint="eastAsia" w:hAnsi="宋体" w:cs="宋体"/>
          <w:bCs/>
          <w:color w:val="000000"/>
          <w:szCs w:val="24"/>
        </w:rPr>
        <w:t>工程选址区域周边及邻近区域无其他居民区、村庄等环境敏感点</w:t>
      </w:r>
      <w:r>
        <w:rPr>
          <w:rFonts w:hint="eastAsia" w:hAnsi="宋体" w:cs="宋体"/>
          <w:color w:val="000000"/>
          <w:szCs w:val="24"/>
        </w:rPr>
        <w:t>。</w:t>
      </w:r>
      <w:r>
        <w:rPr>
          <w:rFonts w:hint="eastAsia" w:hAnsi="宋体" w:cs="宋体"/>
          <w:color w:val="000000"/>
          <w:kern w:val="0"/>
          <w:szCs w:val="24"/>
        </w:rPr>
        <w:t>项目地理位置见附图1。</w:t>
      </w:r>
    </w:p>
    <w:p w14:paraId="2CA62D2B">
      <w:pPr>
        <w:outlineLvl w:val="2"/>
        <w:rPr>
          <w:rFonts w:hint="eastAsia"/>
          <w:color w:val="000000"/>
        </w:rPr>
      </w:pPr>
      <w:bookmarkStart w:id="167" w:name="_Toc24269"/>
      <w:bookmarkStart w:id="168" w:name="_Toc145918515"/>
      <w:bookmarkStart w:id="169" w:name="_Toc208474676"/>
      <w:bookmarkStart w:id="170" w:name="_Toc198040182"/>
      <w:bookmarkStart w:id="171" w:name="_Toc198040326"/>
      <w:r>
        <w:rPr>
          <w:rFonts w:hint="eastAsia"/>
          <w:color w:val="000000"/>
        </w:rPr>
        <w:t>4.1.2 地形地貌</w:t>
      </w:r>
    </w:p>
    <w:p w14:paraId="218FB0D5">
      <w:pPr>
        <w:ind w:firstLine="526" w:firstLineChars="200"/>
        <w:rPr>
          <w:rFonts w:hint="eastAsia" w:hAnsi="宋体"/>
          <w:color w:val="000000"/>
        </w:rPr>
      </w:pPr>
      <w:bookmarkStart w:id="172" w:name="_Toc38102011"/>
      <w:bookmarkStart w:id="173" w:name="_Toc37179579"/>
      <w:bookmarkStart w:id="174" w:name="_Toc37833687"/>
      <w:bookmarkStart w:id="175" w:name="_Toc35326422"/>
      <w:r>
        <w:rPr>
          <w:rFonts w:hint="eastAsia" w:hAnsi="宋体"/>
          <w:color w:val="000000"/>
        </w:rPr>
        <w:t>塔中油气田所在区域在大地构造上属新疆南部塔里木地台、塔里木中央台坳、塔里木平原地貌区，位于克里雅河和塔里木河下游之间东北风吹扬作用最强烈的区域，新、老第四纪冲积层混存，且受风力严重吹蚀而形成的沙丘型平原，为世界第二大流动性沙漠。沙丘相对高度一般在100m左右，沙粒细小，沙丘形状复杂。区域分布着巨大的复合性新月形沙丘和纵向沙山，多呈东北—西南走向。沙丘间低地中，发育有西南走向的鲸鱼脊状沙垄和纵向沙垄。在较巨大沙丘迎风面坡度均较平缓，迎风坡上多有一系列复合的小沙丘，总的坡度同单一的新月形沙丘相类似，约10～12°，背风坡在一般情况下没有复合的形态，具有比较简单的陡峭斜坡。由于散沙稳定角的作用，背风坡一般为30°左右，沙丘的长度一般较大，其新月形沙链顺风向延伸的沙丘角使各新月形沙丘链之间彼此相连。区域内地势开阔，属平原格状丘陵（沙丘）型地貌。</w:t>
      </w:r>
    </w:p>
    <w:p w14:paraId="2DE77401">
      <w:pPr>
        <w:ind w:firstLine="526" w:firstLineChars="200"/>
        <w:rPr>
          <w:rFonts w:hint="eastAsia" w:hAnsi="宋体"/>
          <w:color w:val="000000"/>
        </w:rPr>
      </w:pPr>
      <w:r>
        <w:rPr>
          <w:rFonts w:hint="eastAsia" w:hAnsi="宋体"/>
          <w:color w:val="000000"/>
        </w:rPr>
        <w:t>区块内地形地貌以沙丘为主，地势有一定的起伏，海拔1075～1110m左右。</w:t>
      </w:r>
    </w:p>
    <w:p w14:paraId="387C814B">
      <w:pPr>
        <w:topLinePunct/>
        <w:outlineLvl w:val="2"/>
        <w:rPr>
          <w:rFonts w:hint="eastAsia"/>
          <w:color w:val="000000"/>
        </w:rPr>
      </w:pPr>
      <w:r>
        <w:rPr>
          <w:rFonts w:hint="eastAsia"/>
          <w:color w:val="000000"/>
        </w:rPr>
        <w:t>4.1.3</w:t>
      </w:r>
      <w:bookmarkEnd w:id="172"/>
      <w:bookmarkEnd w:id="173"/>
      <w:bookmarkEnd w:id="174"/>
      <w:bookmarkEnd w:id="175"/>
      <w:r>
        <w:rPr>
          <w:rFonts w:hint="eastAsia"/>
          <w:color w:val="000000"/>
        </w:rPr>
        <w:t xml:space="preserve"> 水文地质</w:t>
      </w:r>
    </w:p>
    <w:p w14:paraId="1601E290">
      <w:pPr>
        <w:ind w:firstLine="526" w:firstLineChars="200"/>
        <w:rPr>
          <w:rFonts w:hint="eastAsia" w:hAnsi="宋体"/>
          <w:color w:val="000000"/>
        </w:rPr>
      </w:pPr>
      <w:r>
        <w:rPr>
          <w:rFonts w:hint="eastAsia" w:hAnsi="宋体"/>
          <w:color w:val="000000"/>
        </w:rPr>
        <w:t>塔克拉玛干沙漠所在的塔里木盆地是一个内流水系盆地，从周围山脉而来的全部径流都聚集在盆地自身之中，为河流和地下水层供水。沙漠下面的地下水多半有持续不断的水道，从西面流向东部的罗布泊。</w:t>
      </w:r>
    </w:p>
    <w:p w14:paraId="6FE57948">
      <w:pPr>
        <w:ind w:firstLine="526" w:firstLineChars="200"/>
        <w:rPr>
          <w:rFonts w:hint="eastAsia" w:hAnsi="宋体"/>
          <w:color w:val="000000"/>
        </w:rPr>
      </w:pPr>
      <w:r>
        <w:rPr>
          <w:rFonts w:hint="eastAsia" w:hAnsi="宋体"/>
          <w:color w:val="000000"/>
        </w:rPr>
        <w:t>本区从昆仑山山前至油田区，基底地质构造由两个拗陷和两个隆起组成，直接影响地下水储水介质-第四系松散物质的补偿性沉积厚度和地下水赋存条件。地下水自南向北流向，水文地质条件呈现有规律的地带性变化。拟建工程位于该区的北部古冲积湖积平原。</w:t>
      </w:r>
    </w:p>
    <w:p w14:paraId="5852D567">
      <w:pPr>
        <w:ind w:firstLine="526" w:firstLineChars="200"/>
        <w:rPr>
          <w:rFonts w:hint="eastAsia"/>
          <w:color w:val="000000"/>
        </w:rPr>
      </w:pPr>
      <w:r>
        <w:rPr>
          <w:rFonts w:hint="eastAsia" w:hAnsi="宋体"/>
          <w:color w:val="000000"/>
        </w:rPr>
        <w:t>北部古冲积湖积平原基底由唐古孜巴斯坳陷过渡到中央隆起带。新生代时期随着基底地壳坳陷和隆起的演化，第四纪古水文网异常发育，在风成沙的再次搬运下，形成了当今厚度大于300m，以粉细砂为主体且夹有不稳定亚砂、亚粘土层的储水构造，构成了广阔的古冲积湖积平原。石油勘探供水井的钻井资料表明，在垅间洼地地下水水位一般在5～6m之间，最大深度可达15m，井深一般为100～120m，8英寸管径单井涌水量达600～1000m</w:t>
      </w:r>
      <w:r>
        <w:rPr>
          <w:rFonts w:hint="eastAsia" w:hAnsi="宋体"/>
          <w:color w:val="000000"/>
          <w:vertAlign w:val="superscript"/>
        </w:rPr>
        <w:t>3</w:t>
      </w:r>
      <w:r>
        <w:rPr>
          <w:rFonts w:hint="eastAsia" w:hAnsi="宋体"/>
          <w:color w:val="000000"/>
        </w:rPr>
        <w:t>/d，单位涌水量在1l/s·m左右，属水量中等的潜水含水层。该区域水质条件差，水质矿化度在4～5g/L之间，不适于人类和牲畜饮用。</w:t>
      </w:r>
    </w:p>
    <w:p w14:paraId="4A1C3D9B">
      <w:pPr>
        <w:topLinePunct/>
        <w:outlineLvl w:val="2"/>
        <w:rPr>
          <w:rFonts w:hint="eastAsia"/>
          <w:color w:val="000000"/>
        </w:rPr>
      </w:pPr>
      <w:r>
        <w:rPr>
          <w:rFonts w:hint="eastAsia"/>
          <w:color w:val="000000"/>
        </w:rPr>
        <w:t>4.1.4 地表水</w:t>
      </w:r>
    </w:p>
    <w:p w14:paraId="1B122184">
      <w:pPr>
        <w:ind w:firstLine="526" w:firstLineChars="200"/>
        <w:rPr>
          <w:rFonts w:hint="eastAsia" w:hAnsi="宋体"/>
          <w:color w:val="000000"/>
        </w:rPr>
      </w:pPr>
      <w:r>
        <w:rPr>
          <w:rFonts w:hint="eastAsia" w:hAnsi="宋体"/>
          <w:color w:val="000000"/>
        </w:rPr>
        <w:t>塔克拉玛干沙漠四周有叶尔羌河、塔里木河、和田河和车尔臣河贯穿两岸。由于降雨量小蒸发率高，降雨对于滋润沙漠和给地下水供水微不足道。昆仑山水系河流渗透到沙漠中达100～200km，逐渐在沙漠中干涸。只有和田河穿越沙漠腹地，在夏季偶尔可将水流注入塔里木河。</w:t>
      </w:r>
    </w:p>
    <w:p w14:paraId="612BEBFA">
      <w:pPr>
        <w:ind w:firstLine="526" w:firstLineChars="200"/>
        <w:rPr>
          <w:rFonts w:hint="eastAsia" w:hAnsi="宋体"/>
          <w:color w:val="000000"/>
        </w:rPr>
      </w:pPr>
      <w:r>
        <w:rPr>
          <w:rFonts w:hint="eastAsia" w:hAnsi="宋体"/>
          <w:color w:val="000000"/>
        </w:rPr>
        <w:t>塔克拉玛干沙漠腹地无地表水体。</w:t>
      </w:r>
    </w:p>
    <w:p w14:paraId="777CFAC9">
      <w:pPr>
        <w:outlineLvl w:val="2"/>
        <w:rPr>
          <w:rFonts w:hint="eastAsia"/>
          <w:color w:val="000000"/>
          <w:szCs w:val="24"/>
        </w:rPr>
      </w:pPr>
      <w:r>
        <w:rPr>
          <w:rFonts w:hint="eastAsia"/>
          <w:color w:val="000000"/>
          <w:szCs w:val="24"/>
        </w:rPr>
        <w:t>4.1.5 气候气象</w:t>
      </w:r>
    </w:p>
    <w:p w14:paraId="7F6D5C8D">
      <w:pPr>
        <w:adjustRightInd w:val="0"/>
        <w:spacing w:line="250" w:lineRule="auto"/>
        <w:ind w:firstLine="526" w:firstLineChars="200"/>
        <w:rPr>
          <w:rStyle w:val="83"/>
          <w:rFonts w:hint="default" w:cs="宋体"/>
          <w:kern w:val="0"/>
          <w:sz w:val="25"/>
          <w:szCs w:val="25"/>
        </w:rPr>
      </w:pPr>
      <w:r>
        <w:rPr>
          <w:rStyle w:val="83"/>
          <w:rFonts w:hint="default" w:cs="宋体"/>
          <w:kern w:val="0"/>
        </w:rPr>
        <w:t>工程区所在区域为欧亚大陆最干旱的地区，塔克拉玛干沙漠是最干旱地区的中心。从地理位置来看，塔里木盆地三面环山，东面开口，地势西高东低，呈横向犁型簸箕状。下垫面主体部分基本为无植被、吸热强烈而干燥的沙漠，各路海洋性气流对该区域的影响甚微，为典型的大陆性干旱型气候区，即：气候基本特征是春季多风沙，夏秋季酷热，冬季无降雪，干旱降水少。各季节气候条件的变化十分明显，春季气温回升很快，且多伴有大风天气，大风季节可延伸至夏初，主要集中于3～7月份，夏季酷热而漫长，全年降水主要集中在6～8月份，秋季降温十分缓慢，冬季来临较晚，日间温差较大，相对湿度较低，太阳辐射强烈。塔中地区的主要气象数据见表4.1-1。</w:t>
      </w:r>
    </w:p>
    <w:p w14:paraId="0DDD0400">
      <w:pPr>
        <w:adjustRightInd w:val="0"/>
        <w:spacing w:line="250" w:lineRule="auto"/>
        <w:ind w:firstLine="515" w:firstLineChars="196"/>
        <w:rPr>
          <w:rFonts w:hint="eastAsia" w:ascii="黑体" w:hAnsi="黑体" w:eastAsia="黑体"/>
          <w:bCs/>
          <w:color w:val="000000"/>
          <w:kern w:val="21"/>
        </w:rPr>
      </w:pPr>
      <w:r>
        <w:rPr>
          <w:rFonts w:hAnsi="宋体"/>
          <w:bCs/>
          <w:color w:val="000000"/>
          <w:kern w:val="21"/>
        </w:rPr>
        <w:t>表</w:t>
      </w:r>
      <w:r>
        <w:rPr>
          <w:rFonts w:hint="eastAsia" w:hAnsi="宋体"/>
          <w:bCs/>
          <w:color w:val="000000"/>
          <w:kern w:val="21"/>
        </w:rPr>
        <w:t>4.1-1</w:t>
      </w:r>
      <w:r>
        <w:rPr>
          <w:rFonts w:hAnsi="宋体"/>
          <w:b/>
          <w:bCs/>
          <w:color w:val="000000"/>
          <w:kern w:val="21"/>
        </w:rPr>
        <w:t xml:space="preserve"> </w:t>
      </w:r>
      <w:r>
        <w:rPr>
          <w:rFonts w:hint="eastAsia" w:hAnsi="宋体"/>
          <w:b/>
          <w:bCs/>
          <w:color w:val="000000"/>
          <w:kern w:val="21"/>
        </w:rPr>
        <w:t xml:space="preserve">      </w:t>
      </w:r>
      <w:r>
        <w:rPr>
          <w:rFonts w:hint="eastAsia" w:ascii="黑体" w:hAnsi="黑体" w:eastAsia="黑体"/>
          <w:bCs/>
          <w:color w:val="000000"/>
          <w:kern w:val="21"/>
        </w:rPr>
        <w:t>塔中地区</w:t>
      </w:r>
      <w:r>
        <w:rPr>
          <w:rFonts w:ascii="黑体" w:hAnsi="黑体" w:eastAsia="黑体"/>
          <w:bCs/>
          <w:color w:val="000000"/>
          <w:kern w:val="21"/>
        </w:rPr>
        <w:t>主要气候要素</w:t>
      </w:r>
      <w:r>
        <w:rPr>
          <w:rFonts w:hint="eastAsia" w:ascii="黑体" w:hAnsi="黑体" w:eastAsia="黑体"/>
          <w:bCs/>
          <w:color w:val="000000"/>
          <w:kern w:val="21"/>
        </w:rPr>
        <w:t>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920"/>
        <w:gridCol w:w="2223"/>
        <w:gridCol w:w="1282"/>
        <w:gridCol w:w="626"/>
        <w:gridCol w:w="2367"/>
        <w:gridCol w:w="1597"/>
      </w:tblGrid>
      <w:tr w14:paraId="7315E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5C28FD61">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序号</w:t>
            </w:r>
          </w:p>
        </w:tc>
        <w:tc>
          <w:tcPr>
            <w:tcW w:w="2223" w:type="dxa"/>
            <w:vAlign w:val="center"/>
          </w:tcPr>
          <w:p w14:paraId="5A2D82F4">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项  目</w:t>
            </w:r>
          </w:p>
        </w:tc>
        <w:tc>
          <w:tcPr>
            <w:tcW w:w="1282" w:type="dxa"/>
            <w:tcBorders>
              <w:right w:val="double" w:color="auto" w:sz="4" w:space="0"/>
            </w:tcBorders>
            <w:vAlign w:val="center"/>
          </w:tcPr>
          <w:p w14:paraId="354F6BE1">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统计结果</w:t>
            </w:r>
          </w:p>
        </w:tc>
        <w:tc>
          <w:tcPr>
            <w:tcW w:w="626" w:type="dxa"/>
            <w:tcBorders>
              <w:left w:val="double" w:color="auto" w:sz="4" w:space="0"/>
            </w:tcBorders>
            <w:vAlign w:val="center"/>
          </w:tcPr>
          <w:p w14:paraId="1471BE40">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序号</w:t>
            </w:r>
          </w:p>
        </w:tc>
        <w:tc>
          <w:tcPr>
            <w:tcW w:w="2367" w:type="dxa"/>
            <w:vAlign w:val="center"/>
          </w:tcPr>
          <w:p w14:paraId="0B54383D">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项  目</w:t>
            </w:r>
          </w:p>
        </w:tc>
        <w:tc>
          <w:tcPr>
            <w:tcW w:w="1597" w:type="dxa"/>
            <w:vAlign w:val="center"/>
          </w:tcPr>
          <w:p w14:paraId="7119A851">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统计结果</w:t>
            </w:r>
          </w:p>
        </w:tc>
      </w:tr>
      <w:tr w14:paraId="5549A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6B0D9045">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1</w:t>
            </w:r>
          </w:p>
        </w:tc>
        <w:tc>
          <w:tcPr>
            <w:tcW w:w="2223" w:type="dxa"/>
            <w:vAlign w:val="center"/>
          </w:tcPr>
          <w:p w14:paraId="09ED0B98">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年平均气温</w:t>
            </w:r>
          </w:p>
        </w:tc>
        <w:tc>
          <w:tcPr>
            <w:tcW w:w="1282" w:type="dxa"/>
            <w:tcBorders>
              <w:right w:val="double" w:color="auto" w:sz="4" w:space="0"/>
            </w:tcBorders>
            <w:vAlign w:val="center"/>
          </w:tcPr>
          <w:p w14:paraId="5960F2F9">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11.7℃</w:t>
            </w:r>
          </w:p>
        </w:tc>
        <w:tc>
          <w:tcPr>
            <w:tcW w:w="626" w:type="dxa"/>
            <w:tcBorders>
              <w:left w:val="double" w:color="auto" w:sz="4" w:space="0"/>
            </w:tcBorders>
            <w:vAlign w:val="center"/>
          </w:tcPr>
          <w:p w14:paraId="17073021">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7</w:t>
            </w:r>
          </w:p>
        </w:tc>
        <w:tc>
          <w:tcPr>
            <w:tcW w:w="2367" w:type="dxa"/>
            <w:vAlign w:val="center"/>
          </w:tcPr>
          <w:p w14:paraId="274D9605">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年平均蒸发量</w:t>
            </w:r>
          </w:p>
        </w:tc>
        <w:tc>
          <w:tcPr>
            <w:tcW w:w="1597" w:type="dxa"/>
            <w:vAlign w:val="center"/>
          </w:tcPr>
          <w:p w14:paraId="4B17B4A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3701.7mm</w:t>
            </w:r>
          </w:p>
        </w:tc>
      </w:tr>
      <w:tr w14:paraId="6BE884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5E44CC71">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2</w:t>
            </w:r>
          </w:p>
        </w:tc>
        <w:tc>
          <w:tcPr>
            <w:tcW w:w="2223" w:type="dxa"/>
            <w:vAlign w:val="center"/>
          </w:tcPr>
          <w:p w14:paraId="702F3B6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极端最高气温</w:t>
            </w:r>
          </w:p>
        </w:tc>
        <w:tc>
          <w:tcPr>
            <w:tcW w:w="1282" w:type="dxa"/>
            <w:tcBorders>
              <w:right w:val="double" w:color="auto" w:sz="4" w:space="0"/>
            </w:tcBorders>
            <w:vAlign w:val="center"/>
          </w:tcPr>
          <w:p w14:paraId="2540BD6B">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45.6℃</w:t>
            </w:r>
          </w:p>
        </w:tc>
        <w:tc>
          <w:tcPr>
            <w:tcW w:w="626" w:type="dxa"/>
            <w:tcBorders>
              <w:left w:val="double" w:color="auto" w:sz="4" w:space="0"/>
            </w:tcBorders>
            <w:vAlign w:val="center"/>
          </w:tcPr>
          <w:p w14:paraId="3426850B">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8</w:t>
            </w:r>
          </w:p>
        </w:tc>
        <w:tc>
          <w:tcPr>
            <w:tcW w:w="2367" w:type="dxa"/>
            <w:vAlign w:val="center"/>
          </w:tcPr>
          <w:p w14:paraId="3E1A55B4">
            <w:pPr>
              <w:spacing w:line="0" w:lineRule="atLeast"/>
              <w:jc w:val="center"/>
              <w:rPr>
                <w:rFonts w:hint="eastAsia" w:hAnsi="宋体"/>
                <w:color w:val="000000"/>
                <w:spacing w:val="-10"/>
                <w:sz w:val="21"/>
                <w:szCs w:val="21"/>
                <w:lang w:bidi="ar"/>
              </w:rPr>
            </w:pPr>
            <w:r>
              <w:rPr>
                <w:rFonts w:hint="eastAsia" w:hAnsi="宋体" w:cs="宋体"/>
                <w:color w:val="000000"/>
                <w:spacing w:val="-10"/>
                <w:sz w:val="21"/>
                <w:szCs w:val="21"/>
              </w:rPr>
              <w:t>年最多风向</w:t>
            </w:r>
          </w:p>
        </w:tc>
        <w:tc>
          <w:tcPr>
            <w:tcW w:w="1597" w:type="dxa"/>
            <w:vAlign w:val="center"/>
          </w:tcPr>
          <w:p w14:paraId="08EA2BFF">
            <w:pPr>
              <w:spacing w:line="0" w:lineRule="atLeast"/>
              <w:jc w:val="center"/>
              <w:rPr>
                <w:rFonts w:hint="eastAsia" w:hAnsi="宋体"/>
                <w:bCs/>
                <w:color w:val="000000"/>
                <w:spacing w:val="-10"/>
                <w:sz w:val="21"/>
                <w:szCs w:val="21"/>
              </w:rPr>
            </w:pPr>
            <w:r>
              <w:rPr>
                <w:rFonts w:hint="eastAsia" w:hAnsi="宋体" w:cs="宋体"/>
                <w:color w:val="000000"/>
                <w:spacing w:val="-10"/>
                <w:sz w:val="21"/>
                <w:szCs w:val="21"/>
              </w:rPr>
              <w:t>NE</w:t>
            </w:r>
          </w:p>
        </w:tc>
      </w:tr>
      <w:tr w14:paraId="01912A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5EB64519">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3</w:t>
            </w:r>
          </w:p>
        </w:tc>
        <w:tc>
          <w:tcPr>
            <w:tcW w:w="2223" w:type="dxa"/>
            <w:vAlign w:val="center"/>
          </w:tcPr>
          <w:p w14:paraId="4B5EBCDF">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极端最低气温</w:t>
            </w:r>
          </w:p>
        </w:tc>
        <w:tc>
          <w:tcPr>
            <w:tcW w:w="1282" w:type="dxa"/>
            <w:tcBorders>
              <w:right w:val="double" w:color="auto" w:sz="4" w:space="0"/>
            </w:tcBorders>
            <w:vAlign w:val="center"/>
          </w:tcPr>
          <w:p w14:paraId="62BE541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-32.7℃</w:t>
            </w:r>
          </w:p>
        </w:tc>
        <w:tc>
          <w:tcPr>
            <w:tcW w:w="626" w:type="dxa"/>
            <w:tcBorders>
              <w:left w:val="double" w:color="auto" w:sz="4" w:space="0"/>
            </w:tcBorders>
            <w:vAlign w:val="center"/>
          </w:tcPr>
          <w:p w14:paraId="661B3EC6">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9</w:t>
            </w:r>
          </w:p>
        </w:tc>
        <w:tc>
          <w:tcPr>
            <w:tcW w:w="2367" w:type="dxa"/>
            <w:vAlign w:val="center"/>
          </w:tcPr>
          <w:p w14:paraId="67FF7C28">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年平均风速</w:t>
            </w:r>
          </w:p>
        </w:tc>
        <w:tc>
          <w:tcPr>
            <w:tcW w:w="1597" w:type="dxa"/>
            <w:vAlign w:val="center"/>
          </w:tcPr>
          <w:p w14:paraId="52ECEFC8">
            <w:pPr>
              <w:pStyle w:val="111"/>
              <w:topLinePunct/>
              <w:adjustRightInd/>
              <w:snapToGrid/>
              <w:spacing w:line="0" w:lineRule="atLeast"/>
              <w:ind w:firstLine="0" w:firstLineChars="0"/>
              <w:jc w:val="center"/>
              <w:rPr>
                <w:rFonts w:hint="eastAsia" w:hAnsi="宋体" w:eastAsia="宋体"/>
                <w:bCs/>
                <w:color w:val="000000"/>
                <w:spacing w:val="-10"/>
                <w:sz w:val="21"/>
                <w:szCs w:val="21"/>
              </w:rPr>
            </w:pPr>
            <w:r>
              <w:rPr>
                <w:rFonts w:hint="eastAsia" w:hAnsi="宋体" w:eastAsia="宋体"/>
                <w:bCs/>
                <w:color w:val="000000"/>
                <w:spacing w:val="-10"/>
                <w:sz w:val="21"/>
                <w:szCs w:val="21"/>
              </w:rPr>
              <w:t>2.2m/s</w:t>
            </w:r>
          </w:p>
        </w:tc>
      </w:tr>
      <w:tr w14:paraId="2F5A4E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5FC71D7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4</w:t>
            </w:r>
          </w:p>
        </w:tc>
        <w:tc>
          <w:tcPr>
            <w:tcW w:w="2223" w:type="dxa"/>
            <w:vAlign w:val="center"/>
          </w:tcPr>
          <w:p w14:paraId="6D86AFEA">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七月平均气温</w:t>
            </w:r>
          </w:p>
        </w:tc>
        <w:tc>
          <w:tcPr>
            <w:tcW w:w="1282" w:type="dxa"/>
            <w:tcBorders>
              <w:right w:val="double" w:color="auto" w:sz="4" w:space="0"/>
            </w:tcBorders>
            <w:vAlign w:val="center"/>
          </w:tcPr>
          <w:p w14:paraId="04B8260E">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28.3℃</w:t>
            </w:r>
          </w:p>
        </w:tc>
        <w:tc>
          <w:tcPr>
            <w:tcW w:w="626" w:type="dxa"/>
            <w:tcBorders>
              <w:left w:val="double" w:color="auto" w:sz="4" w:space="0"/>
            </w:tcBorders>
            <w:vAlign w:val="center"/>
          </w:tcPr>
          <w:p w14:paraId="30F8F2FA">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10</w:t>
            </w:r>
          </w:p>
        </w:tc>
        <w:tc>
          <w:tcPr>
            <w:tcW w:w="2367" w:type="dxa"/>
            <w:vAlign w:val="center"/>
          </w:tcPr>
          <w:p w14:paraId="4D59D3E4">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最大风速</w:t>
            </w:r>
          </w:p>
        </w:tc>
        <w:tc>
          <w:tcPr>
            <w:tcW w:w="1597" w:type="dxa"/>
            <w:vAlign w:val="center"/>
          </w:tcPr>
          <w:p w14:paraId="7ECFAEFB">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22m/s</w:t>
            </w:r>
          </w:p>
        </w:tc>
      </w:tr>
      <w:tr w14:paraId="2B3D0B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38A8B3FC">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5</w:t>
            </w:r>
          </w:p>
        </w:tc>
        <w:tc>
          <w:tcPr>
            <w:tcW w:w="2223" w:type="dxa"/>
            <w:vAlign w:val="center"/>
          </w:tcPr>
          <w:p w14:paraId="4464FC46">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一月平均气温</w:t>
            </w:r>
          </w:p>
        </w:tc>
        <w:tc>
          <w:tcPr>
            <w:tcW w:w="1282" w:type="dxa"/>
            <w:tcBorders>
              <w:right w:val="double" w:color="auto" w:sz="4" w:space="0"/>
            </w:tcBorders>
            <w:vAlign w:val="center"/>
          </w:tcPr>
          <w:p w14:paraId="2C5124EB">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-10.1℃</w:t>
            </w:r>
          </w:p>
        </w:tc>
        <w:tc>
          <w:tcPr>
            <w:tcW w:w="626" w:type="dxa"/>
            <w:tcBorders>
              <w:left w:val="double" w:color="auto" w:sz="4" w:space="0"/>
            </w:tcBorders>
            <w:vAlign w:val="center"/>
          </w:tcPr>
          <w:p w14:paraId="73B09C1D">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11</w:t>
            </w:r>
          </w:p>
        </w:tc>
        <w:tc>
          <w:tcPr>
            <w:tcW w:w="2367" w:type="dxa"/>
            <w:vAlign w:val="center"/>
          </w:tcPr>
          <w:p w14:paraId="7A57BF43">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年平均沙暴日</w:t>
            </w:r>
          </w:p>
        </w:tc>
        <w:tc>
          <w:tcPr>
            <w:tcW w:w="1597" w:type="dxa"/>
            <w:vAlign w:val="center"/>
          </w:tcPr>
          <w:p w14:paraId="10301FB6">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25d</w:t>
            </w:r>
          </w:p>
        </w:tc>
      </w:tr>
      <w:tr w14:paraId="4D4F26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920" w:type="dxa"/>
            <w:vAlign w:val="center"/>
          </w:tcPr>
          <w:p w14:paraId="637D7188">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6</w:t>
            </w:r>
          </w:p>
        </w:tc>
        <w:tc>
          <w:tcPr>
            <w:tcW w:w="2223" w:type="dxa"/>
            <w:vAlign w:val="center"/>
          </w:tcPr>
          <w:p w14:paraId="3078C66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年平均降水量</w:t>
            </w:r>
          </w:p>
        </w:tc>
        <w:tc>
          <w:tcPr>
            <w:tcW w:w="1282" w:type="dxa"/>
            <w:tcBorders>
              <w:right w:val="double" w:color="auto" w:sz="4" w:space="0"/>
            </w:tcBorders>
            <w:vAlign w:val="center"/>
          </w:tcPr>
          <w:p w14:paraId="654B0DAC">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25.8mm</w:t>
            </w:r>
          </w:p>
        </w:tc>
        <w:tc>
          <w:tcPr>
            <w:tcW w:w="626" w:type="dxa"/>
            <w:tcBorders>
              <w:left w:val="double" w:color="auto" w:sz="4" w:space="0"/>
            </w:tcBorders>
            <w:vAlign w:val="center"/>
          </w:tcPr>
          <w:p w14:paraId="131ACBDC">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12</w:t>
            </w:r>
          </w:p>
        </w:tc>
        <w:tc>
          <w:tcPr>
            <w:tcW w:w="2367" w:type="dxa"/>
            <w:vAlign w:val="center"/>
          </w:tcPr>
          <w:p w14:paraId="19D57DB9">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相对湿度</w:t>
            </w:r>
          </w:p>
        </w:tc>
        <w:tc>
          <w:tcPr>
            <w:tcW w:w="1597" w:type="dxa"/>
            <w:vAlign w:val="center"/>
          </w:tcPr>
          <w:p w14:paraId="5645242A">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34%</w:t>
            </w:r>
          </w:p>
        </w:tc>
      </w:tr>
    </w:tbl>
    <w:p w14:paraId="4287797C">
      <w:pPr>
        <w:spacing w:before="240" w:line="480" w:lineRule="exact"/>
        <w:outlineLvl w:val="1"/>
        <w:rPr>
          <w:rFonts w:ascii="黑体" w:hAnsi="黑体" w:eastAsia="黑体" w:cs="黑体"/>
          <w:color w:val="000000"/>
          <w:sz w:val="28"/>
          <w:szCs w:val="28"/>
          <w:lang w:bidi="ar"/>
        </w:rPr>
      </w:pPr>
      <w:bookmarkStart w:id="176" w:name="_Toc230178792"/>
      <w:r>
        <w:rPr>
          <w:rFonts w:hint="eastAsia" w:ascii="黑体" w:hAnsi="黑体" w:eastAsia="黑体" w:cs="黑体"/>
          <w:color w:val="000000"/>
          <w:sz w:val="28"/>
          <w:szCs w:val="28"/>
          <w:lang w:bidi="ar"/>
        </w:rPr>
        <w:t xml:space="preserve">4.2 </w:t>
      </w:r>
      <w:bookmarkEnd w:id="167"/>
      <w:bookmarkEnd w:id="168"/>
      <w:r>
        <w:rPr>
          <w:rFonts w:hint="eastAsia" w:ascii="黑体" w:hAnsi="黑体" w:eastAsia="黑体" w:cs="黑体"/>
          <w:color w:val="000000"/>
          <w:sz w:val="28"/>
          <w:szCs w:val="28"/>
          <w:lang w:bidi="ar"/>
        </w:rPr>
        <w:t>生态现状调查与评价</w:t>
      </w:r>
      <w:bookmarkEnd w:id="169"/>
      <w:bookmarkEnd w:id="170"/>
      <w:bookmarkEnd w:id="171"/>
      <w:bookmarkEnd w:id="176"/>
    </w:p>
    <w:bookmarkEnd w:id="143"/>
    <w:bookmarkEnd w:id="144"/>
    <w:p w14:paraId="53169FC3">
      <w:pPr>
        <w:pStyle w:val="191"/>
        <w:widowControl w:val="0"/>
        <w:tabs>
          <w:tab w:val="right" w:leader="dot" w:pos="8959"/>
        </w:tabs>
        <w:spacing w:line="48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4.2.1 调查方法及评价内容</w:t>
      </w:r>
    </w:p>
    <w:p w14:paraId="69DE554B">
      <w:pPr>
        <w:spacing w:line="480" w:lineRule="exact"/>
        <w:ind w:firstLine="526" w:firstLineChars="200"/>
        <w:rPr>
          <w:rFonts w:hAnsi="宋体"/>
          <w:color w:val="000000"/>
          <w:szCs w:val="24"/>
        </w:rPr>
      </w:pPr>
      <w:r>
        <w:rPr>
          <w:rFonts w:hint="eastAsia" w:hAnsi="宋体"/>
          <w:color w:val="000000"/>
          <w:szCs w:val="24"/>
        </w:rPr>
        <w:t xml:space="preserve">（1）调查范围及时间 </w:t>
      </w:r>
    </w:p>
    <w:p w14:paraId="1E846F1F">
      <w:pPr>
        <w:spacing w:line="480" w:lineRule="exact"/>
        <w:ind w:firstLine="526" w:firstLineChars="200"/>
        <w:rPr>
          <w:rFonts w:hAnsi="宋体"/>
          <w:color w:val="000000"/>
          <w:szCs w:val="24"/>
        </w:rPr>
      </w:pPr>
      <w:r>
        <w:rPr>
          <w:rFonts w:hint="eastAsia"/>
          <w:color w:val="000000"/>
          <w:szCs w:val="24"/>
        </w:rPr>
        <w:t>评价单位于2026年4月对评价范围内进行了集中踏勘和野外调查，调查范围为管线中心线两侧300m</w:t>
      </w:r>
      <w:r>
        <w:rPr>
          <w:rFonts w:hint="eastAsia" w:hAnsi="宋体"/>
          <w:color w:val="000000"/>
          <w:szCs w:val="24"/>
        </w:rPr>
        <w:t>。</w:t>
      </w:r>
    </w:p>
    <w:p w14:paraId="118D1A45">
      <w:pPr>
        <w:spacing w:line="460" w:lineRule="exact"/>
        <w:ind w:firstLine="526" w:firstLineChars="200"/>
        <w:rPr>
          <w:rFonts w:hAnsi="宋体"/>
          <w:color w:val="000000"/>
          <w:szCs w:val="24"/>
        </w:rPr>
      </w:pPr>
      <w:r>
        <w:rPr>
          <w:rFonts w:hint="eastAsia" w:hAnsi="宋体"/>
          <w:color w:val="000000"/>
          <w:szCs w:val="24"/>
        </w:rPr>
        <w:t xml:space="preserve">（2）调查内容 </w:t>
      </w:r>
    </w:p>
    <w:p w14:paraId="05F821C3">
      <w:pPr>
        <w:spacing w:line="460" w:lineRule="exact"/>
        <w:ind w:firstLine="506" w:firstLineChars="200"/>
        <w:rPr>
          <w:rFonts w:hAnsi="宋体"/>
          <w:color w:val="000000"/>
          <w:spacing w:val="0"/>
          <w:szCs w:val="24"/>
        </w:rPr>
      </w:pPr>
      <w:r>
        <w:rPr>
          <w:rFonts w:hint="eastAsia" w:hAnsi="宋体"/>
          <w:color w:val="000000"/>
          <w:spacing w:val="0"/>
          <w:szCs w:val="24"/>
        </w:rPr>
        <w:t>调查内容包括评价区生态系统类型、土地利用类型、植被类型、野生动物等。</w:t>
      </w:r>
    </w:p>
    <w:p w14:paraId="73C3F2A5">
      <w:pPr>
        <w:spacing w:line="460" w:lineRule="exact"/>
        <w:ind w:firstLine="526" w:firstLineChars="200"/>
        <w:rPr>
          <w:rFonts w:hAnsi="宋体"/>
          <w:color w:val="000000"/>
          <w:szCs w:val="24"/>
        </w:rPr>
      </w:pPr>
      <w:r>
        <w:rPr>
          <w:rFonts w:hint="eastAsia" w:hAnsi="宋体"/>
          <w:color w:val="000000"/>
          <w:szCs w:val="24"/>
        </w:rPr>
        <w:t xml:space="preserve">（3）调查方法 </w:t>
      </w:r>
    </w:p>
    <w:p w14:paraId="3B977DEF">
      <w:pPr>
        <w:spacing w:line="460" w:lineRule="exact"/>
        <w:ind w:firstLine="526" w:firstLineChars="200"/>
        <w:rPr>
          <w:rFonts w:hAnsi="宋体"/>
          <w:color w:val="000000"/>
          <w:szCs w:val="24"/>
        </w:rPr>
      </w:pPr>
      <w:r>
        <w:rPr>
          <w:rFonts w:hint="eastAsia" w:hAnsi="宋体"/>
          <w:color w:val="000000"/>
          <w:szCs w:val="24"/>
        </w:rPr>
        <w:t xml:space="preserve">①基础资料收集 </w:t>
      </w:r>
    </w:p>
    <w:p w14:paraId="63F67519">
      <w:pPr>
        <w:spacing w:line="460" w:lineRule="exact"/>
        <w:ind w:firstLine="526" w:firstLineChars="200"/>
        <w:rPr>
          <w:rFonts w:hAnsi="宋体"/>
          <w:color w:val="000000"/>
          <w:szCs w:val="24"/>
        </w:rPr>
      </w:pPr>
      <w:r>
        <w:rPr>
          <w:rFonts w:hint="eastAsia" w:hAnsi="宋体"/>
          <w:color w:val="000000"/>
          <w:szCs w:val="24"/>
        </w:rPr>
        <w:t>收集整理工程区现有相关资料，包括工程区周边县市的统计年鉴，以及林业、农业、国土资源等部门提供的相关资料和生态敏感区的规划报告。还参考了《新疆植物志》《新疆脊椎动物简志》《中国新疆野生动物》等著作及相关科研论文。</w:t>
      </w:r>
    </w:p>
    <w:p w14:paraId="51BB3A58">
      <w:pPr>
        <w:spacing w:line="460" w:lineRule="exact"/>
        <w:ind w:firstLine="526" w:firstLineChars="200"/>
        <w:rPr>
          <w:rFonts w:hAnsi="宋体"/>
          <w:color w:val="000000"/>
          <w:szCs w:val="24"/>
        </w:rPr>
      </w:pPr>
      <w:r>
        <w:rPr>
          <w:rFonts w:hint="eastAsia" w:hAnsi="宋体"/>
          <w:color w:val="000000"/>
          <w:szCs w:val="24"/>
        </w:rPr>
        <w:t xml:space="preserve">②土地利用现状调查 </w:t>
      </w:r>
    </w:p>
    <w:p w14:paraId="70F750FC">
      <w:pPr>
        <w:spacing w:line="460" w:lineRule="exact"/>
        <w:ind w:firstLine="526" w:firstLineChars="200"/>
        <w:rPr>
          <w:rFonts w:hAnsi="宋体"/>
          <w:color w:val="000000"/>
          <w:szCs w:val="24"/>
        </w:rPr>
      </w:pPr>
      <w:r>
        <w:rPr>
          <w:rFonts w:hint="eastAsia" w:hAnsi="宋体"/>
          <w:color w:val="000000"/>
          <w:szCs w:val="24"/>
        </w:rPr>
        <w:t xml:space="preserve">土地利用现状调查主要通过遥感解译分析与现场调查相结合的方法，本次遥感数据采用卫星遥感影像，分析方法为首先应用ArcGIS进行手工解译，然后进行现场校验。 </w:t>
      </w:r>
    </w:p>
    <w:p w14:paraId="2CC41F92">
      <w:pPr>
        <w:spacing w:line="460" w:lineRule="exact"/>
        <w:ind w:firstLine="526" w:firstLineChars="200"/>
        <w:rPr>
          <w:rFonts w:hAnsi="宋体"/>
          <w:color w:val="000000"/>
          <w:szCs w:val="24"/>
        </w:rPr>
      </w:pPr>
      <w:r>
        <w:rPr>
          <w:rFonts w:hint="eastAsia" w:hAnsi="宋体"/>
          <w:color w:val="000000"/>
          <w:szCs w:val="24"/>
        </w:rPr>
        <w:t xml:space="preserve">③植被及植物资源调查 </w:t>
      </w:r>
    </w:p>
    <w:p w14:paraId="764013C7">
      <w:pPr>
        <w:spacing w:line="460" w:lineRule="exact"/>
        <w:ind w:firstLine="526" w:firstLineChars="200"/>
        <w:rPr>
          <w:rFonts w:hAnsi="宋体"/>
          <w:color w:val="000000"/>
          <w:szCs w:val="24"/>
        </w:rPr>
      </w:pPr>
      <w:r>
        <w:rPr>
          <w:rFonts w:hint="eastAsia" w:hAnsi="宋体"/>
          <w:color w:val="000000"/>
          <w:szCs w:val="24"/>
        </w:rPr>
        <w:t xml:space="preserve">本次调查主要按照《生物多样性观测技术导则 陆生维管植物》（HJ710.1-2014）等的要求，确定评价区的植物种类、植被类型等。 </w:t>
      </w:r>
    </w:p>
    <w:p w14:paraId="40C0026C">
      <w:pPr>
        <w:spacing w:line="460" w:lineRule="exact"/>
        <w:ind w:firstLine="526" w:firstLineChars="200"/>
        <w:rPr>
          <w:rFonts w:hAnsi="宋体"/>
          <w:color w:val="000000"/>
          <w:szCs w:val="24"/>
        </w:rPr>
      </w:pPr>
      <w:r>
        <w:rPr>
          <w:rFonts w:hint="eastAsia" w:hAnsi="宋体"/>
          <w:color w:val="000000"/>
          <w:szCs w:val="24"/>
        </w:rPr>
        <w:t xml:space="preserve">④野生动物资源调查 </w:t>
      </w:r>
    </w:p>
    <w:p w14:paraId="12AE3345">
      <w:pPr>
        <w:pStyle w:val="191"/>
        <w:widowControl w:val="0"/>
        <w:tabs>
          <w:tab w:val="right" w:leader="dot" w:pos="8959"/>
        </w:tabs>
        <w:spacing w:line="460" w:lineRule="exact"/>
        <w:ind w:leftChars="0" w:firstLine="526" w:firstLineChars="200"/>
        <w:jc w:val="both"/>
        <w:rPr>
          <w:rFonts w:hint="eastAsia" w:ascii="宋体" w:hAnsi="宋体"/>
          <w:color w:val="000000"/>
          <w:spacing w:val="5"/>
          <w:kern w:val="2"/>
          <w:sz w:val="24"/>
          <w:szCs w:val="24"/>
        </w:rPr>
      </w:pPr>
      <w:r>
        <w:rPr>
          <w:rFonts w:hint="eastAsia" w:ascii="宋体" w:hAnsi="宋体"/>
          <w:color w:val="000000"/>
          <w:spacing w:val="5"/>
          <w:kern w:val="2"/>
          <w:sz w:val="24"/>
          <w:szCs w:val="24"/>
        </w:rPr>
        <w:t>按照《生物多样性观测技术导则 陆生哺乳动物》（HJ710.3-2014）、《生物多样性观测技术导则 鸟类》（HJ710.4-2014）、《生物多样性观测技术导则 爬行动物》（HJ710.5-2014）等确定的技术方法，对各类野生动物开展了调查，主要采取了访谈法及查询资料，评价人员主要走访了工程区附近的施工人员及林业部门工作人员，重点询问了附近野生动物的种类及分布情况。</w:t>
      </w:r>
    </w:p>
    <w:p w14:paraId="4240B28D">
      <w:pPr>
        <w:pStyle w:val="191"/>
        <w:widowControl w:val="0"/>
        <w:tabs>
          <w:tab w:val="right" w:leader="dot" w:pos="8959"/>
        </w:tabs>
        <w:spacing w:line="46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4.2.2 生态功能区划调查</w:t>
      </w:r>
    </w:p>
    <w:p w14:paraId="5184CACF">
      <w:pPr>
        <w:spacing w:line="460" w:lineRule="exact"/>
        <w:ind w:firstLine="526" w:firstLineChars="200"/>
        <w:rPr>
          <w:rFonts w:hAnsi="宋体"/>
          <w:color w:val="000000"/>
          <w:szCs w:val="24"/>
        </w:rPr>
      </w:pPr>
      <w:r>
        <w:rPr>
          <w:rFonts w:hint="eastAsia" w:hAnsi="宋体"/>
          <w:color w:val="000000"/>
          <w:szCs w:val="24"/>
        </w:rPr>
        <w:t>参照《新疆生态功能区划》（原新疆维吾尔自治区环境保护局2003年9月），拟建工程主要生态服务功能、生态敏感因子、主要生态问题和主要保护目标见表4.2-1和附图4。</w:t>
      </w:r>
    </w:p>
    <w:p w14:paraId="139B8967">
      <w:pPr>
        <w:adjustRightInd w:val="0"/>
        <w:spacing w:line="460" w:lineRule="exact"/>
        <w:ind w:firstLine="526" w:firstLineChars="200"/>
        <w:rPr>
          <w:rFonts w:hint="eastAsia" w:ascii="黑体" w:hAnsi="黑体" w:eastAsia="黑体"/>
          <w:color w:val="000000"/>
        </w:rPr>
      </w:pPr>
      <w:r>
        <w:rPr>
          <w:rFonts w:hint="eastAsia" w:ascii="黑体" w:hAnsi="黑体" w:eastAsia="黑体" w:cs="宋体"/>
          <w:color w:val="000000"/>
        </w:rPr>
        <w:t xml:space="preserve">表4.2-1      </w:t>
      </w:r>
      <w:r>
        <w:rPr>
          <w:rFonts w:hint="eastAsia" w:ascii="黑体" w:hAnsi="黑体" w:eastAsia="黑体" w:cs="宋体"/>
          <w:color w:val="000000"/>
          <w:lang w:val="zh-CN"/>
        </w:rPr>
        <w:t xml:space="preserve">      </w:t>
      </w:r>
      <w:r>
        <w:rPr>
          <w:rFonts w:hint="eastAsia" w:ascii="黑体" w:hAnsi="黑体" w:eastAsia="黑体"/>
          <w:color w:val="000000"/>
        </w:rPr>
        <w:t xml:space="preserve"> 区域生态功能区划</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90"/>
        <w:gridCol w:w="1262"/>
        <w:gridCol w:w="6963"/>
      </w:tblGrid>
      <w:tr w14:paraId="46F4F3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61A826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  目</w:t>
            </w:r>
          </w:p>
        </w:tc>
        <w:tc>
          <w:tcPr>
            <w:tcW w:w="3861" w:type="pct"/>
            <w:vAlign w:val="center"/>
          </w:tcPr>
          <w:p w14:paraId="07723F8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   要   内   容</w:t>
            </w:r>
          </w:p>
        </w:tc>
      </w:tr>
      <w:tr w14:paraId="36646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38" w:type="pct"/>
            <w:vMerge w:val="restart"/>
            <w:vAlign w:val="center"/>
          </w:tcPr>
          <w:p w14:paraId="167BCEB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生态功能分区单元</w:t>
            </w:r>
          </w:p>
        </w:tc>
        <w:tc>
          <w:tcPr>
            <w:tcW w:w="699" w:type="pct"/>
            <w:vAlign w:val="center"/>
          </w:tcPr>
          <w:p w14:paraId="7E2837C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生态区</w:t>
            </w:r>
          </w:p>
        </w:tc>
        <w:tc>
          <w:tcPr>
            <w:tcW w:w="3861" w:type="pct"/>
            <w:vAlign w:val="center"/>
          </w:tcPr>
          <w:p w14:paraId="15CFCAE6">
            <w:pPr>
              <w:spacing w:line="0" w:lineRule="atLeast"/>
              <w:rPr>
                <w:rFonts w:hint="eastAsia" w:hAnsi="宋体" w:cs="宋体"/>
                <w:color w:val="000000"/>
                <w:spacing w:val="-10"/>
                <w:kern w:val="0"/>
                <w:sz w:val="21"/>
                <w:szCs w:val="21"/>
              </w:rPr>
            </w:pPr>
            <w:r>
              <w:rPr>
                <w:rFonts w:hint="eastAsia" w:hAnsi="宋体" w:cs="宋体"/>
                <w:color w:val="000000"/>
                <w:spacing w:val="-10"/>
                <w:sz w:val="21"/>
                <w:szCs w:val="21"/>
                <w:lang w:bidi="ar"/>
              </w:rPr>
              <w:t>塔里木盆地暖温带极干旱沙漠、戈壁及绿洲农业生态区</w:t>
            </w:r>
          </w:p>
        </w:tc>
      </w:tr>
      <w:tr w14:paraId="7FF782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38" w:type="pct"/>
            <w:vMerge w:val="continue"/>
            <w:vAlign w:val="center"/>
          </w:tcPr>
          <w:p w14:paraId="001B0860">
            <w:pPr>
              <w:spacing w:line="0" w:lineRule="atLeast"/>
              <w:rPr>
                <w:rFonts w:hint="eastAsia" w:hAnsi="宋体" w:cs="宋体"/>
                <w:color w:val="000000"/>
                <w:spacing w:val="-10"/>
                <w:kern w:val="0"/>
                <w:sz w:val="21"/>
                <w:szCs w:val="21"/>
              </w:rPr>
            </w:pPr>
          </w:p>
        </w:tc>
        <w:tc>
          <w:tcPr>
            <w:tcW w:w="699" w:type="pct"/>
            <w:vAlign w:val="center"/>
          </w:tcPr>
          <w:p w14:paraId="617970D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生态亚区</w:t>
            </w:r>
          </w:p>
        </w:tc>
        <w:tc>
          <w:tcPr>
            <w:tcW w:w="3861" w:type="pct"/>
            <w:vAlign w:val="center"/>
          </w:tcPr>
          <w:p w14:paraId="69E5AF48">
            <w:pPr>
              <w:spacing w:line="0" w:lineRule="atLeast"/>
              <w:rPr>
                <w:rFonts w:hint="eastAsia" w:hAnsi="宋体" w:cs="宋体"/>
                <w:color w:val="000000"/>
                <w:spacing w:val="-10"/>
                <w:kern w:val="0"/>
                <w:sz w:val="21"/>
                <w:szCs w:val="21"/>
              </w:rPr>
            </w:pPr>
            <w:r>
              <w:rPr>
                <w:rFonts w:hint="eastAsia" w:hAnsi="宋体" w:cs="宋体"/>
                <w:color w:val="000000"/>
                <w:spacing w:val="-10"/>
                <w:sz w:val="21"/>
                <w:szCs w:val="21"/>
                <w:lang w:bidi="ar"/>
              </w:rPr>
              <w:t>塔里木盆地中部塔克拉玛干流动沙漠敏感生态亚区</w:t>
            </w:r>
          </w:p>
        </w:tc>
      </w:tr>
      <w:tr w14:paraId="7D9819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38" w:type="pct"/>
            <w:vMerge w:val="continue"/>
            <w:vAlign w:val="center"/>
          </w:tcPr>
          <w:p w14:paraId="6BC472D5">
            <w:pPr>
              <w:spacing w:line="0" w:lineRule="atLeast"/>
              <w:rPr>
                <w:rFonts w:hint="eastAsia" w:hAnsi="宋体" w:cs="宋体"/>
                <w:color w:val="000000"/>
                <w:spacing w:val="-10"/>
                <w:kern w:val="0"/>
                <w:sz w:val="21"/>
                <w:szCs w:val="21"/>
              </w:rPr>
            </w:pPr>
          </w:p>
        </w:tc>
        <w:tc>
          <w:tcPr>
            <w:tcW w:w="699" w:type="pct"/>
            <w:vAlign w:val="center"/>
          </w:tcPr>
          <w:p w14:paraId="642764C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生态功能区</w:t>
            </w:r>
          </w:p>
        </w:tc>
        <w:tc>
          <w:tcPr>
            <w:tcW w:w="3861" w:type="pct"/>
            <w:vAlign w:val="center"/>
          </w:tcPr>
          <w:p w14:paraId="3084E50E">
            <w:pPr>
              <w:spacing w:line="0" w:lineRule="atLeast"/>
              <w:rPr>
                <w:rFonts w:hint="eastAsia" w:hAnsi="宋体" w:cs="宋体"/>
                <w:color w:val="000000"/>
                <w:spacing w:val="-10"/>
                <w:kern w:val="0"/>
                <w:sz w:val="21"/>
                <w:szCs w:val="21"/>
              </w:rPr>
            </w:pPr>
            <w:r>
              <w:rPr>
                <w:rFonts w:hint="eastAsia" w:hAnsi="宋体" w:cs="宋体"/>
                <w:color w:val="000000"/>
                <w:spacing w:val="-10"/>
                <w:sz w:val="21"/>
                <w:szCs w:val="21"/>
                <w:lang w:bidi="ar"/>
              </w:rPr>
              <w:t>塔克拉玛干东部流动沙漠景观与油田开发生态功能区</w:t>
            </w:r>
          </w:p>
        </w:tc>
      </w:tr>
      <w:tr w14:paraId="0FFF44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64FDC88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主要生态服务功能</w:t>
            </w:r>
          </w:p>
        </w:tc>
        <w:tc>
          <w:tcPr>
            <w:tcW w:w="3861" w:type="pct"/>
            <w:vAlign w:val="center"/>
          </w:tcPr>
          <w:p w14:paraId="2EFB44E6">
            <w:pPr>
              <w:spacing w:line="0" w:lineRule="atLeast"/>
              <w:rPr>
                <w:rFonts w:hint="eastAsia" w:hAnsi="宋体" w:cs="宋体"/>
                <w:color w:val="000000"/>
                <w:spacing w:val="-10"/>
                <w:sz w:val="21"/>
                <w:szCs w:val="21"/>
              </w:rPr>
            </w:pPr>
            <w:r>
              <w:rPr>
                <w:rFonts w:hint="eastAsia" w:hAnsi="宋体" w:cs="宋体"/>
                <w:color w:val="000000"/>
                <w:spacing w:val="-10"/>
                <w:sz w:val="21"/>
                <w:szCs w:val="21"/>
                <w:lang w:bidi="ar"/>
              </w:rPr>
              <w:t>沙漠景观、风沙源地、油气资源</w:t>
            </w:r>
          </w:p>
        </w:tc>
      </w:tr>
      <w:tr w14:paraId="3C3278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5F0B89E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主要生态环境问题</w:t>
            </w:r>
          </w:p>
        </w:tc>
        <w:tc>
          <w:tcPr>
            <w:tcW w:w="3861" w:type="pct"/>
            <w:vAlign w:val="center"/>
          </w:tcPr>
          <w:p w14:paraId="340FEF2A">
            <w:pPr>
              <w:spacing w:line="0" w:lineRule="atLeast"/>
              <w:rPr>
                <w:rFonts w:hint="eastAsia" w:hAnsi="宋体" w:cs="宋体"/>
                <w:color w:val="000000"/>
                <w:spacing w:val="-10"/>
                <w:sz w:val="21"/>
                <w:szCs w:val="21"/>
              </w:rPr>
            </w:pPr>
            <w:r>
              <w:rPr>
                <w:rFonts w:hint="eastAsia" w:hAnsi="宋体" w:cs="宋体"/>
                <w:color w:val="000000"/>
                <w:spacing w:val="-10"/>
                <w:sz w:val="21"/>
                <w:szCs w:val="21"/>
                <w:lang w:bidi="ar"/>
              </w:rPr>
              <w:t>风沙威胁绿洲和公路以及油田设施、石油开发区环境污染</w:t>
            </w:r>
          </w:p>
        </w:tc>
      </w:tr>
      <w:tr w14:paraId="6B7A68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3D76B7E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主要生态敏感因子、敏感程度</w:t>
            </w:r>
          </w:p>
        </w:tc>
        <w:tc>
          <w:tcPr>
            <w:tcW w:w="3861" w:type="pct"/>
            <w:vAlign w:val="center"/>
          </w:tcPr>
          <w:p w14:paraId="60A11462">
            <w:pPr>
              <w:spacing w:line="0" w:lineRule="atLeast"/>
              <w:rPr>
                <w:rFonts w:hint="eastAsia" w:hAnsi="宋体" w:cs="宋体"/>
                <w:color w:val="000000"/>
                <w:spacing w:val="-10"/>
                <w:kern w:val="0"/>
                <w:sz w:val="21"/>
                <w:szCs w:val="21"/>
              </w:rPr>
            </w:pPr>
            <w:r>
              <w:rPr>
                <w:rFonts w:hint="eastAsia" w:hAnsi="宋体" w:cs="宋体"/>
                <w:color w:val="000000"/>
                <w:spacing w:val="-10"/>
                <w:sz w:val="21"/>
                <w:szCs w:val="21"/>
                <w:lang w:bidi="ar"/>
              </w:rPr>
              <w:t>生物多样性和生境不敏感，土壤侵蚀高度敏感，土地沙漠化极度敏感，土壤盐渍化轻度敏感</w:t>
            </w:r>
          </w:p>
        </w:tc>
      </w:tr>
      <w:tr w14:paraId="40EF77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7A09CC5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主要保护目标</w:t>
            </w:r>
          </w:p>
        </w:tc>
        <w:tc>
          <w:tcPr>
            <w:tcW w:w="3861" w:type="pct"/>
            <w:vAlign w:val="center"/>
          </w:tcPr>
          <w:p w14:paraId="7497B3F1">
            <w:pPr>
              <w:spacing w:line="0" w:lineRule="atLeast"/>
              <w:rPr>
                <w:rFonts w:hint="eastAsia" w:hAnsi="宋体" w:cs="宋体"/>
                <w:color w:val="000000"/>
                <w:spacing w:val="-10"/>
                <w:sz w:val="21"/>
                <w:szCs w:val="21"/>
              </w:rPr>
            </w:pPr>
            <w:r>
              <w:rPr>
                <w:rFonts w:hint="eastAsia" w:hAnsi="宋体" w:cs="宋体"/>
                <w:color w:val="000000"/>
                <w:spacing w:val="-10"/>
                <w:sz w:val="21"/>
                <w:szCs w:val="21"/>
                <w:lang w:bidi="ar"/>
              </w:rPr>
              <w:t>保护油田设施和沙漠公路、保护文物古迹</w:t>
            </w:r>
          </w:p>
        </w:tc>
      </w:tr>
      <w:tr w14:paraId="080448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1138" w:type="pct"/>
            <w:gridSpan w:val="2"/>
            <w:vAlign w:val="center"/>
          </w:tcPr>
          <w:p w14:paraId="236AD2F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主要发展方向</w:t>
            </w:r>
          </w:p>
        </w:tc>
        <w:tc>
          <w:tcPr>
            <w:tcW w:w="3861" w:type="pct"/>
            <w:vAlign w:val="center"/>
          </w:tcPr>
          <w:p w14:paraId="395AF2D0">
            <w:pPr>
              <w:spacing w:line="0" w:lineRule="atLeast"/>
              <w:rPr>
                <w:rFonts w:hint="eastAsia" w:hAnsi="宋体" w:cs="宋体"/>
                <w:color w:val="000000"/>
                <w:spacing w:val="-10"/>
                <w:kern w:val="0"/>
                <w:sz w:val="21"/>
                <w:szCs w:val="21"/>
              </w:rPr>
            </w:pPr>
            <w:r>
              <w:rPr>
                <w:rFonts w:hint="eastAsia" w:hAnsi="宋体" w:cs="宋体"/>
                <w:color w:val="000000"/>
                <w:spacing w:val="-10"/>
                <w:sz w:val="21"/>
                <w:szCs w:val="21"/>
                <w:lang w:bidi="ar"/>
              </w:rPr>
              <w:t>加强沙漠油气资源勘探开发，适度开发地下水，进行油田区和公路绿化，发展沙漠探险旅游</w:t>
            </w:r>
          </w:p>
        </w:tc>
      </w:tr>
    </w:tbl>
    <w:p w14:paraId="03D3C4E6">
      <w:pPr>
        <w:adjustRightInd w:val="0"/>
        <w:spacing w:before="240" w:line="480" w:lineRule="exact"/>
        <w:ind w:firstLine="526" w:firstLineChars="200"/>
        <w:rPr>
          <w:rFonts w:hint="eastAsia" w:hAnsi="宋体"/>
          <w:color w:val="000000"/>
          <w:szCs w:val="24"/>
        </w:rPr>
      </w:pPr>
      <w:r>
        <w:rPr>
          <w:rFonts w:hint="eastAsia" w:hAnsi="宋体"/>
          <w:color w:val="000000"/>
          <w:szCs w:val="24"/>
        </w:rPr>
        <w:t>由表4.2-1可知，</w:t>
      </w:r>
      <w:r>
        <w:rPr>
          <w:rFonts w:hint="eastAsia" w:hAnsi="宋体"/>
          <w:color w:val="000000"/>
        </w:rPr>
        <w:t>项目位于“塔克拉玛干东部流动沙漠景观与油田开发生态功能区”，主要服务功能为“沙漠景观、风沙源地、油气资源”，主要保护目标为“保护油田设施和沙漠公路、保护文物古迹”，主要发展方向为“加强沙漠油气资源勘探开发，适度开发地下水，进行油田区和公路绿化，发展沙漠探险旅游”。</w:t>
      </w:r>
    </w:p>
    <w:p w14:paraId="68E5018F">
      <w:pPr>
        <w:spacing w:line="480" w:lineRule="exact"/>
        <w:ind w:firstLine="526" w:firstLineChars="200"/>
        <w:rPr>
          <w:rFonts w:hint="eastAsia" w:hAnsi="宋体"/>
          <w:color w:val="000000"/>
          <w:szCs w:val="24"/>
        </w:rPr>
      </w:pPr>
      <w:r>
        <w:rPr>
          <w:rFonts w:hint="eastAsia" w:hAnsi="宋体"/>
          <w:bCs/>
          <w:color w:val="000000"/>
        </w:rPr>
        <w:t>项目主要是管线施工，对生态环境的影响主要体现在施工期，施工期具有临时性、短暂性特点，施工结束后，管沟回填，</w:t>
      </w:r>
      <w:r>
        <w:rPr>
          <w:rFonts w:hint="eastAsia" w:hAnsi="宋体" w:cs="宋体"/>
          <w:color w:val="000000"/>
        </w:rPr>
        <w:t>区域生态采取自然恢复措施及完善的防沙治沙及水土保持措施，</w:t>
      </w:r>
      <w:r>
        <w:rPr>
          <w:rFonts w:hint="eastAsia" w:hAnsi="宋体"/>
          <w:bCs/>
          <w:color w:val="000000"/>
        </w:rPr>
        <w:t>不会对沙漠化扩大、土壤盐渍化造成影响。</w:t>
      </w:r>
      <w:r>
        <w:rPr>
          <w:rFonts w:hint="eastAsia" w:hAnsi="宋体" w:cs="宋体"/>
          <w:color w:val="000000"/>
        </w:rPr>
        <w:t>综上所述，</w:t>
      </w:r>
      <w:r>
        <w:rPr>
          <w:rFonts w:hint="eastAsia" w:hAnsi="宋体"/>
          <w:bCs/>
          <w:color w:val="000000"/>
        </w:rPr>
        <w:t>项目的建设实施</w:t>
      </w:r>
      <w:r>
        <w:rPr>
          <w:rFonts w:hint="eastAsia" w:hAnsi="宋体" w:cs="宋体"/>
          <w:bCs/>
          <w:color w:val="000000"/>
          <w:kern w:val="0"/>
        </w:rPr>
        <w:t>符合区域生态服务功能定位，</w:t>
      </w:r>
      <w:r>
        <w:rPr>
          <w:rFonts w:hint="eastAsia" w:hAnsi="宋体"/>
          <w:bCs/>
          <w:color w:val="000000"/>
        </w:rPr>
        <w:t>与区域发展方向相协调</w:t>
      </w:r>
      <w:r>
        <w:rPr>
          <w:rFonts w:hint="eastAsia" w:hAnsi="宋体" w:cs="宋体"/>
          <w:color w:val="000000"/>
        </w:rPr>
        <w:t>。</w:t>
      </w:r>
    </w:p>
    <w:p w14:paraId="439F2170">
      <w:pPr>
        <w:pStyle w:val="191"/>
        <w:widowControl w:val="0"/>
        <w:tabs>
          <w:tab w:val="right" w:leader="dot" w:pos="8959"/>
        </w:tabs>
        <w:spacing w:line="46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4.2.3 生态系统调查与评价</w:t>
      </w:r>
    </w:p>
    <w:p w14:paraId="7DB6E050">
      <w:pPr>
        <w:spacing w:line="460" w:lineRule="exact"/>
        <w:rPr>
          <w:rFonts w:hint="eastAsia"/>
          <w:color w:val="000000"/>
          <w:szCs w:val="24"/>
        </w:rPr>
      </w:pPr>
      <w:r>
        <w:rPr>
          <w:rFonts w:hint="eastAsia"/>
          <w:color w:val="000000"/>
          <w:szCs w:val="24"/>
        </w:rPr>
        <w:t>4.2.5.3.1 生态系统类型</w:t>
      </w:r>
    </w:p>
    <w:p w14:paraId="51AEFC29">
      <w:pPr>
        <w:spacing w:line="460" w:lineRule="exact"/>
        <w:ind w:firstLine="526" w:firstLineChars="200"/>
        <w:rPr>
          <w:rFonts w:hint="eastAsia"/>
          <w:color w:val="000000"/>
          <w:szCs w:val="24"/>
        </w:rPr>
      </w:pPr>
      <w:r>
        <w:rPr>
          <w:rFonts w:hint="eastAsia"/>
          <w:color w:val="000000"/>
          <w:szCs w:val="24"/>
        </w:rPr>
        <w:t>本次采用野外调查与遥感技术相结合的手段，根据《全国生态状况调查评估技术规范 生态系统遥感解译与野外核查》（HJ1166-2021）的分类方法，对评价区生态系统进行分类，项目评价范围生态系统</w:t>
      </w:r>
      <w:r>
        <w:rPr>
          <w:rFonts w:hint="eastAsia"/>
          <w:color w:val="000000"/>
        </w:rPr>
        <w:t>主要为荒漠生态系统，生态系统结构简单</w:t>
      </w:r>
      <w:r>
        <w:rPr>
          <w:rFonts w:hint="eastAsia"/>
          <w:color w:val="000000"/>
          <w:szCs w:val="24"/>
        </w:rPr>
        <w:t>。</w:t>
      </w:r>
    </w:p>
    <w:p w14:paraId="5DDEE16D">
      <w:pPr>
        <w:spacing w:line="460" w:lineRule="exact"/>
        <w:rPr>
          <w:rFonts w:hint="eastAsia"/>
          <w:color w:val="000000"/>
          <w:szCs w:val="24"/>
        </w:rPr>
      </w:pPr>
      <w:r>
        <w:rPr>
          <w:rFonts w:hint="eastAsia"/>
          <w:color w:val="000000"/>
          <w:szCs w:val="24"/>
        </w:rPr>
        <w:t>4.2.5.3.2 生态系统特征</w:t>
      </w:r>
    </w:p>
    <w:p w14:paraId="2242199C">
      <w:pPr>
        <w:spacing w:line="460" w:lineRule="exact"/>
        <w:ind w:firstLine="526" w:firstLineChars="200"/>
        <w:rPr>
          <w:rFonts w:hint="eastAsia" w:cs="宋体"/>
          <w:color w:val="000000"/>
        </w:rPr>
      </w:pPr>
      <w:r>
        <w:rPr>
          <w:rFonts w:hint="eastAsia" w:cs="宋体"/>
          <w:color w:val="000000"/>
        </w:rPr>
        <w:t>荒漠生态系统分布于评价区北部荒漠戈壁中，管线北段位于荒漠生态系统。环境水分稀少是荒漠生态系统的最基本环境特征。在气候上，该区域处于干旱和极干旱地区，且降水随着季节不同分配不均匀，主要集中在冬季（非植物生长季）。由于降水稀少和蒸散十分强烈，少量天然降水远不能满足中生植物生长发育所需要的水分，只有耐干旱和耐盐碱的荒漠植物才能得以生存，由此形成内陆干旱荒漠生态景观。受自然条件的制约，评价区植被总体表现为低矮而稀疏，且分布不均匀。由低矮、稀疏植被所形成的生物保护层不健全且功能微弱，使地表物质易受侵蚀和搬运，所形成的强大有害物质流（风沙），威胁人类生存环境，同时对农林牧业生产潜在的灾害性影响。</w:t>
      </w:r>
    </w:p>
    <w:p w14:paraId="3FB89873">
      <w:pPr>
        <w:pStyle w:val="34"/>
        <w:spacing w:line="460" w:lineRule="exact"/>
        <w:ind w:firstLine="526" w:firstLineChars="200"/>
        <w:rPr>
          <w:rFonts w:cs="宋体"/>
          <w:b w:val="0"/>
          <w:color w:val="000000"/>
        </w:rPr>
      </w:pPr>
      <w:r>
        <w:rPr>
          <w:rFonts w:cs="宋体"/>
          <w:b w:val="0"/>
          <w:color w:val="000000"/>
        </w:rPr>
        <w:t>荒漠生态系统的植被稀少，物种贫乏，异质性较差，系统平衡关系的相关性极容易受到破坏，且破坏后很难恢复，这就是干旱地区生态环境的脆弱性。无植被或少植被覆盖的地表，易受到侵蚀、沙化，或成为沙尘暴的发源地。</w:t>
      </w:r>
    </w:p>
    <w:p w14:paraId="2E03CAF0">
      <w:pPr>
        <w:pStyle w:val="191"/>
        <w:widowControl w:val="0"/>
        <w:tabs>
          <w:tab w:val="right" w:leader="dot" w:pos="8959"/>
        </w:tabs>
        <w:spacing w:line="46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4.2.4 土地利用现状调查与评价</w:t>
      </w:r>
    </w:p>
    <w:p w14:paraId="10860FBA">
      <w:pPr>
        <w:pStyle w:val="191"/>
        <w:widowControl w:val="0"/>
        <w:tabs>
          <w:tab w:val="right" w:leader="dot" w:pos="8959"/>
        </w:tabs>
        <w:spacing w:line="460" w:lineRule="exact"/>
        <w:ind w:leftChars="0" w:firstLine="526" w:firstLineChars="200"/>
        <w:jc w:val="both"/>
        <w:rPr>
          <w:rFonts w:hint="eastAsia" w:ascii="宋体" w:hAnsi="宋体" w:cs="宋体"/>
          <w:color w:val="000000"/>
          <w:spacing w:val="5"/>
          <w:sz w:val="24"/>
          <w:szCs w:val="24"/>
        </w:rPr>
      </w:pPr>
      <w:r>
        <w:rPr>
          <w:rFonts w:hint="eastAsia" w:ascii="宋体" w:hAnsi="宋体" w:cs="宋体"/>
          <w:color w:val="000000"/>
          <w:spacing w:val="5"/>
          <w:sz w:val="24"/>
          <w:szCs w:val="24"/>
        </w:rPr>
        <w:t>根据遥感调查结果，采用图形叠加法对评价范围内的生态环境现状进行分析，将遥感影像与线路进行叠加，根据《土地利用现状分类》（GB/T21010-2017），以确定项目区内的土地利用类型，并统计各类土地利用类型的面积，将成果绘制成土地利用现状图。生态现状调查范围内土地利用类型均为沙地。</w:t>
      </w:r>
    </w:p>
    <w:p w14:paraId="1A645F4B">
      <w:pPr>
        <w:autoSpaceDE w:val="0"/>
        <w:autoSpaceDN w:val="0"/>
        <w:adjustRightInd w:val="0"/>
        <w:spacing w:line="480" w:lineRule="exact"/>
        <w:ind w:firstLine="526" w:firstLineChars="200"/>
        <w:rPr>
          <w:rFonts w:ascii="黑体" w:hAnsi="黑体" w:eastAsia="黑体" w:cs="宋体"/>
          <w:bCs/>
          <w:color w:val="000000"/>
          <w:szCs w:val="24"/>
          <w:vertAlign w:val="superscript"/>
        </w:rPr>
      </w:pPr>
      <w:r>
        <w:rPr>
          <w:rFonts w:hint="eastAsia" w:ascii="黑体" w:hAnsi="黑体" w:eastAsia="黑体" w:cs="宋体"/>
          <w:bCs/>
          <w:color w:val="000000"/>
          <w:szCs w:val="24"/>
        </w:rPr>
        <w:t>表</w:t>
      </w:r>
      <w:r>
        <w:rPr>
          <w:rFonts w:hint="eastAsia" w:ascii="黑体" w:hAnsi="黑体" w:eastAsia="黑体"/>
          <w:bCs/>
          <w:color w:val="000000"/>
          <w:szCs w:val="24"/>
        </w:rPr>
        <w:t>4.2-2</w:t>
      </w:r>
      <w:r>
        <w:rPr>
          <w:rFonts w:ascii="黑体" w:hAnsi="黑体" w:eastAsia="黑体"/>
          <w:bCs/>
          <w:color w:val="000000"/>
          <w:szCs w:val="24"/>
        </w:rPr>
        <w:t xml:space="preserve">    </w:t>
      </w:r>
      <w:r>
        <w:rPr>
          <w:rFonts w:hint="eastAsia" w:ascii="黑体" w:hAnsi="黑体" w:eastAsia="黑体"/>
          <w:bCs/>
          <w:color w:val="000000"/>
          <w:szCs w:val="24"/>
        </w:rPr>
        <w:t xml:space="preserve">  </w:t>
      </w:r>
      <w:r>
        <w:rPr>
          <w:rFonts w:ascii="黑体" w:hAnsi="黑体" w:eastAsia="黑体"/>
          <w:bCs/>
          <w:color w:val="000000"/>
          <w:szCs w:val="24"/>
        </w:rPr>
        <w:t xml:space="preserve">  </w:t>
      </w:r>
      <w:r>
        <w:rPr>
          <w:rFonts w:hint="eastAsia" w:ascii="黑体" w:hAnsi="黑体" w:eastAsia="黑体" w:cs="黑体"/>
          <w:bCs/>
          <w:color w:val="000000"/>
          <w:szCs w:val="24"/>
        </w:rPr>
        <w:t>评价区土地利用类型一览表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530"/>
        <w:gridCol w:w="1964"/>
        <w:gridCol w:w="2264"/>
        <w:gridCol w:w="2257"/>
      </w:tblGrid>
      <w:tr w14:paraId="51E41B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494" w:type="dxa"/>
            <w:gridSpan w:val="2"/>
            <w:tcMar>
              <w:left w:w="28" w:type="dxa"/>
              <w:right w:w="28" w:type="dxa"/>
            </w:tcMar>
            <w:vAlign w:val="center"/>
          </w:tcPr>
          <w:p w14:paraId="383948B7">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土地利用类型</w:t>
            </w:r>
          </w:p>
        </w:tc>
        <w:tc>
          <w:tcPr>
            <w:tcW w:w="2264" w:type="dxa"/>
            <w:vMerge w:val="restart"/>
            <w:tcMar>
              <w:left w:w="28" w:type="dxa"/>
              <w:right w:w="28" w:type="dxa"/>
            </w:tcMar>
            <w:vAlign w:val="center"/>
          </w:tcPr>
          <w:p w14:paraId="72446F13">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面积（km</w:t>
            </w:r>
            <w:r>
              <w:rPr>
                <w:rFonts w:hint="eastAsia" w:hAnsi="宋体" w:cs="宋体"/>
                <w:color w:val="000000"/>
                <w:spacing w:val="-10"/>
                <w:sz w:val="21"/>
                <w:szCs w:val="21"/>
                <w:vertAlign w:val="superscript"/>
              </w:rPr>
              <w:t>2</w:t>
            </w:r>
            <w:r>
              <w:rPr>
                <w:rFonts w:hint="eastAsia" w:hAnsi="宋体" w:cs="宋体"/>
                <w:color w:val="000000"/>
                <w:spacing w:val="-10"/>
                <w:sz w:val="21"/>
                <w:szCs w:val="21"/>
              </w:rPr>
              <w:t>）</w:t>
            </w:r>
          </w:p>
        </w:tc>
        <w:tc>
          <w:tcPr>
            <w:tcW w:w="2257" w:type="dxa"/>
            <w:vMerge w:val="restart"/>
            <w:tcMar>
              <w:left w:w="28" w:type="dxa"/>
              <w:right w:w="28" w:type="dxa"/>
            </w:tcMar>
            <w:vAlign w:val="center"/>
          </w:tcPr>
          <w:p w14:paraId="7FEF9369">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比例/%</w:t>
            </w:r>
          </w:p>
        </w:tc>
      </w:tr>
      <w:tr w14:paraId="6B0F13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530" w:type="dxa"/>
            <w:tcMar>
              <w:left w:w="28" w:type="dxa"/>
              <w:right w:w="28" w:type="dxa"/>
            </w:tcMar>
            <w:vAlign w:val="center"/>
          </w:tcPr>
          <w:p w14:paraId="2FA4997C">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一级分类</w:t>
            </w:r>
          </w:p>
        </w:tc>
        <w:tc>
          <w:tcPr>
            <w:tcW w:w="1964" w:type="dxa"/>
            <w:tcMar>
              <w:left w:w="28" w:type="dxa"/>
              <w:right w:w="28" w:type="dxa"/>
            </w:tcMar>
            <w:vAlign w:val="center"/>
          </w:tcPr>
          <w:p w14:paraId="0467D921">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二级分类</w:t>
            </w:r>
          </w:p>
        </w:tc>
        <w:tc>
          <w:tcPr>
            <w:tcW w:w="2264" w:type="dxa"/>
            <w:vMerge w:val="continue"/>
            <w:tcMar>
              <w:left w:w="28" w:type="dxa"/>
              <w:right w:w="28" w:type="dxa"/>
            </w:tcMar>
            <w:vAlign w:val="center"/>
          </w:tcPr>
          <w:p w14:paraId="4C8960BD">
            <w:pPr>
              <w:pStyle w:val="47"/>
              <w:spacing w:after="0" w:line="0" w:lineRule="atLeast"/>
              <w:ind w:left="0" w:leftChars="0" w:firstLine="0"/>
              <w:jc w:val="center"/>
              <w:rPr>
                <w:rFonts w:hint="eastAsia" w:hAnsi="宋体" w:cs="宋体"/>
                <w:color w:val="000000"/>
                <w:spacing w:val="-10"/>
                <w:sz w:val="21"/>
                <w:szCs w:val="21"/>
              </w:rPr>
            </w:pPr>
          </w:p>
        </w:tc>
        <w:tc>
          <w:tcPr>
            <w:tcW w:w="2257" w:type="dxa"/>
            <w:vMerge w:val="continue"/>
            <w:tcMar>
              <w:left w:w="28" w:type="dxa"/>
              <w:right w:w="28" w:type="dxa"/>
            </w:tcMar>
            <w:vAlign w:val="center"/>
          </w:tcPr>
          <w:p w14:paraId="2729BBDD">
            <w:pPr>
              <w:pStyle w:val="47"/>
              <w:spacing w:after="0" w:line="0" w:lineRule="atLeast"/>
              <w:ind w:left="0" w:leftChars="0" w:firstLine="0"/>
              <w:jc w:val="center"/>
              <w:rPr>
                <w:rFonts w:hint="eastAsia" w:hAnsi="宋体" w:cs="宋体"/>
                <w:color w:val="000000"/>
                <w:spacing w:val="-10"/>
                <w:sz w:val="21"/>
                <w:szCs w:val="21"/>
              </w:rPr>
            </w:pPr>
          </w:p>
        </w:tc>
      </w:tr>
      <w:tr w14:paraId="03626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530" w:type="dxa"/>
            <w:tcMar>
              <w:left w:w="28" w:type="dxa"/>
              <w:right w:w="28" w:type="dxa"/>
            </w:tcMar>
            <w:vAlign w:val="center"/>
          </w:tcPr>
          <w:p w14:paraId="6EA23E6C">
            <w:pPr>
              <w:pStyle w:val="47"/>
              <w:spacing w:after="0" w:line="0" w:lineRule="atLeast"/>
              <w:ind w:left="0" w:leftChars="0" w:firstLine="0"/>
              <w:jc w:val="center"/>
              <w:rPr>
                <w:rFonts w:hAnsi="宋体" w:cs="宋体"/>
                <w:color w:val="000000"/>
                <w:spacing w:val="-10"/>
                <w:sz w:val="21"/>
                <w:szCs w:val="21"/>
              </w:rPr>
            </w:pPr>
            <w:r>
              <w:rPr>
                <w:rFonts w:hint="eastAsia" w:hAnsi="宋体" w:cs="宋体"/>
                <w:color w:val="000000"/>
                <w:spacing w:val="-10"/>
                <w:sz w:val="21"/>
                <w:szCs w:val="21"/>
              </w:rPr>
              <w:t>其他土地</w:t>
            </w:r>
          </w:p>
        </w:tc>
        <w:tc>
          <w:tcPr>
            <w:tcW w:w="1964" w:type="dxa"/>
            <w:tcMar>
              <w:left w:w="28" w:type="dxa"/>
              <w:right w:w="28" w:type="dxa"/>
            </w:tcMar>
            <w:vAlign w:val="center"/>
          </w:tcPr>
          <w:p w14:paraId="51C2C3B1">
            <w:pPr>
              <w:pStyle w:val="47"/>
              <w:spacing w:after="0" w:line="0" w:lineRule="atLeast"/>
              <w:ind w:left="0" w:leftChars="0" w:firstLine="0"/>
              <w:jc w:val="center"/>
              <w:rPr>
                <w:rFonts w:hint="eastAsia" w:hAnsi="宋体" w:cs="宋体"/>
                <w:color w:val="000000"/>
                <w:spacing w:val="-10"/>
                <w:sz w:val="21"/>
                <w:szCs w:val="21"/>
              </w:rPr>
            </w:pPr>
            <w:r>
              <w:rPr>
                <w:rFonts w:hint="eastAsia" w:hAnsi="宋体" w:cs="宋体"/>
                <w:color w:val="000000"/>
                <w:spacing w:val="-10"/>
                <w:sz w:val="21"/>
                <w:szCs w:val="21"/>
              </w:rPr>
              <w:t>沙地</w:t>
            </w:r>
          </w:p>
        </w:tc>
        <w:tc>
          <w:tcPr>
            <w:tcW w:w="2264" w:type="dxa"/>
            <w:tcMar>
              <w:left w:w="28" w:type="dxa"/>
              <w:right w:w="28" w:type="dxa"/>
            </w:tcMar>
            <w:vAlign w:val="center"/>
          </w:tcPr>
          <w:p w14:paraId="649EABB9">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8.31</w:t>
            </w:r>
          </w:p>
        </w:tc>
        <w:tc>
          <w:tcPr>
            <w:tcW w:w="2257" w:type="dxa"/>
            <w:tcMar>
              <w:left w:w="28" w:type="dxa"/>
              <w:right w:w="28" w:type="dxa"/>
            </w:tcMar>
            <w:vAlign w:val="center"/>
          </w:tcPr>
          <w:p w14:paraId="7E016AC5">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100</w:t>
            </w:r>
          </w:p>
        </w:tc>
      </w:tr>
    </w:tbl>
    <w:p w14:paraId="111A9F0A">
      <w:pPr>
        <w:spacing w:before="240" w:line="480" w:lineRule="exact"/>
        <w:ind w:firstLine="526" w:firstLineChars="200"/>
        <w:rPr>
          <w:rFonts w:hint="eastAsia" w:hAnsi="宋体" w:cs="宋体"/>
          <w:color w:val="000000"/>
          <w:kern w:val="0"/>
          <w:szCs w:val="24"/>
          <w:lang w:val="zh-CN"/>
        </w:rPr>
      </w:pPr>
      <w:r>
        <w:rPr>
          <w:rFonts w:hint="eastAsia" w:hAnsi="宋体" w:cs="宋体"/>
          <w:color w:val="000000"/>
          <w:kern w:val="0"/>
          <w:szCs w:val="24"/>
          <w:lang w:val="zh-CN"/>
        </w:rPr>
        <w:t>由上表可知，评价范围内土地利用类型</w:t>
      </w:r>
      <w:r>
        <w:rPr>
          <w:rFonts w:hint="eastAsia" w:hAnsi="宋体" w:cs="宋体"/>
          <w:color w:val="000000"/>
          <w:kern w:val="0"/>
          <w:szCs w:val="24"/>
        </w:rPr>
        <w:t>均为沙地</w:t>
      </w:r>
      <w:r>
        <w:rPr>
          <w:rFonts w:hint="eastAsia" w:hAnsi="宋体" w:cs="宋体"/>
          <w:color w:val="000000"/>
          <w:kern w:val="0"/>
          <w:szCs w:val="24"/>
          <w:lang w:val="zh-CN"/>
        </w:rPr>
        <w:t>。</w:t>
      </w:r>
    </w:p>
    <w:p w14:paraId="46A1B822">
      <w:pPr>
        <w:pStyle w:val="191"/>
        <w:widowControl w:val="0"/>
        <w:tabs>
          <w:tab w:val="right" w:leader="dot" w:pos="8959"/>
        </w:tabs>
        <w:spacing w:line="48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4.2.5植被现状调查与评价</w:t>
      </w:r>
    </w:p>
    <w:p w14:paraId="169DD8E3">
      <w:pPr>
        <w:adjustRightInd w:val="0"/>
        <w:ind w:firstLine="526" w:firstLineChars="200"/>
        <w:rPr>
          <w:rFonts w:hint="eastAsia"/>
          <w:color w:val="000000"/>
        </w:rPr>
      </w:pPr>
      <w:r>
        <w:rPr>
          <w:rFonts w:hint="eastAsia" w:hAnsi="宋体" w:cs="宋体"/>
          <w:color w:val="000000"/>
        </w:rPr>
        <w:t>区域内除局部地段外，地表基本无植被生长。植物物种的分布和水文条件直接有关，沙漠边缘分布有一年生草本植物和依靠水平根系吸收水分的植物，地下水位较深的地区，分布深根型多年生植物，沙漠腹地绝大部分为连绵的流动沙丘，极端干旱的气候和稀疏的植被使得该区域的生物种类贫乏，仅在一些高大沙丘间低地、地下水位较高的地段生长有芦苇、柽柳等植物群落，植被覆盖度＜5%，但项目评价区域内除局部地段外，绝大部分地段很少或根本无植物生长，为裸地，</w:t>
      </w:r>
      <w:r>
        <w:rPr>
          <w:rFonts w:hint="eastAsia" w:hAnsi="宋体"/>
          <w:snapToGrid w:val="0"/>
          <w:color w:val="000000"/>
        </w:rPr>
        <w:t>无国家和地方保护植物</w:t>
      </w:r>
      <w:r>
        <w:rPr>
          <w:rFonts w:hAnsi="宋体" w:cs="宋体"/>
          <w:color w:val="000000"/>
        </w:rPr>
        <w:t>。项目区域植被类型图见</w:t>
      </w:r>
      <w:r>
        <w:rPr>
          <w:rFonts w:hint="eastAsia" w:hAnsi="宋体" w:cs="宋体"/>
          <w:snapToGrid w:val="0"/>
          <w:color w:val="000000"/>
          <w:kern w:val="0"/>
        </w:rPr>
        <w:t>附</w:t>
      </w:r>
      <w:r>
        <w:rPr>
          <w:rFonts w:hAnsi="宋体" w:cs="宋体"/>
          <w:color w:val="000000"/>
        </w:rPr>
        <w:t>图</w:t>
      </w:r>
      <w:r>
        <w:rPr>
          <w:rFonts w:hint="eastAsia" w:hAnsi="宋体" w:cs="宋体"/>
          <w:color w:val="000000"/>
        </w:rPr>
        <w:t>8，</w:t>
      </w:r>
      <w:r>
        <w:rPr>
          <w:rFonts w:hint="eastAsia"/>
          <w:color w:val="000000"/>
        </w:rPr>
        <w:t>生态调查评价范围内野生植物情况见表4.2-3。</w:t>
      </w:r>
    </w:p>
    <w:p w14:paraId="514733E7">
      <w:pPr>
        <w:ind w:firstLine="526" w:firstLineChars="200"/>
        <w:rPr>
          <w:rFonts w:hint="eastAsia" w:ascii="黑体" w:hAnsi="黑体" w:eastAsia="黑体"/>
          <w:color w:val="000000"/>
        </w:rPr>
      </w:pPr>
      <w:r>
        <w:rPr>
          <w:rFonts w:hint="eastAsia" w:ascii="黑体" w:hAnsi="黑体" w:eastAsia="黑体"/>
          <w:bCs/>
          <w:color w:val="000000"/>
        </w:rPr>
        <w:t xml:space="preserve">表4.2-3  </w:t>
      </w:r>
      <w:r>
        <w:rPr>
          <w:rFonts w:ascii="黑体" w:hAnsi="黑体" w:eastAsia="黑体"/>
          <w:b/>
          <w:bCs/>
          <w:color w:val="000000"/>
        </w:rPr>
        <w:t xml:space="preserve">  </w:t>
      </w:r>
      <w:r>
        <w:rPr>
          <w:rFonts w:hint="eastAsia" w:ascii="黑体" w:hAnsi="黑体" w:eastAsia="黑体"/>
          <w:b/>
          <w:bCs/>
          <w:color w:val="000000"/>
        </w:rPr>
        <w:t xml:space="preserve">   </w:t>
      </w:r>
      <w:r>
        <w:rPr>
          <w:rFonts w:ascii="黑体" w:hAnsi="黑体" w:eastAsia="黑体"/>
          <w:b/>
          <w:bCs/>
          <w:color w:val="000000"/>
        </w:rPr>
        <w:t xml:space="preserve"> </w:t>
      </w:r>
      <w:r>
        <w:rPr>
          <w:rFonts w:hint="eastAsia" w:ascii="黑体" w:hAnsi="黑体" w:eastAsia="黑体"/>
          <w:color w:val="000000"/>
        </w:rPr>
        <w:t xml:space="preserve">生态调查评价范围内野生植物情况一览表   </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975"/>
        <w:gridCol w:w="1983"/>
        <w:gridCol w:w="3518"/>
        <w:gridCol w:w="1534"/>
      </w:tblGrid>
      <w:tr w14:paraId="4A908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6" w:type="pct"/>
            <w:vAlign w:val="center"/>
          </w:tcPr>
          <w:p w14:paraId="525E5F72">
            <w:pPr>
              <w:spacing w:line="0" w:lineRule="atLeast"/>
              <w:jc w:val="center"/>
              <w:rPr>
                <w:rFonts w:hint="eastAsia" w:hAnsi="宋体"/>
                <w:color w:val="000000"/>
                <w:spacing w:val="-10"/>
                <w:sz w:val="21"/>
                <w:szCs w:val="21"/>
              </w:rPr>
            </w:pPr>
            <w:r>
              <w:rPr>
                <w:rFonts w:hint="eastAsia" w:hAnsi="宋体"/>
                <w:color w:val="000000"/>
                <w:spacing w:val="-10"/>
                <w:sz w:val="21"/>
                <w:szCs w:val="21"/>
              </w:rPr>
              <w:t>科</w:t>
            </w:r>
          </w:p>
        </w:tc>
        <w:tc>
          <w:tcPr>
            <w:tcW w:w="1100" w:type="pct"/>
            <w:vAlign w:val="center"/>
          </w:tcPr>
          <w:p w14:paraId="56E85CF5">
            <w:pPr>
              <w:spacing w:line="0" w:lineRule="atLeast"/>
              <w:jc w:val="center"/>
              <w:rPr>
                <w:rFonts w:hint="eastAsia" w:hAnsi="宋体"/>
                <w:color w:val="000000"/>
                <w:spacing w:val="-10"/>
                <w:sz w:val="21"/>
                <w:szCs w:val="21"/>
              </w:rPr>
            </w:pPr>
            <w:r>
              <w:rPr>
                <w:rFonts w:hint="eastAsia" w:hAnsi="宋体"/>
                <w:color w:val="000000"/>
                <w:spacing w:val="-10"/>
                <w:sz w:val="21"/>
                <w:szCs w:val="21"/>
              </w:rPr>
              <w:t>种名</w:t>
            </w:r>
          </w:p>
        </w:tc>
        <w:tc>
          <w:tcPr>
            <w:tcW w:w="1952" w:type="pct"/>
            <w:vAlign w:val="center"/>
          </w:tcPr>
          <w:p w14:paraId="5424D362">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拉丁名</w:t>
            </w:r>
          </w:p>
        </w:tc>
        <w:tc>
          <w:tcPr>
            <w:tcW w:w="851" w:type="pct"/>
            <w:vAlign w:val="center"/>
          </w:tcPr>
          <w:p w14:paraId="18CA26CC">
            <w:pPr>
              <w:spacing w:line="0" w:lineRule="atLeast"/>
              <w:jc w:val="center"/>
              <w:rPr>
                <w:rFonts w:hAnsi="宋体"/>
                <w:color w:val="000000"/>
                <w:spacing w:val="-10"/>
                <w:sz w:val="21"/>
                <w:szCs w:val="21"/>
                <w:lang w:bidi="ar"/>
              </w:rPr>
            </w:pPr>
            <w:r>
              <w:rPr>
                <w:rFonts w:hint="eastAsia" w:hAnsi="宋体"/>
                <w:color w:val="000000"/>
                <w:spacing w:val="-10"/>
                <w:sz w:val="21"/>
                <w:szCs w:val="21"/>
                <w:lang w:bidi="ar"/>
              </w:rPr>
              <w:t>保护级别</w:t>
            </w:r>
          </w:p>
        </w:tc>
      </w:tr>
      <w:tr w14:paraId="08EE1D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6" w:type="pct"/>
            <w:vAlign w:val="center"/>
          </w:tcPr>
          <w:p w14:paraId="78BDD54A">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柽柳科</w:t>
            </w:r>
          </w:p>
        </w:tc>
        <w:tc>
          <w:tcPr>
            <w:tcW w:w="1983" w:type="dxa"/>
            <w:vAlign w:val="center"/>
          </w:tcPr>
          <w:p w14:paraId="30B156D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多枝柽柳</w:t>
            </w:r>
          </w:p>
        </w:tc>
        <w:tc>
          <w:tcPr>
            <w:tcW w:w="3518" w:type="dxa"/>
            <w:vAlign w:val="center"/>
          </w:tcPr>
          <w:p w14:paraId="7F584BED">
            <w:pPr>
              <w:spacing w:line="0" w:lineRule="atLeast"/>
              <w:jc w:val="center"/>
              <w:rPr>
                <w:rFonts w:hAnsi="宋体"/>
                <w:i/>
                <w:iCs/>
                <w:color w:val="000000"/>
                <w:spacing w:val="-10"/>
                <w:sz w:val="21"/>
                <w:szCs w:val="21"/>
                <w:lang w:bidi="ar"/>
              </w:rPr>
            </w:pPr>
            <w:r>
              <w:rPr>
                <w:rFonts w:hAnsi="宋体"/>
                <w:i/>
                <w:iCs/>
                <w:color w:val="000000"/>
                <w:spacing w:val="-10"/>
                <w:sz w:val="21"/>
                <w:szCs w:val="21"/>
                <w:lang w:bidi="ar"/>
              </w:rPr>
              <w:t>Tamarix ramosissima</w:t>
            </w:r>
          </w:p>
        </w:tc>
        <w:tc>
          <w:tcPr>
            <w:tcW w:w="851" w:type="pct"/>
            <w:vAlign w:val="center"/>
          </w:tcPr>
          <w:p w14:paraId="32FEBA3E">
            <w:pPr>
              <w:spacing w:line="0" w:lineRule="atLeast"/>
              <w:jc w:val="center"/>
              <w:rPr>
                <w:rFonts w:hint="eastAsia" w:hAnsi="宋体"/>
                <w:i/>
                <w:iCs/>
                <w:color w:val="000000"/>
                <w:spacing w:val="-10"/>
                <w:sz w:val="21"/>
                <w:szCs w:val="21"/>
                <w:lang w:bidi="ar"/>
              </w:rPr>
            </w:pPr>
            <w:r>
              <w:rPr>
                <w:rFonts w:hint="eastAsia" w:hAnsi="宋体"/>
                <w:i/>
                <w:iCs/>
                <w:color w:val="000000"/>
                <w:spacing w:val="-10"/>
                <w:sz w:val="21"/>
                <w:szCs w:val="21"/>
                <w:lang w:bidi="ar"/>
              </w:rPr>
              <w:t>—</w:t>
            </w:r>
          </w:p>
        </w:tc>
      </w:tr>
      <w:tr w14:paraId="23F9DC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6" w:type="pct"/>
            <w:vAlign w:val="center"/>
          </w:tcPr>
          <w:p w14:paraId="50C00F4F">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禾本科</w:t>
            </w:r>
          </w:p>
        </w:tc>
        <w:tc>
          <w:tcPr>
            <w:tcW w:w="1100" w:type="pct"/>
            <w:vAlign w:val="center"/>
          </w:tcPr>
          <w:p w14:paraId="679B4C57">
            <w:pPr>
              <w:spacing w:line="0" w:lineRule="atLeast"/>
              <w:jc w:val="center"/>
              <w:rPr>
                <w:rFonts w:hint="eastAsia" w:hAnsi="宋体"/>
                <w:color w:val="000000"/>
                <w:spacing w:val="-10"/>
                <w:sz w:val="21"/>
                <w:szCs w:val="21"/>
                <w:lang w:bidi="ar"/>
              </w:rPr>
            </w:pPr>
            <w:r>
              <w:rPr>
                <w:rFonts w:hint="eastAsia" w:hAnsi="宋体"/>
                <w:color w:val="000000"/>
                <w:spacing w:val="-10"/>
                <w:sz w:val="21"/>
                <w:szCs w:val="21"/>
                <w:lang w:bidi="ar"/>
              </w:rPr>
              <w:t>芦苇</w:t>
            </w:r>
          </w:p>
        </w:tc>
        <w:tc>
          <w:tcPr>
            <w:tcW w:w="1952" w:type="pct"/>
            <w:vAlign w:val="center"/>
          </w:tcPr>
          <w:p w14:paraId="6CB696F2">
            <w:pPr>
              <w:spacing w:line="0" w:lineRule="atLeast"/>
              <w:jc w:val="center"/>
              <w:rPr>
                <w:rFonts w:hAnsi="宋体"/>
                <w:i/>
                <w:iCs/>
                <w:color w:val="000000"/>
                <w:spacing w:val="-10"/>
                <w:sz w:val="21"/>
                <w:szCs w:val="21"/>
                <w:lang w:bidi="ar"/>
              </w:rPr>
            </w:pPr>
            <w:r>
              <w:rPr>
                <w:rFonts w:hAnsi="宋体"/>
                <w:i/>
                <w:iCs/>
                <w:color w:val="000000"/>
                <w:spacing w:val="-10"/>
                <w:sz w:val="21"/>
                <w:szCs w:val="21"/>
                <w:lang w:bidi="ar"/>
              </w:rPr>
              <w:t>Phragmites australis</w:t>
            </w:r>
          </w:p>
        </w:tc>
        <w:tc>
          <w:tcPr>
            <w:tcW w:w="851" w:type="pct"/>
            <w:vAlign w:val="center"/>
          </w:tcPr>
          <w:p w14:paraId="04E6C298">
            <w:pPr>
              <w:spacing w:line="0" w:lineRule="atLeast"/>
              <w:jc w:val="center"/>
              <w:rPr>
                <w:rFonts w:hint="eastAsia" w:hAnsi="宋体"/>
                <w:i/>
                <w:iCs/>
                <w:color w:val="000000"/>
                <w:spacing w:val="-10"/>
                <w:sz w:val="21"/>
                <w:szCs w:val="21"/>
                <w:lang w:bidi="ar"/>
              </w:rPr>
            </w:pPr>
            <w:r>
              <w:rPr>
                <w:rFonts w:hint="eastAsia" w:hAnsi="宋体"/>
                <w:i/>
                <w:iCs/>
                <w:color w:val="000000"/>
                <w:spacing w:val="-10"/>
                <w:sz w:val="21"/>
                <w:szCs w:val="21"/>
                <w:lang w:bidi="ar"/>
              </w:rPr>
              <w:t>—</w:t>
            </w:r>
          </w:p>
        </w:tc>
      </w:tr>
    </w:tbl>
    <w:p w14:paraId="6164839E">
      <w:pPr>
        <w:pStyle w:val="191"/>
        <w:widowControl w:val="0"/>
        <w:tabs>
          <w:tab w:val="right" w:leader="dot" w:pos="8959"/>
        </w:tabs>
        <w:spacing w:before="240" w:line="48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4.2.6 野生动物现状调查与评价</w:t>
      </w:r>
    </w:p>
    <w:p w14:paraId="2F1FAD6B">
      <w:pPr>
        <w:spacing w:line="480" w:lineRule="exact"/>
        <w:outlineLvl w:val="3"/>
        <w:rPr>
          <w:rFonts w:hint="eastAsia" w:hAnsi="宋体" w:cs="宋体"/>
          <w:color w:val="000000"/>
          <w:szCs w:val="24"/>
        </w:rPr>
      </w:pPr>
      <w:r>
        <w:rPr>
          <w:rFonts w:hint="eastAsia" w:hAnsi="宋体" w:cs="宋体"/>
          <w:color w:val="000000"/>
          <w:szCs w:val="24"/>
        </w:rPr>
        <w:t>4.2.6.1区域野生动物调查</w:t>
      </w:r>
    </w:p>
    <w:p w14:paraId="74181D6C">
      <w:pPr>
        <w:ind w:firstLine="591" w:firstLineChars="225"/>
        <w:rPr>
          <w:rFonts w:hAnsi="宋体"/>
          <w:snapToGrid w:val="0"/>
          <w:color w:val="000000"/>
        </w:rPr>
      </w:pPr>
      <w:r>
        <w:rPr>
          <w:rFonts w:hint="eastAsia" w:hAnsi="宋体" w:cs="宋体"/>
          <w:bCs/>
          <w:color w:val="000000"/>
        </w:rPr>
        <w:t>拟建工程位于塔里木盆地，按中国动物地理区划分级标准，评价区域属古北界、蒙新区、西部荒漠亚区、塔里木盆地省、天山南麓平原洲、塔里木河中上游区。</w:t>
      </w:r>
      <w:r>
        <w:rPr>
          <w:rFonts w:hint="eastAsia" w:hAnsi="宋体"/>
          <w:snapToGrid w:val="0"/>
          <w:color w:val="000000"/>
        </w:rPr>
        <w:t xml:space="preserve">塔克拉玛干沙漠及其边缘地带共分布有野生脊椎动物7种，其中爬行类2种，哺乳动物2种，鸟类3种，这些动物能够在沙漠环境中相对独立生存（仅能短暂栖息、途经沙漠区域的物种则不计入内）。沙漠中物种区系成分基本为中亚类型，在评价区域生存的野生动物主要是一些荒漠动物，主要是爬行动物。评价区野生动物种类及保护级别见表4.2-4。 </w:t>
      </w:r>
    </w:p>
    <w:p w14:paraId="16C26EDC">
      <w:pPr>
        <w:ind w:firstLine="526" w:firstLineChars="200"/>
        <w:rPr>
          <w:rFonts w:hint="eastAsia" w:ascii="黑体" w:hAnsi="黑体" w:eastAsia="黑体" w:cs="黑体"/>
          <w:color w:val="000000"/>
        </w:rPr>
      </w:pPr>
      <w:r>
        <w:rPr>
          <w:rFonts w:hint="eastAsia" w:ascii="黑体" w:hAnsi="黑体" w:eastAsia="黑体"/>
          <w:color w:val="000000"/>
        </w:rPr>
        <w:t xml:space="preserve">表4.2-4 </w:t>
      </w:r>
      <w:r>
        <w:rPr>
          <w:rFonts w:ascii="黑体" w:hAnsi="黑体" w:eastAsia="黑体"/>
          <w:color w:val="000000"/>
        </w:rPr>
        <w:t xml:space="preserve">   </w:t>
      </w:r>
      <w:r>
        <w:rPr>
          <w:rFonts w:hint="eastAsia" w:ascii="黑体" w:hAnsi="黑体" w:eastAsia="黑体"/>
          <w:color w:val="000000"/>
        </w:rPr>
        <w:t xml:space="preserve">    </w:t>
      </w:r>
      <w:r>
        <w:rPr>
          <w:rFonts w:ascii="黑体" w:hAnsi="黑体" w:eastAsia="黑体"/>
          <w:color w:val="000000"/>
        </w:rPr>
        <w:t xml:space="preserve">  </w:t>
      </w:r>
      <w:r>
        <w:rPr>
          <w:rFonts w:hint="eastAsia" w:ascii="黑体" w:hAnsi="黑体" w:eastAsia="黑体" w:cs="黑体"/>
          <w:color w:val="000000"/>
        </w:rPr>
        <w:t>项目区域主要野生动物名录</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00"/>
        <w:gridCol w:w="991"/>
        <w:gridCol w:w="1010"/>
        <w:gridCol w:w="1450"/>
        <w:gridCol w:w="1322"/>
        <w:gridCol w:w="2229"/>
        <w:gridCol w:w="1313"/>
      </w:tblGrid>
      <w:tr w14:paraId="37205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17AE55C4">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序号</w:t>
            </w:r>
          </w:p>
        </w:tc>
        <w:tc>
          <w:tcPr>
            <w:tcW w:w="549" w:type="pct"/>
            <w:vAlign w:val="center"/>
          </w:tcPr>
          <w:p w14:paraId="57A23F05">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目名</w:t>
            </w:r>
          </w:p>
        </w:tc>
        <w:tc>
          <w:tcPr>
            <w:tcW w:w="560" w:type="pct"/>
            <w:vAlign w:val="center"/>
          </w:tcPr>
          <w:p w14:paraId="4AD359EC">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科名</w:t>
            </w:r>
          </w:p>
        </w:tc>
        <w:tc>
          <w:tcPr>
            <w:tcW w:w="804" w:type="pct"/>
            <w:vAlign w:val="center"/>
          </w:tcPr>
          <w:p w14:paraId="6B428870">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属名</w:t>
            </w:r>
          </w:p>
        </w:tc>
        <w:tc>
          <w:tcPr>
            <w:tcW w:w="733" w:type="pct"/>
            <w:vAlign w:val="center"/>
          </w:tcPr>
          <w:p w14:paraId="37F8A0C5">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中文名</w:t>
            </w:r>
          </w:p>
        </w:tc>
        <w:tc>
          <w:tcPr>
            <w:tcW w:w="1236" w:type="pct"/>
            <w:vAlign w:val="center"/>
          </w:tcPr>
          <w:p w14:paraId="3E4EB2AB">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拉丁名</w:t>
            </w:r>
          </w:p>
        </w:tc>
        <w:tc>
          <w:tcPr>
            <w:tcW w:w="728" w:type="pct"/>
            <w:vAlign w:val="center"/>
          </w:tcPr>
          <w:p w14:paraId="1D726CA6">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保护级别</w:t>
            </w:r>
          </w:p>
        </w:tc>
      </w:tr>
      <w:tr w14:paraId="3FF50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7"/>
            <w:vAlign w:val="center"/>
          </w:tcPr>
          <w:p w14:paraId="43442A6B">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爬行纲</w:t>
            </w:r>
          </w:p>
        </w:tc>
      </w:tr>
      <w:tr w14:paraId="30C83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68C21D2D">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1</w:t>
            </w:r>
          </w:p>
        </w:tc>
        <w:tc>
          <w:tcPr>
            <w:tcW w:w="549" w:type="pct"/>
            <w:vAlign w:val="center"/>
          </w:tcPr>
          <w:p w14:paraId="578B49E6">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蜥蜴目</w:t>
            </w:r>
          </w:p>
        </w:tc>
        <w:tc>
          <w:tcPr>
            <w:tcW w:w="560" w:type="pct"/>
            <w:vAlign w:val="center"/>
          </w:tcPr>
          <w:p w14:paraId="1FBF6DF0">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蜥蜴科</w:t>
            </w:r>
          </w:p>
        </w:tc>
        <w:tc>
          <w:tcPr>
            <w:tcW w:w="804" w:type="pct"/>
            <w:vAlign w:val="center"/>
          </w:tcPr>
          <w:p w14:paraId="6CA3A883">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麻蜥属</w:t>
            </w:r>
          </w:p>
        </w:tc>
        <w:tc>
          <w:tcPr>
            <w:tcW w:w="733" w:type="pct"/>
            <w:vAlign w:val="center"/>
          </w:tcPr>
          <w:p w14:paraId="7DF7B354">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密点麻蜥</w:t>
            </w:r>
          </w:p>
        </w:tc>
        <w:tc>
          <w:tcPr>
            <w:tcW w:w="1236" w:type="pct"/>
            <w:vAlign w:val="center"/>
          </w:tcPr>
          <w:p w14:paraId="3071775A">
            <w:pPr>
              <w:spacing w:line="0" w:lineRule="atLeast"/>
              <w:jc w:val="center"/>
              <w:rPr>
                <w:rFonts w:hint="eastAsia" w:hAnsi="宋体" w:cs="宋体"/>
                <w:bCs/>
                <w:color w:val="000000"/>
                <w:spacing w:val="-20"/>
                <w:sz w:val="21"/>
                <w:szCs w:val="21"/>
              </w:rPr>
            </w:pPr>
            <w:r>
              <w:rPr>
                <w:rFonts w:hint="eastAsia" w:hAnsi="宋体" w:cs="宋体"/>
                <w:i/>
                <w:iCs/>
                <w:color w:val="000000"/>
                <w:spacing w:val="-20"/>
                <w:sz w:val="21"/>
                <w:szCs w:val="21"/>
                <w:lang w:bidi="ar"/>
              </w:rPr>
              <w:t>Eremiasmultiocellata</w:t>
            </w:r>
          </w:p>
        </w:tc>
        <w:tc>
          <w:tcPr>
            <w:tcW w:w="728" w:type="pct"/>
            <w:vAlign w:val="center"/>
          </w:tcPr>
          <w:p w14:paraId="3DA499B7">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3E5BA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012C85B4">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2</w:t>
            </w:r>
          </w:p>
        </w:tc>
        <w:tc>
          <w:tcPr>
            <w:tcW w:w="549" w:type="pct"/>
            <w:vAlign w:val="center"/>
          </w:tcPr>
          <w:p w14:paraId="2F07FD25">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有鳞目</w:t>
            </w:r>
          </w:p>
        </w:tc>
        <w:tc>
          <w:tcPr>
            <w:tcW w:w="560" w:type="pct"/>
            <w:vAlign w:val="center"/>
          </w:tcPr>
          <w:p w14:paraId="6A1F5DEC">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蜥蜴科</w:t>
            </w:r>
          </w:p>
        </w:tc>
        <w:tc>
          <w:tcPr>
            <w:tcW w:w="804" w:type="pct"/>
            <w:vAlign w:val="center"/>
          </w:tcPr>
          <w:p w14:paraId="1F7FE485">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麻蜥属</w:t>
            </w:r>
          </w:p>
        </w:tc>
        <w:tc>
          <w:tcPr>
            <w:tcW w:w="733" w:type="pct"/>
            <w:vAlign w:val="center"/>
          </w:tcPr>
          <w:p w14:paraId="58A12680">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荒漠麻蜥</w:t>
            </w:r>
          </w:p>
        </w:tc>
        <w:tc>
          <w:tcPr>
            <w:tcW w:w="1236" w:type="pct"/>
            <w:vAlign w:val="center"/>
          </w:tcPr>
          <w:p w14:paraId="1EA52E81">
            <w:pPr>
              <w:spacing w:line="0" w:lineRule="atLeast"/>
              <w:jc w:val="center"/>
              <w:rPr>
                <w:rFonts w:hint="eastAsia" w:hAnsi="宋体" w:cs="宋体"/>
                <w:bCs/>
                <w:color w:val="000000"/>
                <w:spacing w:val="-20"/>
                <w:sz w:val="21"/>
                <w:szCs w:val="21"/>
              </w:rPr>
            </w:pPr>
            <w:r>
              <w:rPr>
                <w:rFonts w:hint="eastAsia" w:hAnsi="宋体" w:cs="宋体"/>
                <w:i/>
                <w:iCs/>
                <w:color w:val="000000"/>
                <w:spacing w:val="-20"/>
                <w:sz w:val="21"/>
                <w:szCs w:val="21"/>
                <w:lang w:bidi="ar"/>
              </w:rPr>
              <w:t>Eremiasprzewalskii</w:t>
            </w:r>
          </w:p>
        </w:tc>
        <w:tc>
          <w:tcPr>
            <w:tcW w:w="728" w:type="pct"/>
            <w:vAlign w:val="center"/>
          </w:tcPr>
          <w:p w14:paraId="48BF8504">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73578B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7"/>
            <w:vAlign w:val="center"/>
          </w:tcPr>
          <w:p w14:paraId="05AA289D">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鸟纲</w:t>
            </w:r>
          </w:p>
        </w:tc>
      </w:tr>
      <w:tr w14:paraId="7EBBD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31506A6E">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3</w:t>
            </w:r>
          </w:p>
        </w:tc>
        <w:tc>
          <w:tcPr>
            <w:tcW w:w="549" w:type="pct"/>
            <w:vAlign w:val="center"/>
          </w:tcPr>
          <w:p w14:paraId="49888682">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雀形目</w:t>
            </w:r>
          </w:p>
        </w:tc>
        <w:tc>
          <w:tcPr>
            <w:tcW w:w="560" w:type="pct"/>
            <w:vAlign w:val="center"/>
          </w:tcPr>
          <w:p w14:paraId="16F8CF7A">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燕雀科</w:t>
            </w:r>
          </w:p>
        </w:tc>
        <w:tc>
          <w:tcPr>
            <w:tcW w:w="804" w:type="pct"/>
            <w:vAlign w:val="center"/>
          </w:tcPr>
          <w:p w14:paraId="5F591E1E">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沙雀属</w:t>
            </w:r>
          </w:p>
        </w:tc>
        <w:tc>
          <w:tcPr>
            <w:tcW w:w="733" w:type="pct"/>
            <w:vAlign w:val="center"/>
          </w:tcPr>
          <w:p w14:paraId="2928047B">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蒙古沙雀</w:t>
            </w:r>
          </w:p>
        </w:tc>
        <w:tc>
          <w:tcPr>
            <w:tcW w:w="1236" w:type="pct"/>
            <w:vAlign w:val="center"/>
          </w:tcPr>
          <w:p w14:paraId="19C4EAF4">
            <w:pPr>
              <w:spacing w:line="0" w:lineRule="atLeast"/>
              <w:jc w:val="center"/>
              <w:rPr>
                <w:rFonts w:hint="eastAsia" w:hAnsi="宋体" w:cs="宋体"/>
                <w:i/>
                <w:iCs/>
                <w:color w:val="000000"/>
                <w:spacing w:val="-20"/>
                <w:sz w:val="21"/>
                <w:szCs w:val="21"/>
                <w:lang w:bidi="ar"/>
              </w:rPr>
            </w:pPr>
            <w:r>
              <w:rPr>
                <w:rFonts w:hint="eastAsia" w:hAnsi="宋体" w:cs="宋体"/>
                <w:i/>
                <w:iCs/>
                <w:color w:val="000000"/>
                <w:spacing w:val="-20"/>
                <w:sz w:val="21"/>
                <w:szCs w:val="21"/>
                <w:lang w:bidi="ar"/>
              </w:rPr>
              <w:t>Rhodopechysmongolica</w:t>
            </w:r>
          </w:p>
        </w:tc>
        <w:tc>
          <w:tcPr>
            <w:tcW w:w="728" w:type="pct"/>
            <w:vAlign w:val="center"/>
          </w:tcPr>
          <w:p w14:paraId="473315E6">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6DFFA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1295335E">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4</w:t>
            </w:r>
          </w:p>
        </w:tc>
        <w:tc>
          <w:tcPr>
            <w:tcW w:w="549" w:type="pct"/>
            <w:vAlign w:val="center"/>
          </w:tcPr>
          <w:p w14:paraId="40708725">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雀形目</w:t>
            </w:r>
          </w:p>
        </w:tc>
        <w:tc>
          <w:tcPr>
            <w:tcW w:w="560" w:type="pct"/>
            <w:vAlign w:val="center"/>
          </w:tcPr>
          <w:p w14:paraId="19D3755A">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鸦科</w:t>
            </w:r>
          </w:p>
        </w:tc>
        <w:tc>
          <w:tcPr>
            <w:tcW w:w="804" w:type="pct"/>
            <w:vAlign w:val="center"/>
          </w:tcPr>
          <w:p w14:paraId="5D97A669">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鸦属</w:t>
            </w:r>
          </w:p>
        </w:tc>
        <w:tc>
          <w:tcPr>
            <w:tcW w:w="733" w:type="pct"/>
            <w:vAlign w:val="center"/>
          </w:tcPr>
          <w:p w14:paraId="308B45A0">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小嘴乌鸦</w:t>
            </w:r>
          </w:p>
        </w:tc>
        <w:tc>
          <w:tcPr>
            <w:tcW w:w="1236" w:type="pct"/>
            <w:vAlign w:val="center"/>
          </w:tcPr>
          <w:p w14:paraId="16B834BA">
            <w:pPr>
              <w:spacing w:line="0" w:lineRule="atLeast"/>
              <w:jc w:val="center"/>
              <w:rPr>
                <w:rFonts w:hint="eastAsia" w:hAnsi="宋体" w:cs="宋体"/>
                <w:i/>
                <w:iCs/>
                <w:color w:val="000000"/>
                <w:spacing w:val="-20"/>
                <w:sz w:val="21"/>
                <w:szCs w:val="21"/>
                <w:lang w:bidi="ar"/>
              </w:rPr>
            </w:pPr>
            <w:r>
              <w:rPr>
                <w:rFonts w:hint="eastAsia" w:hAnsi="宋体" w:cs="宋体"/>
                <w:i/>
                <w:iCs/>
                <w:color w:val="000000"/>
                <w:spacing w:val="-20"/>
                <w:sz w:val="21"/>
                <w:szCs w:val="21"/>
                <w:lang w:bidi="ar"/>
              </w:rPr>
              <w:t>Corvuacorone</w:t>
            </w:r>
          </w:p>
        </w:tc>
        <w:tc>
          <w:tcPr>
            <w:tcW w:w="728" w:type="pct"/>
            <w:vAlign w:val="center"/>
          </w:tcPr>
          <w:p w14:paraId="31FE9668">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50205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7EC6BCFD">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5</w:t>
            </w:r>
          </w:p>
        </w:tc>
        <w:tc>
          <w:tcPr>
            <w:tcW w:w="549" w:type="pct"/>
            <w:vAlign w:val="center"/>
          </w:tcPr>
          <w:p w14:paraId="17BA07FC">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雀形目</w:t>
            </w:r>
          </w:p>
        </w:tc>
        <w:tc>
          <w:tcPr>
            <w:tcW w:w="560" w:type="pct"/>
            <w:vAlign w:val="center"/>
          </w:tcPr>
          <w:p w14:paraId="0039996A">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文鸟科</w:t>
            </w:r>
          </w:p>
        </w:tc>
        <w:tc>
          <w:tcPr>
            <w:tcW w:w="804" w:type="pct"/>
            <w:vAlign w:val="center"/>
          </w:tcPr>
          <w:p w14:paraId="50B23812">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麻雀属</w:t>
            </w:r>
          </w:p>
        </w:tc>
        <w:tc>
          <w:tcPr>
            <w:tcW w:w="733" w:type="pct"/>
            <w:vAlign w:val="center"/>
          </w:tcPr>
          <w:p w14:paraId="5FE603EA">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黑顶麻雀</w:t>
            </w:r>
          </w:p>
        </w:tc>
        <w:tc>
          <w:tcPr>
            <w:tcW w:w="1236" w:type="pct"/>
            <w:vAlign w:val="center"/>
          </w:tcPr>
          <w:p w14:paraId="7911344F">
            <w:pPr>
              <w:spacing w:line="0" w:lineRule="atLeast"/>
              <w:jc w:val="center"/>
              <w:rPr>
                <w:rFonts w:hint="eastAsia" w:hAnsi="宋体" w:cs="宋体"/>
                <w:i/>
                <w:iCs/>
                <w:color w:val="000000"/>
                <w:spacing w:val="-20"/>
                <w:sz w:val="21"/>
                <w:szCs w:val="21"/>
                <w:lang w:bidi="ar"/>
              </w:rPr>
            </w:pPr>
            <w:r>
              <w:rPr>
                <w:rFonts w:hint="eastAsia" w:hAnsi="宋体" w:cs="宋体"/>
                <w:i/>
                <w:iCs/>
                <w:color w:val="000000"/>
                <w:spacing w:val="-20"/>
                <w:sz w:val="21"/>
                <w:szCs w:val="21"/>
                <w:lang w:bidi="ar"/>
              </w:rPr>
              <w:t>Passerammodendri</w:t>
            </w:r>
          </w:p>
        </w:tc>
        <w:tc>
          <w:tcPr>
            <w:tcW w:w="728" w:type="pct"/>
            <w:vAlign w:val="center"/>
          </w:tcPr>
          <w:p w14:paraId="171660FC">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5CDE95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7"/>
            <w:vAlign w:val="center"/>
          </w:tcPr>
          <w:p w14:paraId="7F605D34">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哺乳纲</w:t>
            </w:r>
          </w:p>
        </w:tc>
      </w:tr>
      <w:tr w14:paraId="6EAC6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59A0BD91">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6</w:t>
            </w:r>
          </w:p>
        </w:tc>
        <w:tc>
          <w:tcPr>
            <w:tcW w:w="549" w:type="pct"/>
            <w:vAlign w:val="center"/>
          </w:tcPr>
          <w:p w14:paraId="395C21E1">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啮齿目</w:t>
            </w:r>
          </w:p>
        </w:tc>
        <w:tc>
          <w:tcPr>
            <w:tcW w:w="560" w:type="pct"/>
            <w:vAlign w:val="center"/>
          </w:tcPr>
          <w:p w14:paraId="0B0D7100">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仓鼠科</w:t>
            </w:r>
          </w:p>
        </w:tc>
        <w:tc>
          <w:tcPr>
            <w:tcW w:w="804" w:type="pct"/>
            <w:vAlign w:val="center"/>
          </w:tcPr>
          <w:p w14:paraId="0CD22721">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沙鼠属</w:t>
            </w:r>
          </w:p>
        </w:tc>
        <w:tc>
          <w:tcPr>
            <w:tcW w:w="733" w:type="pct"/>
            <w:vAlign w:val="center"/>
          </w:tcPr>
          <w:p w14:paraId="3B8865AE">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子午沙鼠</w:t>
            </w:r>
          </w:p>
        </w:tc>
        <w:tc>
          <w:tcPr>
            <w:tcW w:w="1236" w:type="pct"/>
            <w:vAlign w:val="center"/>
          </w:tcPr>
          <w:p w14:paraId="3FDF0623">
            <w:pPr>
              <w:spacing w:line="0" w:lineRule="atLeast"/>
              <w:jc w:val="center"/>
              <w:rPr>
                <w:rFonts w:hint="eastAsia" w:hAnsi="宋体" w:cs="宋体"/>
                <w:bCs/>
                <w:color w:val="000000"/>
                <w:spacing w:val="-20"/>
                <w:sz w:val="21"/>
                <w:szCs w:val="21"/>
              </w:rPr>
            </w:pPr>
            <w:r>
              <w:rPr>
                <w:rFonts w:hint="eastAsia" w:hAnsi="宋体" w:cs="宋体"/>
                <w:i/>
                <w:iCs/>
                <w:color w:val="000000"/>
                <w:spacing w:val="-20"/>
                <w:sz w:val="21"/>
                <w:szCs w:val="21"/>
                <w:lang w:bidi="ar"/>
              </w:rPr>
              <w:t>Merionesmeridianus</w:t>
            </w:r>
          </w:p>
        </w:tc>
        <w:tc>
          <w:tcPr>
            <w:tcW w:w="728" w:type="pct"/>
            <w:vAlign w:val="center"/>
          </w:tcPr>
          <w:p w14:paraId="2B309068">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r w14:paraId="472F6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8" w:type="pct"/>
            <w:vAlign w:val="center"/>
          </w:tcPr>
          <w:p w14:paraId="56B36A8A">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7</w:t>
            </w:r>
          </w:p>
        </w:tc>
        <w:tc>
          <w:tcPr>
            <w:tcW w:w="549" w:type="pct"/>
            <w:vAlign w:val="center"/>
          </w:tcPr>
          <w:p w14:paraId="792DDAB1">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啮齿目</w:t>
            </w:r>
          </w:p>
        </w:tc>
        <w:tc>
          <w:tcPr>
            <w:tcW w:w="560" w:type="pct"/>
            <w:vAlign w:val="center"/>
          </w:tcPr>
          <w:p w14:paraId="22B42406">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跳鼠科</w:t>
            </w:r>
          </w:p>
        </w:tc>
        <w:tc>
          <w:tcPr>
            <w:tcW w:w="804" w:type="pct"/>
            <w:vAlign w:val="center"/>
          </w:tcPr>
          <w:p w14:paraId="3939A9D2">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长耳跳鼠属</w:t>
            </w:r>
          </w:p>
        </w:tc>
        <w:tc>
          <w:tcPr>
            <w:tcW w:w="733" w:type="pct"/>
            <w:vAlign w:val="center"/>
          </w:tcPr>
          <w:p w14:paraId="180A2796">
            <w:pPr>
              <w:pStyle w:val="34"/>
              <w:spacing w:line="0" w:lineRule="atLeast"/>
              <w:jc w:val="center"/>
              <w:rPr>
                <w:rFonts w:ascii="宋体" w:hAnsi="宋体" w:cs="宋体"/>
                <w:b w:val="0"/>
                <w:color w:val="000000"/>
                <w:spacing w:val="-20"/>
                <w:sz w:val="21"/>
                <w:szCs w:val="21"/>
              </w:rPr>
            </w:pPr>
            <w:r>
              <w:rPr>
                <w:rFonts w:ascii="宋体" w:hAnsi="宋体" w:cs="宋体"/>
                <w:b w:val="0"/>
                <w:color w:val="000000"/>
                <w:spacing w:val="-20"/>
                <w:sz w:val="21"/>
                <w:szCs w:val="21"/>
              </w:rPr>
              <w:t>长耳跳鼠</w:t>
            </w:r>
          </w:p>
        </w:tc>
        <w:tc>
          <w:tcPr>
            <w:tcW w:w="1236" w:type="pct"/>
            <w:vAlign w:val="center"/>
          </w:tcPr>
          <w:p w14:paraId="037F7035">
            <w:pPr>
              <w:spacing w:line="0" w:lineRule="atLeast"/>
              <w:jc w:val="center"/>
              <w:rPr>
                <w:rFonts w:hint="eastAsia" w:hAnsi="宋体" w:cs="宋体"/>
                <w:i/>
                <w:iCs/>
                <w:color w:val="000000"/>
                <w:spacing w:val="-20"/>
                <w:sz w:val="21"/>
                <w:szCs w:val="21"/>
                <w:lang w:bidi="ar"/>
              </w:rPr>
            </w:pPr>
            <w:r>
              <w:rPr>
                <w:rFonts w:hint="eastAsia" w:hAnsi="宋体" w:cs="宋体"/>
                <w:i/>
                <w:iCs/>
                <w:color w:val="000000"/>
                <w:spacing w:val="-20"/>
                <w:sz w:val="21"/>
                <w:szCs w:val="21"/>
                <w:lang w:bidi="ar"/>
              </w:rPr>
              <w:t>Euchoreutes naso</w:t>
            </w:r>
          </w:p>
        </w:tc>
        <w:tc>
          <w:tcPr>
            <w:tcW w:w="728" w:type="pct"/>
            <w:vAlign w:val="center"/>
          </w:tcPr>
          <w:p w14:paraId="5977B884">
            <w:pPr>
              <w:spacing w:line="0" w:lineRule="atLeast"/>
              <w:jc w:val="center"/>
              <w:rPr>
                <w:rFonts w:hint="eastAsia" w:hAnsi="宋体" w:cs="宋体"/>
                <w:bCs/>
                <w:color w:val="000000"/>
                <w:spacing w:val="-20"/>
                <w:sz w:val="21"/>
                <w:szCs w:val="21"/>
              </w:rPr>
            </w:pPr>
            <w:r>
              <w:rPr>
                <w:rFonts w:hint="eastAsia" w:hAnsi="宋体" w:cs="宋体"/>
                <w:bCs/>
                <w:color w:val="000000"/>
                <w:spacing w:val="-20"/>
                <w:sz w:val="21"/>
                <w:szCs w:val="21"/>
              </w:rPr>
              <w:t>-</w:t>
            </w:r>
          </w:p>
        </w:tc>
      </w:tr>
    </w:tbl>
    <w:p w14:paraId="6FEF8336">
      <w:pPr>
        <w:pStyle w:val="191"/>
        <w:widowControl w:val="0"/>
        <w:tabs>
          <w:tab w:val="right" w:leader="dot" w:pos="8959"/>
        </w:tabs>
        <w:spacing w:before="240" w:line="480" w:lineRule="exact"/>
        <w:ind w:leftChars="0" w:firstLine="530" w:firstLineChars="200"/>
        <w:jc w:val="both"/>
        <w:rPr>
          <w:rFonts w:hint="eastAsia" w:ascii="宋体" w:hAnsi="宋体" w:cs="宋体"/>
          <w:color w:val="000000"/>
          <w:spacing w:val="5"/>
          <w:sz w:val="24"/>
          <w:szCs w:val="24"/>
        </w:rPr>
      </w:pPr>
      <w:r>
        <w:rPr>
          <w:rFonts w:hint="eastAsia" w:ascii="宋体" w:hAnsi="宋体" w:cs="宋体"/>
          <w:color w:val="000000"/>
          <w:spacing w:val="6"/>
          <w:sz w:val="24"/>
          <w:szCs w:val="24"/>
        </w:rPr>
        <w:t>根据《国家重点保护野生动物名录》（国家林业和草原局 农业农村部公告2021 年第3号）及《新疆维吾尔自治区重点保护野生动物名录（修订）》，该区域无国家级重点保护动物。</w:t>
      </w:r>
    </w:p>
    <w:p w14:paraId="1CBC6E2C">
      <w:pPr>
        <w:pStyle w:val="191"/>
        <w:widowControl w:val="0"/>
        <w:tabs>
          <w:tab w:val="right" w:leader="dot" w:pos="8959"/>
        </w:tabs>
        <w:spacing w:line="48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4.2.7</w:t>
      </w:r>
      <w:r>
        <w:rPr>
          <w:rFonts w:hint="eastAsia" w:ascii="宋体" w:hAnsi="宋体" w:cs="宋体"/>
          <w:color w:val="000000"/>
          <w:spacing w:val="5"/>
          <w:sz w:val="24"/>
          <w:szCs w:val="24"/>
          <w:lang w:bidi="ar"/>
        </w:rPr>
        <w:t xml:space="preserve"> 生态敏感区</w:t>
      </w:r>
      <w:r>
        <w:rPr>
          <w:rFonts w:hint="eastAsia" w:ascii="宋体" w:hAnsi="宋体" w:cs="宋体"/>
          <w:color w:val="000000"/>
          <w:spacing w:val="5"/>
          <w:sz w:val="24"/>
          <w:szCs w:val="24"/>
        </w:rPr>
        <w:t>调查与评价</w:t>
      </w:r>
    </w:p>
    <w:p w14:paraId="6CC47BDA">
      <w:pPr>
        <w:spacing w:line="480" w:lineRule="exact"/>
        <w:outlineLvl w:val="3"/>
        <w:rPr>
          <w:rFonts w:hint="eastAsia" w:hAnsi="宋体" w:cs="宋体"/>
          <w:color w:val="000000"/>
          <w:szCs w:val="24"/>
        </w:rPr>
      </w:pPr>
      <w:r>
        <w:rPr>
          <w:rFonts w:hint="eastAsia" w:hAnsi="宋体" w:cs="宋体"/>
          <w:color w:val="000000"/>
          <w:szCs w:val="24"/>
        </w:rPr>
        <w:t>4.2.7.1生态保护红线</w:t>
      </w:r>
    </w:p>
    <w:p w14:paraId="52303891">
      <w:pPr>
        <w:spacing w:line="480" w:lineRule="exact"/>
        <w:ind w:firstLine="527"/>
        <w:rPr>
          <w:rFonts w:hint="eastAsia" w:hAnsi="宋体" w:cs="宋体"/>
          <w:color w:val="000000"/>
          <w:szCs w:val="24"/>
        </w:rPr>
      </w:pPr>
      <w:r>
        <w:rPr>
          <w:rFonts w:hint="eastAsia" w:hAnsi="宋体" w:cs="宋体"/>
          <w:color w:val="000000"/>
          <w:szCs w:val="24"/>
        </w:rPr>
        <w:t>生态保护红线指在生态空间范围内具有特殊重要生态功能、必须强制性严格保护的区域，是保障和维护国家生态安全的底线和生命线，通常包括具有重要水源涵养、生物多样性维护、水土保持、防风固沙等功能的生态功能重要区域，以及水土流失、土地沙化、石漠化、盐渍化等生态敏感脆弱区域。</w:t>
      </w:r>
    </w:p>
    <w:p w14:paraId="309BC38F">
      <w:pPr>
        <w:spacing w:line="480" w:lineRule="exact"/>
        <w:ind w:firstLine="527"/>
        <w:rPr>
          <w:rFonts w:hint="eastAsia" w:hAnsi="宋体" w:cs="宋体"/>
          <w:color w:val="000000"/>
          <w:szCs w:val="24"/>
        </w:rPr>
      </w:pPr>
      <w:r>
        <w:rPr>
          <w:rFonts w:hint="eastAsia" w:hAnsi="宋体" w:cs="宋体"/>
          <w:color w:val="000000"/>
          <w:szCs w:val="24"/>
        </w:rPr>
        <w:t>拟建工程</w:t>
      </w:r>
      <w:r>
        <w:rPr>
          <w:rFonts w:hint="eastAsia" w:hAnsi="宋体" w:cs="宋体"/>
          <w:snapToGrid w:val="0"/>
          <w:color w:val="000000"/>
          <w:spacing w:val="0"/>
          <w:szCs w:val="24"/>
        </w:rPr>
        <w:t>距生态保护红线（塔里木盆地南缘土地沙化防控生态保护红线区）最近约93.2km，</w:t>
      </w:r>
      <w:r>
        <w:rPr>
          <w:rFonts w:hint="eastAsia" w:hAnsi="宋体" w:cs="宋体"/>
          <w:color w:val="000000"/>
          <w:szCs w:val="24"/>
        </w:rPr>
        <w:t>不占用生态保护红线。拟建工程与生态保护红线区位置关系示意见附图5。</w:t>
      </w:r>
    </w:p>
    <w:p w14:paraId="4874C5A8">
      <w:pPr>
        <w:spacing w:line="480" w:lineRule="exact"/>
        <w:outlineLvl w:val="3"/>
        <w:rPr>
          <w:rFonts w:hint="eastAsia" w:hAnsi="宋体" w:cs="宋体"/>
          <w:color w:val="000000"/>
          <w:szCs w:val="24"/>
        </w:rPr>
      </w:pPr>
      <w:r>
        <w:rPr>
          <w:rFonts w:hint="eastAsia" w:hAnsi="宋体" w:cs="宋体"/>
          <w:color w:val="000000"/>
          <w:szCs w:val="24"/>
        </w:rPr>
        <w:t>4.2.7.2水土流失重点治理区</w:t>
      </w:r>
    </w:p>
    <w:p w14:paraId="2BE58F6C">
      <w:pPr>
        <w:autoSpaceDE w:val="0"/>
        <w:adjustRightInd w:val="0"/>
        <w:spacing w:line="480" w:lineRule="exact"/>
        <w:ind w:firstLine="526" w:firstLineChars="200"/>
        <w:rPr>
          <w:rFonts w:hint="eastAsia" w:hAnsi="宋体" w:cs="宋体"/>
          <w:color w:val="000000"/>
          <w:szCs w:val="24"/>
        </w:rPr>
      </w:pPr>
      <w:r>
        <w:rPr>
          <w:rFonts w:hint="eastAsia" w:hAnsi="宋体" w:cs="宋体"/>
          <w:color w:val="000000"/>
          <w:szCs w:val="24"/>
        </w:rPr>
        <w:t>根据《关于印发新疆维吾尔自治区级水土流失重点预防区和重点治理区复核划分成果的通知》（新水水保〔2019〕4号），新疆共划分了2个自治区级重点预防区，4个自治区级重点治理区。其中，重点预防区面积19615.9km</w:t>
      </w:r>
      <w:r>
        <w:rPr>
          <w:rFonts w:hint="eastAsia" w:hAnsi="宋体" w:cs="宋体"/>
          <w:color w:val="000000"/>
          <w:szCs w:val="24"/>
          <w:vertAlign w:val="superscript"/>
        </w:rPr>
        <w:t>2</w:t>
      </w:r>
      <w:r>
        <w:rPr>
          <w:rFonts w:hint="eastAsia" w:hAnsi="宋体" w:cs="宋体"/>
          <w:color w:val="000000"/>
          <w:szCs w:val="24"/>
        </w:rPr>
        <w:t>，包括天山山区重点预防区、塔里木河中上游重点预防区；重点治理区面积283963km</w:t>
      </w:r>
      <w:r>
        <w:rPr>
          <w:rFonts w:hint="eastAsia" w:hAnsi="宋体" w:cs="宋体"/>
          <w:color w:val="000000"/>
          <w:szCs w:val="24"/>
          <w:vertAlign w:val="superscript"/>
        </w:rPr>
        <w:t>2</w:t>
      </w:r>
      <w:r>
        <w:rPr>
          <w:rFonts w:hint="eastAsia" w:hAnsi="宋体" w:cs="宋体"/>
          <w:color w:val="000000"/>
          <w:szCs w:val="24"/>
        </w:rPr>
        <w:t>，包括额尔齐斯河流域重点治理区、天山北坡诸小河流域重点治理区、塔里木河流域重点治理区、伊犁河流域重点治理区，</w:t>
      </w:r>
      <w:r>
        <w:rPr>
          <w:rFonts w:hint="eastAsia"/>
          <w:color w:val="000000"/>
          <w:szCs w:val="24"/>
        </w:rPr>
        <w:t>项目位于塔里木河流域水土流失重点治理区</w:t>
      </w:r>
      <w:r>
        <w:rPr>
          <w:rFonts w:hint="eastAsia" w:hAnsi="宋体" w:cs="宋体"/>
          <w:color w:val="000000"/>
          <w:szCs w:val="24"/>
        </w:rPr>
        <w:t>。</w:t>
      </w:r>
    </w:p>
    <w:p w14:paraId="50261A90">
      <w:pPr>
        <w:autoSpaceDE w:val="0"/>
        <w:adjustRightInd w:val="0"/>
        <w:spacing w:line="480" w:lineRule="exact"/>
        <w:ind w:firstLine="526" w:firstLineChars="200"/>
        <w:rPr>
          <w:rFonts w:hAnsi="宋体" w:cs="宋体"/>
          <w:color w:val="000000"/>
          <w:szCs w:val="24"/>
        </w:rPr>
      </w:pPr>
      <w:r>
        <w:rPr>
          <w:rFonts w:hint="eastAsia" w:hAnsi="宋体" w:cs="宋体"/>
          <w:color w:val="000000"/>
          <w:szCs w:val="24"/>
        </w:rPr>
        <w:t>根据</w:t>
      </w:r>
      <w:r>
        <w:rPr>
          <w:rFonts w:hint="eastAsia"/>
          <w:color w:val="000000"/>
          <w:szCs w:val="24"/>
        </w:rPr>
        <w:t>《新疆维吾尔自治区水土保持规划（2018-2030年）》，项目</w:t>
      </w:r>
      <w:r>
        <w:rPr>
          <w:rFonts w:hint="eastAsia" w:hAnsi="宋体" w:cs="宋体"/>
          <w:color w:val="000000"/>
          <w:szCs w:val="24"/>
        </w:rPr>
        <w:t xml:space="preserve">所在区域的水土保持基础功能类型是农田防护、防风固沙与防灾减灾，水土保持主导功能类型是防风固沙，为了实现水土保持主导功能，水土流失治理措施主要依靠荒漠化治理工程、石油天然气行业的水土保持综合治理工作。 </w:t>
      </w:r>
    </w:p>
    <w:p w14:paraId="6B4BFE37">
      <w:pPr>
        <w:pStyle w:val="191"/>
        <w:widowControl w:val="0"/>
        <w:tabs>
          <w:tab w:val="right" w:leader="dot" w:pos="8959"/>
        </w:tabs>
        <w:spacing w:line="480" w:lineRule="exact"/>
        <w:ind w:leftChars="0"/>
        <w:jc w:val="both"/>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4.2.8 主要生态问题调查</w:t>
      </w:r>
    </w:p>
    <w:p w14:paraId="6E63F984">
      <w:pPr>
        <w:autoSpaceDE w:val="0"/>
        <w:autoSpaceDN w:val="0"/>
        <w:adjustRightInd w:val="0"/>
        <w:spacing w:line="480" w:lineRule="exact"/>
        <w:ind w:firstLine="526" w:firstLineChars="200"/>
        <w:rPr>
          <w:rFonts w:hint="eastAsia" w:hAnsi="宋体" w:cs="宋体"/>
          <w:color w:val="000000"/>
          <w:kern w:val="0"/>
          <w:szCs w:val="24"/>
        </w:rPr>
      </w:pPr>
      <w:r>
        <w:rPr>
          <w:rFonts w:hint="eastAsia" w:hAnsi="宋体" w:cs="宋体"/>
          <w:color w:val="000000"/>
          <w:kern w:val="0"/>
          <w:szCs w:val="24"/>
        </w:rPr>
        <w:t>（1）区域沙化土地现状</w:t>
      </w:r>
    </w:p>
    <w:p w14:paraId="5167F55C">
      <w:pPr>
        <w:spacing w:line="480" w:lineRule="exact"/>
        <w:ind w:firstLine="526" w:firstLineChars="200"/>
        <w:rPr>
          <w:color w:val="000000"/>
          <w:szCs w:val="24"/>
        </w:rPr>
      </w:pPr>
      <w:r>
        <w:rPr>
          <w:rFonts w:hint="eastAsia"/>
          <w:color w:val="000000"/>
          <w:szCs w:val="24"/>
        </w:rPr>
        <w:t>拟建工程位于阿克苏地区沙雅县，</w:t>
      </w:r>
      <w:r>
        <w:rPr>
          <w:rFonts w:hint="eastAsia"/>
          <w:color w:val="000000"/>
          <w:szCs w:val="24"/>
          <w:lang w:val="zh-CN"/>
        </w:rPr>
        <w:t>根据《新疆第</w:t>
      </w:r>
      <w:r>
        <w:rPr>
          <w:rFonts w:hint="eastAsia"/>
          <w:color w:val="000000"/>
          <w:szCs w:val="24"/>
        </w:rPr>
        <w:t>六</w:t>
      </w:r>
      <w:r>
        <w:rPr>
          <w:rFonts w:hint="eastAsia"/>
          <w:color w:val="000000"/>
          <w:szCs w:val="24"/>
          <w:lang w:val="zh-CN"/>
        </w:rPr>
        <w:t>次沙化土地监测报告》，</w:t>
      </w:r>
      <w:r>
        <w:rPr>
          <w:rFonts w:hint="eastAsia"/>
          <w:color w:val="000000"/>
          <w:szCs w:val="24"/>
        </w:rPr>
        <w:t>拟建工程所在地沙化土地类型属于流动沙地。塔克拉玛干沙漠是世界第二大流动性沙漠，是我国最大的沙漠，沙漠面积362366km</w:t>
      </w:r>
      <w:r>
        <w:rPr>
          <w:rFonts w:hint="eastAsia"/>
          <w:color w:val="000000"/>
          <w:szCs w:val="24"/>
          <w:vertAlign w:val="superscript"/>
        </w:rPr>
        <w:t>2</w:t>
      </w:r>
      <w:r>
        <w:rPr>
          <w:rFonts w:hint="eastAsia"/>
          <w:color w:val="000000"/>
          <w:szCs w:val="24"/>
        </w:rPr>
        <w:t>，占全疆沙漠的82.25%，占我国沙漠总面积的一半以上。它位于塔里木盆地的中心地带，属暖温带干旱、极干旱气候区。包括塔克拉玛干主体沙漠、焉耆盆地的阿克别勒库姆沙漠、罗布泊以西与塔里木河下游以东的库鲁克沙漠、且末河以南的雅克塔格沙漠以及喀什三角洲上的托克拉克沙漠和布古里沙漠等。</w:t>
      </w:r>
    </w:p>
    <w:p w14:paraId="766475A6">
      <w:pPr>
        <w:spacing w:line="480" w:lineRule="exact"/>
        <w:ind w:firstLine="526" w:firstLineChars="200"/>
        <w:rPr>
          <w:rFonts w:hint="eastAsia"/>
          <w:color w:val="000000"/>
          <w:szCs w:val="24"/>
        </w:rPr>
      </w:pPr>
      <w:r>
        <w:rPr>
          <w:rFonts w:hint="eastAsia"/>
          <w:color w:val="000000"/>
          <w:szCs w:val="24"/>
        </w:rPr>
        <w:t>塔克拉玛干沙漠中的流动沙地占我区沙漠流动沙地总面积的92.54%，是我国流沙分布最广的沙漠。该沙漠处于塔里木盆地中心，沙漠基底构造属塔里木地台区，是由前震旦系变质岩所组成。盆地为高山和高原所夹，除东面罗布泊为风口外，其余三面均为海拔4000m以上的高山环绕，盆地边缘山前环状分布着冲积、洪积倾斜平原，沙漠居于盆地中部。盆地汇集了天山南坡和昆仑山-喀喇昆仑山北坡所有水系，但只有部分较大的河流在汛期能流入沙漠。极端干旱的大陆性气候使得沙漠降水稀少，蒸发强烈，夏季酷热，冬季寒冷，春秋季多风，日温差大，日照时间长。沙漠沙丘高大，形态类型多样。沙丘由外向内逐渐升高，边缘在25m以下，内部一般在50</w:t>
      </w:r>
      <w:r>
        <w:rPr>
          <w:rFonts w:hint="eastAsia" w:hAnsi="宋体" w:cs="宋体"/>
          <w:color w:val="000000"/>
          <w:szCs w:val="24"/>
        </w:rPr>
        <w:t>～</w:t>
      </w:r>
      <w:r>
        <w:rPr>
          <w:rFonts w:hint="eastAsia"/>
          <w:color w:val="000000"/>
          <w:szCs w:val="24"/>
        </w:rPr>
        <w:t>80m之间，少数高达200</w:t>
      </w:r>
      <w:r>
        <w:rPr>
          <w:rFonts w:hint="eastAsia" w:hAnsi="宋体" w:cs="宋体"/>
          <w:color w:val="000000"/>
          <w:szCs w:val="24"/>
        </w:rPr>
        <w:t>～</w:t>
      </w:r>
      <w:r>
        <w:rPr>
          <w:rFonts w:hint="eastAsia"/>
          <w:color w:val="000000"/>
          <w:szCs w:val="24"/>
        </w:rPr>
        <w:t>300m。沙丘类型有10多种，以复合型纵向沙垄和新月形沙丘链为主，还有鱼鳞状沙丘、穹状沙丘、复合新月形沙丘等，且末至于田一线还分布有金字塔形沙丘。塔里木盆地的主风向，在克里雅河以东为东北风，以西为西北风，沙丘移动方向随风向而变化。沙漠中每年有沙尘暴30天以上，浮尘150天以上，沙漠边缘地区年降水量60</w:t>
      </w:r>
      <w:r>
        <w:rPr>
          <w:rFonts w:hint="eastAsia" w:hAnsi="宋体" w:cs="宋体"/>
          <w:color w:val="000000"/>
          <w:szCs w:val="24"/>
        </w:rPr>
        <w:t>～</w:t>
      </w:r>
      <w:r>
        <w:rPr>
          <w:rFonts w:hint="eastAsia"/>
          <w:color w:val="000000"/>
          <w:szCs w:val="24"/>
        </w:rPr>
        <w:t>80mm，腹地降水量更低，降水少而蒸发强烈，植被覆盖率低，生态环境极为脆弱。</w:t>
      </w:r>
    </w:p>
    <w:p w14:paraId="7AAFD3D8">
      <w:pPr>
        <w:spacing w:line="480" w:lineRule="exact"/>
        <w:ind w:firstLine="560"/>
        <w:rPr>
          <w:rFonts w:hint="eastAsia" w:hAnsi="宋体" w:cs="宋体"/>
          <w:color w:val="000000"/>
          <w:szCs w:val="24"/>
        </w:rPr>
      </w:pPr>
      <w:r>
        <w:rPr>
          <w:rFonts w:hint="eastAsia"/>
          <w:color w:val="000000"/>
          <w:szCs w:val="24"/>
        </w:rPr>
        <w:t>塔克拉玛干主体沙漠中的沙化土地面积3435.59万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，其中：流动沙地2618.66万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，半固定沙地549.82万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，固定沙地247.10万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，沙化耕地11.83万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，非生物工程治沙地8.18万</w:t>
      </w:r>
      <w:r>
        <w:rPr>
          <w:rFonts w:hint="eastAsia" w:hAnsi="宋体" w:cs="宋体"/>
          <w:color w:val="000000"/>
          <w:szCs w:val="24"/>
        </w:rPr>
        <w:t>hm</w:t>
      </w:r>
      <w:r>
        <w:rPr>
          <w:rFonts w:hint="eastAsia" w:hAnsi="宋体" w:cs="宋体"/>
          <w:color w:val="000000"/>
          <w:szCs w:val="24"/>
          <w:vertAlign w:val="superscript"/>
        </w:rPr>
        <w:t>2</w:t>
      </w:r>
      <w:r>
        <w:rPr>
          <w:rFonts w:hint="eastAsia"/>
          <w:color w:val="000000"/>
          <w:szCs w:val="24"/>
        </w:rPr>
        <w:t>。根据现场调查结果，工程所在沙地地表覆盖植被主要为多枝柽柳和芦苇等，植被覆盖度</w:t>
      </w:r>
      <w:r>
        <w:rPr>
          <w:rFonts w:hint="eastAsia" w:hAnsi="宋体" w:cs="宋体"/>
          <w:color w:val="000000"/>
        </w:rPr>
        <w:t>＜5%</w:t>
      </w:r>
      <w:r>
        <w:rPr>
          <w:rFonts w:hint="eastAsia"/>
          <w:color w:val="000000"/>
          <w:szCs w:val="24"/>
        </w:rPr>
        <w:t>。</w:t>
      </w:r>
    </w:p>
    <w:p w14:paraId="694B2576">
      <w:pPr>
        <w:spacing w:line="480" w:lineRule="exact"/>
        <w:ind w:firstLine="526" w:firstLineChars="200"/>
        <w:rPr>
          <w:rFonts w:hAnsi="宋体" w:cs="宋体"/>
          <w:color w:val="000000"/>
          <w:szCs w:val="24"/>
        </w:rPr>
      </w:pPr>
      <w:r>
        <w:rPr>
          <w:rFonts w:hint="eastAsia" w:hAnsi="宋体" w:cs="宋体"/>
          <w:color w:val="000000"/>
          <w:szCs w:val="24"/>
        </w:rPr>
        <w:t>（2）水土流失现状</w:t>
      </w:r>
    </w:p>
    <w:p w14:paraId="598FB116">
      <w:pPr>
        <w:spacing w:line="480" w:lineRule="exact"/>
        <w:ind w:firstLine="526" w:firstLineChars="200"/>
        <w:rPr>
          <w:rFonts w:hAnsi="宋体" w:cs="宋体"/>
          <w:color w:val="000000"/>
          <w:kern w:val="0"/>
          <w:szCs w:val="24"/>
        </w:rPr>
      </w:pPr>
      <w:r>
        <w:rPr>
          <w:rFonts w:hint="eastAsia" w:hAnsi="宋体" w:cs="宋体"/>
          <w:color w:val="000000"/>
        </w:rPr>
        <w:t>根据《新疆维吾尔自治区2022年水土流失动态监测年报》，2022年沙雅县轻度以上风力侵蚀总面积23822.19km</w:t>
      </w:r>
      <w:r>
        <w:rPr>
          <w:rFonts w:hint="eastAsia" w:hAnsi="宋体" w:cs="宋体"/>
          <w:color w:val="000000"/>
          <w:vertAlign w:val="superscript"/>
        </w:rPr>
        <w:t>2</w:t>
      </w:r>
      <w:r>
        <w:rPr>
          <w:rFonts w:hint="eastAsia" w:hAnsi="宋体" w:cs="宋体"/>
          <w:color w:val="000000"/>
        </w:rPr>
        <w:t>，占全县土地总面积的31.60%。其中水力侵蚀面积为3652.71km</w:t>
      </w:r>
      <w:r>
        <w:rPr>
          <w:rFonts w:hint="eastAsia" w:hAnsi="宋体" w:cs="宋体"/>
          <w:color w:val="000000"/>
          <w:vertAlign w:val="superscript"/>
        </w:rPr>
        <w:t>2</w:t>
      </w:r>
      <w:r>
        <w:rPr>
          <w:rFonts w:hint="eastAsia" w:hAnsi="宋体" w:cs="宋体"/>
          <w:color w:val="000000"/>
        </w:rPr>
        <w:t>，占土壤侵蚀总面积的74.71%。</w:t>
      </w:r>
    </w:p>
    <w:p w14:paraId="64DBA25E">
      <w:pPr>
        <w:spacing w:line="480" w:lineRule="exact"/>
        <w:ind w:firstLine="526" w:firstLineChars="200"/>
        <w:rPr>
          <w:rFonts w:hint="eastAsia" w:hAnsi="宋体" w:cs="宋体"/>
          <w:color w:val="000000"/>
          <w:kern w:val="0"/>
          <w:szCs w:val="24"/>
        </w:rPr>
      </w:pPr>
      <w:r>
        <w:rPr>
          <w:rFonts w:hint="eastAsia" w:hAnsi="宋体" w:cs="宋体"/>
          <w:color w:val="000000"/>
          <w:szCs w:val="24"/>
        </w:rPr>
        <w:t>（3）</w:t>
      </w:r>
      <w:r>
        <w:rPr>
          <w:rFonts w:hint="eastAsia" w:hAnsi="宋体" w:cs="宋体"/>
          <w:color w:val="000000"/>
          <w:kern w:val="0"/>
          <w:szCs w:val="24"/>
        </w:rPr>
        <w:t>区域</w:t>
      </w:r>
      <w:r>
        <w:rPr>
          <w:rFonts w:hint="eastAsia" w:hAnsi="宋体"/>
          <w:color w:val="000000"/>
          <w:szCs w:val="24"/>
        </w:rPr>
        <w:t>生态面临的压力和存在的问题</w:t>
      </w:r>
    </w:p>
    <w:p w14:paraId="365A97BB">
      <w:pPr>
        <w:spacing w:line="480" w:lineRule="exact"/>
        <w:ind w:firstLine="526" w:firstLineChars="200"/>
        <w:rPr>
          <w:rFonts w:hint="eastAsia" w:hAnsi="宋体" w:cs="宋体"/>
          <w:color w:val="000000"/>
          <w:szCs w:val="24"/>
        </w:rPr>
      </w:pPr>
      <w:r>
        <w:rPr>
          <w:rFonts w:hint="eastAsia" w:ascii="Times New Roman"/>
          <w:snapToGrid w:val="0"/>
          <w:color w:val="000000"/>
          <w:szCs w:val="24"/>
        </w:rPr>
        <w:t>项目评价区域降水量少，干旱和半干旱是生态环境的主要特征，生态环境较为脆弱。本次评价针对富满油气田的现场考察和资料分析，项目区目前主要的生态问题为土地沙漠化，沙漠化主要是指在干旱多风的沙质和沙壤质地表土壤条件下，由于地下水位较高，地表出现以风沙活动为主要标志的土地退化，从而引起沙质地表、沙丘等的活化，导致生物多样性减少、生物生产力下降、土地生产潜力衰退以及土地资源丧失，项目区沙漠化的形成主要是因风蚀所致</w:t>
      </w:r>
      <w:r>
        <w:rPr>
          <w:rFonts w:hint="eastAsia" w:hAnsi="宋体"/>
          <w:snapToGrid w:val="0"/>
          <w:color w:val="000000"/>
          <w:szCs w:val="24"/>
        </w:rPr>
        <w:t>。</w:t>
      </w:r>
    </w:p>
    <w:bookmarkEnd w:id="145"/>
    <w:bookmarkEnd w:id="146"/>
    <w:bookmarkEnd w:id="147"/>
    <w:bookmarkEnd w:id="148"/>
    <w:bookmarkEnd w:id="149"/>
    <w:bookmarkEnd w:id="150"/>
    <w:p w14:paraId="4AE8D3A3">
      <w:pPr>
        <w:spacing w:line="480" w:lineRule="exact"/>
        <w:outlineLvl w:val="1"/>
        <w:rPr>
          <w:rFonts w:ascii="黑体" w:hAnsi="黑体" w:eastAsia="黑体" w:cs="黑体"/>
          <w:color w:val="000000"/>
          <w:sz w:val="28"/>
          <w:szCs w:val="28"/>
          <w:lang w:bidi="ar"/>
        </w:rPr>
      </w:pPr>
      <w:r>
        <w:fldChar w:fldCharType="begin"/>
      </w:r>
      <w:r>
        <w:instrText xml:space="preserve"> HYPERLINK \l "_Toc29437" </w:instrText>
      </w:r>
      <w:r>
        <w:fldChar w:fldCharType="separate"/>
      </w:r>
      <w:bookmarkStart w:id="177" w:name="_Toc198040183"/>
      <w:bookmarkStart w:id="178" w:name="_Toc230178793"/>
      <w:bookmarkStart w:id="179" w:name="_Toc198040327"/>
      <w:bookmarkStart w:id="180" w:name="_Toc208474677"/>
      <w:r>
        <w:rPr>
          <w:rFonts w:hint="eastAsia" w:ascii="黑体" w:hAnsi="黑体" w:eastAsia="黑体" w:cs="黑体"/>
          <w:color w:val="000000"/>
          <w:szCs w:val="24"/>
          <w:lang w:bidi="ar"/>
        </w:rPr>
        <w:t>4.3 地下水环境现状调查与评价</w:t>
      </w:r>
      <w:bookmarkEnd w:id="177"/>
      <w:bookmarkEnd w:id="178"/>
      <w:bookmarkEnd w:id="179"/>
      <w:bookmarkEnd w:id="180"/>
      <w:r>
        <w:rPr>
          <w:rFonts w:hint="eastAsia" w:ascii="黑体" w:hAnsi="黑体" w:eastAsia="黑体" w:cs="黑体"/>
          <w:color w:val="000000"/>
          <w:szCs w:val="24"/>
          <w:lang w:bidi="ar"/>
        </w:rPr>
        <w:fldChar w:fldCharType="end"/>
      </w:r>
    </w:p>
    <w:p w14:paraId="02AD80A2">
      <w:pPr>
        <w:spacing w:line="480" w:lineRule="exact"/>
        <w:ind w:firstLine="526" w:firstLineChars="200"/>
        <w:rPr>
          <w:rFonts w:hAnsi="宋体"/>
          <w:color w:val="000000"/>
          <w:szCs w:val="24"/>
          <w:highlight w:val="yellow"/>
        </w:rPr>
      </w:pPr>
      <w:r>
        <w:rPr>
          <w:rFonts w:hint="eastAsia" w:hAnsi="宋体" w:cs="宋体"/>
          <w:color w:val="000000"/>
        </w:rPr>
        <w:t>根据《环境影响评价技术导则 地下水环境》（HJ610-2016）、《环境影响评价技术导则 陆地石油天然气开发建设项目》（HJ349-2023）要求，根据区域水文地质等资料判定该区域有承压水但不具备饮用价值，故不再设置承压水监测点。</w:t>
      </w:r>
      <w:r>
        <w:rPr>
          <w:rFonts w:hint="eastAsia" w:hAnsi="宋体" w:cs="宋体"/>
          <w:color w:val="000000"/>
          <w:sz w:val="25"/>
        </w:rPr>
        <w:t>本次评价引用《</w:t>
      </w:r>
      <w:r>
        <w:rPr>
          <w:rFonts w:hint="eastAsia" w:hAnsi="宋体" w:cs="宋体"/>
          <w:color w:val="000000"/>
          <w:szCs w:val="21"/>
        </w:rPr>
        <w:t>塔三联MDEA再生塔及5号集气站集油干线腐蚀隐患治理工程环境影响报告表</w:t>
      </w:r>
      <w:r>
        <w:rPr>
          <w:rFonts w:hint="eastAsia" w:hAnsi="宋体" w:cs="宋体"/>
          <w:color w:val="000000"/>
          <w:sz w:val="25"/>
        </w:rPr>
        <w:t>》编制期间开展的3个潜水监测点</w:t>
      </w:r>
      <w:r>
        <w:rPr>
          <w:rFonts w:hint="eastAsia" w:hAnsi="宋体" w:cs="宋体"/>
          <w:color w:val="000000"/>
        </w:rPr>
        <w:t>。监测点与拟建工程处于同一水文地质单元，其监测数据在一定程度上能够反映拟建工程所在区域地下水环境质量现状</w:t>
      </w:r>
      <w:r>
        <w:rPr>
          <w:rFonts w:hint="eastAsia" w:hAnsi="宋体"/>
          <w:color w:val="000000"/>
          <w:szCs w:val="24"/>
        </w:rPr>
        <w:t>。</w:t>
      </w:r>
    </w:p>
    <w:p w14:paraId="5FD06BAA">
      <w:pPr>
        <w:pStyle w:val="191"/>
        <w:widowControl w:val="0"/>
        <w:tabs>
          <w:tab w:val="right" w:leader="dot" w:pos="8959"/>
        </w:tabs>
        <w:spacing w:line="500" w:lineRule="exact"/>
        <w:ind w:leftChars="0"/>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4.3.1 地下水环境现状监测</w:t>
      </w:r>
    </w:p>
    <w:p w14:paraId="7D08564C">
      <w:pPr>
        <w:spacing w:line="500" w:lineRule="exact"/>
        <w:ind w:firstLine="526" w:firstLineChars="200"/>
        <w:rPr>
          <w:rFonts w:hAnsi="宋体"/>
          <w:color w:val="000000"/>
          <w:szCs w:val="24"/>
        </w:rPr>
      </w:pPr>
      <w:r>
        <w:rPr>
          <w:rFonts w:hint="eastAsia" w:hAnsi="宋体"/>
          <w:color w:val="000000"/>
          <w:szCs w:val="24"/>
        </w:rPr>
        <w:t>（1）监测点位及因子</w:t>
      </w:r>
    </w:p>
    <w:p w14:paraId="36A3DE6F">
      <w:pPr>
        <w:spacing w:line="500" w:lineRule="exact"/>
        <w:ind w:firstLine="526" w:firstLineChars="200"/>
        <w:rPr>
          <w:rFonts w:hAnsi="宋体"/>
          <w:color w:val="000000"/>
          <w:szCs w:val="24"/>
        </w:rPr>
      </w:pPr>
      <w:r>
        <w:rPr>
          <w:rFonts w:hint="eastAsia" w:hAnsi="宋体"/>
          <w:color w:val="000000"/>
          <w:szCs w:val="24"/>
        </w:rPr>
        <w:t>地下水具体监测点位及因子见表4.3-1。</w:t>
      </w:r>
    </w:p>
    <w:p w14:paraId="4DF7B217">
      <w:pPr>
        <w:spacing w:line="500" w:lineRule="exact"/>
        <w:ind w:firstLine="526" w:firstLineChars="200"/>
        <w:rPr>
          <w:rFonts w:ascii="黑体" w:hAnsi="宋体" w:eastAsia="黑体"/>
          <w:color w:val="000000"/>
          <w:szCs w:val="24"/>
        </w:rPr>
      </w:pPr>
      <w:r>
        <w:rPr>
          <w:rFonts w:hint="eastAsia" w:ascii="黑体" w:hAnsi="宋体" w:eastAsia="黑体"/>
          <w:color w:val="000000"/>
          <w:szCs w:val="24"/>
        </w:rPr>
        <w:t>表4.3-1      地下水监测点及监测因子一览表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28" w:type="dxa"/>
          <w:right w:w="28" w:type="dxa"/>
        </w:tblCellMar>
      </w:tblPr>
      <w:tblGrid>
        <w:gridCol w:w="417"/>
        <w:gridCol w:w="770"/>
        <w:gridCol w:w="1249"/>
        <w:gridCol w:w="2188"/>
        <w:gridCol w:w="517"/>
        <w:gridCol w:w="598"/>
        <w:gridCol w:w="723"/>
        <w:gridCol w:w="2548"/>
      </w:tblGrid>
      <w:tr w14:paraId="668A08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67" w:hRule="atLeast"/>
          <w:jc w:val="center"/>
        </w:trPr>
        <w:tc>
          <w:tcPr>
            <w:tcW w:w="231" w:type="pct"/>
            <w:vMerge w:val="restart"/>
            <w:vAlign w:val="center"/>
          </w:tcPr>
          <w:p w14:paraId="07E71427">
            <w:pPr>
              <w:snapToGrid w:val="0"/>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427" w:type="pct"/>
            <w:vMerge w:val="restart"/>
            <w:vAlign w:val="center"/>
          </w:tcPr>
          <w:p w14:paraId="1C3CEA03">
            <w:pPr>
              <w:snapToGrid w:val="0"/>
              <w:jc w:val="center"/>
              <w:rPr>
                <w:rFonts w:hint="eastAsia" w:hAnsi="宋体" w:cs="宋体"/>
                <w:color w:val="000000"/>
                <w:spacing w:val="-10"/>
                <w:sz w:val="21"/>
                <w:szCs w:val="21"/>
              </w:rPr>
            </w:pPr>
            <w:r>
              <w:rPr>
                <w:rFonts w:hint="eastAsia" w:hAnsi="宋体" w:cs="宋体"/>
                <w:color w:val="000000"/>
                <w:spacing w:val="-10"/>
                <w:sz w:val="21"/>
                <w:szCs w:val="21"/>
              </w:rPr>
              <w:t>监测点名称</w:t>
            </w:r>
          </w:p>
        </w:tc>
        <w:tc>
          <w:tcPr>
            <w:tcW w:w="693" w:type="pct"/>
            <w:vMerge w:val="restart"/>
            <w:vAlign w:val="center"/>
          </w:tcPr>
          <w:p w14:paraId="3D309633">
            <w:pPr>
              <w:snapToGrid w:val="0"/>
              <w:jc w:val="center"/>
              <w:rPr>
                <w:rFonts w:hint="eastAsia" w:hAnsi="宋体" w:cs="宋体"/>
                <w:color w:val="000000"/>
                <w:spacing w:val="-10"/>
                <w:sz w:val="21"/>
                <w:szCs w:val="21"/>
              </w:rPr>
            </w:pPr>
            <w:r>
              <w:rPr>
                <w:rFonts w:hint="eastAsia" w:hAnsi="宋体" w:cs="宋体"/>
                <w:color w:val="000000"/>
                <w:spacing w:val="-10"/>
                <w:sz w:val="21"/>
                <w:szCs w:val="21"/>
              </w:rPr>
              <w:t>与拟建工程位置关系</w:t>
            </w:r>
          </w:p>
        </w:tc>
        <w:tc>
          <w:tcPr>
            <w:tcW w:w="1214" w:type="pct"/>
            <w:vMerge w:val="restart"/>
            <w:vAlign w:val="center"/>
          </w:tcPr>
          <w:p w14:paraId="40E707EE">
            <w:pPr>
              <w:snapToGrid w:val="0"/>
              <w:jc w:val="center"/>
              <w:rPr>
                <w:rFonts w:hint="eastAsia" w:hAnsi="宋体" w:cs="宋体"/>
                <w:color w:val="000000"/>
                <w:spacing w:val="-10"/>
                <w:sz w:val="21"/>
                <w:szCs w:val="21"/>
              </w:rPr>
            </w:pPr>
            <w:r>
              <w:rPr>
                <w:rFonts w:hint="eastAsia" w:hAnsi="宋体" w:cs="宋体"/>
                <w:color w:val="000000"/>
                <w:spacing w:val="-10"/>
                <w:sz w:val="21"/>
                <w:szCs w:val="21"/>
              </w:rPr>
              <w:t>坐标</w:t>
            </w:r>
          </w:p>
        </w:tc>
        <w:tc>
          <w:tcPr>
            <w:tcW w:w="287" w:type="pct"/>
            <w:vMerge w:val="restart"/>
            <w:vAlign w:val="center"/>
          </w:tcPr>
          <w:p w14:paraId="04DF2A9C">
            <w:pPr>
              <w:snapToGrid w:val="0"/>
              <w:jc w:val="center"/>
              <w:rPr>
                <w:rFonts w:hint="eastAsia" w:hAnsi="宋体" w:cs="宋体"/>
                <w:color w:val="000000"/>
                <w:spacing w:val="-10"/>
                <w:sz w:val="21"/>
                <w:szCs w:val="21"/>
              </w:rPr>
            </w:pPr>
            <w:r>
              <w:rPr>
                <w:rFonts w:hint="eastAsia" w:hAnsi="宋体" w:cs="宋体"/>
                <w:color w:val="000000"/>
                <w:spacing w:val="-10"/>
                <w:sz w:val="21"/>
                <w:szCs w:val="21"/>
              </w:rPr>
              <w:t>监测</w:t>
            </w:r>
          </w:p>
          <w:p w14:paraId="57352085">
            <w:pPr>
              <w:snapToGrid w:val="0"/>
              <w:jc w:val="center"/>
              <w:rPr>
                <w:rFonts w:hint="eastAsia" w:hAnsi="宋体" w:cs="宋体"/>
                <w:color w:val="000000"/>
                <w:spacing w:val="-10"/>
                <w:sz w:val="21"/>
                <w:szCs w:val="21"/>
              </w:rPr>
            </w:pPr>
            <w:r>
              <w:rPr>
                <w:rFonts w:hint="eastAsia" w:hAnsi="宋体" w:cs="宋体"/>
                <w:color w:val="000000"/>
                <w:spacing w:val="-10"/>
                <w:sz w:val="21"/>
                <w:szCs w:val="21"/>
              </w:rPr>
              <w:t>对象</w:t>
            </w:r>
          </w:p>
        </w:tc>
        <w:tc>
          <w:tcPr>
            <w:tcW w:w="332" w:type="pct"/>
            <w:vMerge w:val="restart"/>
            <w:vAlign w:val="center"/>
          </w:tcPr>
          <w:p w14:paraId="544842CC">
            <w:pPr>
              <w:snapToGrid w:val="0"/>
              <w:jc w:val="center"/>
              <w:rPr>
                <w:rFonts w:hint="eastAsia" w:hAnsi="宋体" w:cs="宋体"/>
                <w:color w:val="000000"/>
                <w:spacing w:val="-10"/>
                <w:sz w:val="21"/>
                <w:szCs w:val="21"/>
              </w:rPr>
            </w:pPr>
            <w:r>
              <w:rPr>
                <w:rFonts w:hint="eastAsia" w:hAnsi="宋体" w:cs="宋体"/>
                <w:color w:val="000000"/>
                <w:spacing w:val="-10"/>
                <w:sz w:val="21"/>
                <w:szCs w:val="21"/>
              </w:rPr>
              <w:t>所处</w:t>
            </w:r>
          </w:p>
          <w:p w14:paraId="57AEB36E">
            <w:pPr>
              <w:snapToGrid w:val="0"/>
              <w:jc w:val="center"/>
              <w:rPr>
                <w:rFonts w:hint="eastAsia" w:hAnsi="宋体" w:cs="宋体"/>
                <w:color w:val="000000"/>
                <w:spacing w:val="-10"/>
                <w:sz w:val="21"/>
                <w:szCs w:val="21"/>
              </w:rPr>
            </w:pPr>
            <w:r>
              <w:rPr>
                <w:rFonts w:hint="eastAsia" w:hAnsi="宋体" w:cs="宋体"/>
                <w:color w:val="000000"/>
                <w:spacing w:val="-10"/>
                <w:sz w:val="21"/>
                <w:szCs w:val="21"/>
              </w:rPr>
              <w:t>功能区</w:t>
            </w:r>
          </w:p>
        </w:tc>
        <w:tc>
          <w:tcPr>
            <w:tcW w:w="1815" w:type="pct"/>
            <w:gridSpan w:val="2"/>
            <w:vAlign w:val="center"/>
          </w:tcPr>
          <w:p w14:paraId="79AD84C8">
            <w:pPr>
              <w:snapToGrid w:val="0"/>
              <w:jc w:val="center"/>
              <w:rPr>
                <w:rFonts w:hint="eastAsia" w:hAnsi="宋体" w:cs="宋体"/>
                <w:color w:val="000000"/>
                <w:spacing w:val="-10"/>
                <w:sz w:val="21"/>
                <w:szCs w:val="21"/>
              </w:rPr>
            </w:pPr>
            <w:r>
              <w:rPr>
                <w:rFonts w:hint="eastAsia" w:hAnsi="宋体" w:cs="宋体"/>
                <w:color w:val="000000"/>
                <w:spacing w:val="-10"/>
                <w:sz w:val="21"/>
                <w:szCs w:val="21"/>
              </w:rPr>
              <w:t>监测与调查项目</w:t>
            </w:r>
          </w:p>
        </w:tc>
      </w:tr>
      <w:tr w14:paraId="3245CC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28" w:type="dxa"/>
            <w:right w:w="28" w:type="dxa"/>
          </w:tblCellMar>
        </w:tblPrEx>
        <w:trPr>
          <w:trHeight w:val="535" w:hRule="atLeast"/>
          <w:jc w:val="center"/>
        </w:trPr>
        <w:tc>
          <w:tcPr>
            <w:tcW w:w="231" w:type="pct"/>
            <w:vMerge w:val="continue"/>
            <w:vAlign w:val="center"/>
          </w:tcPr>
          <w:p w14:paraId="7793A1DD">
            <w:pPr>
              <w:snapToGrid w:val="0"/>
              <w:jc w:val="center"/>
              <w:rPr>
                <w:rFonts w:hint="eastAsia" w:hAnsi="宋体" w:cs="宋体"/>
                <w:color w:val="000000"/>
                <w:spacing w:val="-10"/>
                <w:sz w:val="21"/>
                <w:szCs w:val="21"/>
              </w:rPr>
            </w:pPr>
          </w:p>
        </w:tc>
        <w:tc>
          <w:tcPr>
            <w:tcW w:w="427" w:type="pct"/>
            <w:vMerge w:val="continue"/>
            <w:vAlign w:val="center"/>
          </w:tcPr>
          <w:p w14:paraId="46F1ABEA">
            <w:pPr>
              <w:snapToGrid w:val="0"/>
              <w:jc w:val="center"/>
              <w:rPr>
                <w:rFonts w:hint="eastAsia" w:hAnsi="宋体" w:cs="宋体"/>
                <w:color w:val="000000"/>
                <w:spacing w:val="-10"/>
                <w:sz w:val="21"/>
                <w:szCs w:val="21"/>
              </w:rPr>
            </w:pPr>
          </w:p>
        </w:tc>
        <w:tc>
          <w:tcPr>
            <w:tcW w:w="693" w:type="pct"/>
            <w:vMerge w:val="continue"/>
            <w:vAlign w:val="center"/>
          </w:tcPr>
          <w:p w14:paraId="2C955E9F">
            <w:pPr>
              <w:snapToGrid w:val="0"/>
              <w:jc w:val="center"/>
              <w:rPr>
                <w:rFonts w:hint="eastAsia" w:hAnsi="宋体" w:cs="宋体"/>
                <w:color w:val="000000"/>
                <w:spacing w:val="-10"/>
                <w:sz w:val="21"/>
                <w:szCs w:val="21"/>
              </w:rPr>
            </w:pPr>
          </w:p>
        </w:tc>
        <w:tc>
          <w:tcPr>
            <w:tcW w:w="1214" w:type="pct"/>
            <w:vMerge w:val="continue"/>
            <w:vAlign w:val="center"/>
          </w:tcPr>
          <w:p w14:paraId="5EF757E2">
            <w:pPr>
              <w:snapToGrid w:val="0"/>
              <w:jc w:val="center"/>
              <w:rPr>
                <w:rFonts w:hint="eastAsia" w:hAnsi="宋体" w:cs="宋体"/>
                <w:color w:val="000000"/>
                <w:spacing w:val="-10"/>
                <w:sz w:val="21"/>
                <w:szCs w:val="21"/>
              </w:rPr>
            </w:pPr>
          </w:p>
        </w:tc>
        <w:tc>
          <w:tcPr>
            <w:tcW w:w="287" w:type="pct"/>
            <w:vMerge w:val="continue"/>
            <w:vAlign w:val="center"/>
          </w:tcPr>
          <w:p w14:paraId="06B8AC11">
            <w:pPr>
              <w:snapToGrid w:val="0"/>
              <w:jc w:val="center"/>
              <w:rPr>
                <w:rFonts w:hint="eastAsia" w:hAnsi="宋体" w:cs="宋体"/>
                <w:color w:val="000000"/>
                <w:spacing w:val="-10"/>
                <w:sz w:val="21"/>
                <w:szCs w:val="21"/>
              </w:rPr>
            </w:pPr>
          </w:p>
        </w:tc>
        <w:tc>
          <w:tcPr>
            <w:tcW w:w="332" w:type="pct"/>
            <w:vMerge w:val="continue"/>
            <w:vAlign w:val="center"/>
          </w:tcPr>
          <w:p w14:paraId="646365B1">
            <w:pPr>
              <w:snapToGrid w:val="0"/>
              <w:jc w:val="center"/>
              <w:rPr>
                <w:rFonts w:hint="eastAsia" w:hAnsi="宋体" w:cs="宋体"/>
                <w:color w:val="000000"/>
                <w:spacing w:val="-10"/>
                <w:sz w:val="21"/>
                <w:szCs w:val="21"/>
              </w:rPr>
            </w:pPr>
          </w:p>
        </w:tc>
        <w:tc>
          <w:tcPr>
            <w:tcW w:w="401" w:type="pct"/>
            <w:vAlign w:val="center"/>
          </w:tcPr>
          <w:p w14:paraId="63F7A02C">
            <w:pPr>
              <w:snapToGrid w:val="0"/>
              <w:jc w:val="center"/>
              <w:rPr>
                <w:rFonts w:hint="eastAsia" w:hAnsi="宋体" w:cs="宋体"/>
                <w:color w:val="000000"/>
                <w:spacing w:val="-10"/>
                <w:sz w:val="21"/>
                <w:szCs w:val="21"/>
              </w:rPr>
            </w:pPr>
            <w:r>
              <w:rPr>
                <w:rFonts w:hint="eastAsia" w:hAnsi="宋体" w:cs="宋体"/>
                <w:color w:val="000000"/>
                <w:spacing w:val="-10"/>
                <w:sz w:val="21"/>
                <w:szCs w:val="21"/>
              </w:rPr>
              <w:t>检测分析因子</w:t>
            </w:r>
          </w:p>
        </w:tc>
        <w:tc>
          <w:tcPr>
            <w:tcW w:w="1414" w:type="pct"/>
            <w:vAlign w:val="center"/>
          </w:tcPr>
          <w:p w14:paraId="7F1CB698">
            <w:pPr>
              <w:snapToGrid w:val="0"/>
              <w:jc w:val="center"/>
              <w:rPr>
                <w:rFonts w:hint="eastAsia" w:hAnsi="宋体" w:cs="宋体"/>
                <w:color w:val="000000"/>
                <w:spacing w:val="-10"/>
                <w:sz w:val="21"/>
                <w:szCs w:val="21"/>
              </w:rPr>
            </w:pPr>
            <w:r>
              <w:rPr>
                <w:rFonts w:hint="eastAsia" w:hAnsi="宋体" w:cs="宋体"/>
                <w:color w:val="000000"/>
                <w:spacing w:val="-10"/>
                <w:sz w:val="21"/>
                <w:szCs w:val="21"/>
              </w:rPr>
              <w:t>监测因子</w:t>
            </w:r>
          </w:p>
        </w:tc>
      </w:tr>
      <w:tr w14:paraId="1AF24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28" w:type="dxa"/>
            <w:right w:w="28" w:type="dxa"/>
          </w:tblCellMar>
        </w:tblPrEx>
        <w:trPr>
          <w:trHeight w:val="454" w:hRule="atLeast"/>
          <w:jc w:val="center"/>
        </w:trPr>
        <w:tc>
          <w:tcPr>
            <w:tcW w:w="231" w:type="pct"/>
            <w:vAlign w:val="center"/>
          </w:tcPr>
          <w:p w14:paraId="53FE921B">
            <w:pPr>
              <w:snapToGrid w:val="0"/>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427" w:type="pct"/>
            <w:vAlign w:val="center"/>
          </w:tcPr>
          <w:p w14:paraId="789B5730">
            <w:pPr>
              <w:snapToGrid w:val="0"/>
              <w:jc w:val="center"/>
              <w:rPr>
                <w:rFonts w:hint="eastAsia" w:hAnsi="宋体" w:cs="宋体"/>
                <w:color w:val="000000"/>
                <w:spacing w:val="-10"/>
                <w:sz w:val="21"/>
                <w:szCs w:val="21"/>
              </w:rPr>
            </w:pPr>
            <w:r>
              <w:rPr>
                <w:rFonts w:hint="eastAsia" w:hAnsi="宋体" w:cs="宋体"/>
                <w:color w:val="000000"/>
                <w:spacing w:val="-10"/>
                <w:sz w:val="21"/>
                <w:szCs w:val="21"/>
              </w:rPr>
              <w:t>1#监测点</w:t>
            </w:r>
          </w:p>
        </w:tc>
        <w:tc>
          <w:tcPr>
            <w:tcW w:w="693" w:type="pct"/>
            <w:vAlign w:val="center"/>
          </w:tcPr>
          <w:p w14:paraId="5304F77D">
            <w:pPr>
              <w:snapToGrid w:val="0"/>
              <w:jc w:val="center"/>
              <w:rPr>
                <w:rFonts w:hint="eastAsia" w:hAnsi="宋体" w:cs="宋体"/>
                <w:color w:val="000000"/>
                <w:spacing w:val="-10"/>
                <w:sz w:val="21"/>
                <w:szCs w:val="21"/>
              </w:rPr>
            </w:pPr>
            <w:r>
              <w:rPr>
                <w:rFonts w:hint="eastAsia" w:hAnsi="宋体" w:cs="宋体"/>
                <w:color w:val="000000"/>
                <w:spacing w:val="-10"/>
                <w:sz w:val="21"/>
                <w:szCs w:val="21"/>
              </w:rPr>
              <w:t>项目区北侧0.5km（上游）</w:t>
            </w:r>
          </w:p>
        </w:tc>
        <w:tc>
          <w:tcPr>
            <w:tcW w:w="1214" w:type="pct"/>
            <w:vAlign w:val="center"/>
          </w:tcPr>
          <w:p w14:paraId="3789AAF3">
            <w:pPr>
              <w:widowControl/>
              <w:snapToGrid w:val="0"/>
              <w:jc w:val="center"/>
              <w:textAlignment w:val="center"/>
              <w:rPr>
                <w:rFonts w:hint="eastAsia" w:hAnsi="宋体" w:cs="宋体"/>
                <w:color w:val="000000"/>
                <w:spacing w:val="-10"/>
                <w:sz w:val="21"/>
                <w:szCs w:val="21"/>
              </w:rPr>
            </w:pPr>
            <w:r>
              <w:rPr>
                <w:rFonts w:hint="eastAsia" w:hAnsi="宋体" w:cs="宋体"/>
                <w:color w:val="000000"/>
                <w:kern w:val="0"/>
                <w:sz w:val="21"/>
                <w:szCs w:val="21"/>
                <w:lang w:bidi="ar"/>
              </w:rPr>
              <w:t>N:39°19′57.024″</w:t>
            </w:r>
            <w:r>
              <w:rPr>
                <w:rFonts w:hint="eastAsia" w:hAnsi="宋体" w:cs="宋体"/>
                <w:color w:val="000000"/>
                <w:kern w:val="0"/>
                <w:sz w:val="21"/>
                <w:szCs w:val="21"/>
                <w:lang w:bidi="ar"/>
              </w:rPr>
              <w:br w:type="textWrapping"/>
            </w:r>
            <w:r>
              <w:rPr>
                <w:rFonts w:hint="eastAsia" w:hAnsi="宋体" w:cs="宋体"/>
                <w:color w:val="000000"/>
                <w:kern w:val="0"/>
                <w:sz w:val="21"/>
                <w:szCs w:val="21"/>
                <w:lang w:bidi="ar"/>
              </w:rPr>
              <w:t>E:83°12′42.776″</w:t>
            </w:r>
          </w:p>
        </w:tc>
        <w:tc>
          <w:tcPr>
            <w:tcW w:w="287" w:type="pct"/>
            <w:vMerge w:val="restart"/>
            <w:vAlign w:val="center"/>
          </w:tcPr>
          <w:p w14:paraId="4113AC31">
            <w:pPr>
              <w:snapToGrid w:val="0"/>
              <w:jc w:val="center"/>
              <w:rPr>
                <w:rFonts w:hint="eastAsia" w:hAnsi="宋体" w:cs="宋体"/>
                <w:color w:val="000000"/>
                <w:spacing w:val="-10"/>
                <w:sz w:val="21"/>
                <w:szCs w:val="21"/>
              </w:rPr>
            </w:pPr>
            <w:r>
              <w:rPr>
                <w:rFonts w:hint="eastAsia" w:hAnsi="宋体" w:cs="宋体"/>
                <w:color w:val="000000"/>
                <w:spacing w:val="-10"/>
                <w:sz w:val="21"/>
                <w:szCs w:val="21"/>
              </w:rPr>
              <w:t>潜水</w:t>
            </w:r>
          </w:p>
        </w:tc>
        <w:tc>
          <w:tcPr>
            <w:tcW w:w="332" w:type="pct"/>
            <w:vMerge w:val="restart"/>
            <w:vAlign w:val="center"/>
          </w:tcPr>
          <w:p w14:paraId="2A4E6FF0">
            <w:pPr>
              <w:snapToGrid w:val="0"/>
              <w:jc w:val="center"/>
              <w:rPr>
                <w:rFonts w:hint="eastAsia" w:hAnsi="宋体" w:cs="宋体"/>
                <w:color w:val="000000"/>
                <w:spacing w:val="-10"/>
                <w:sz w:val="21"/>
                <w:szCs w:val="21"/>
              </w:rPr>
            </w:pPr>
            <w:r>
              <w:rPr>
                <w:rFonts w:hint="eastAsia" w:hAnsi="宋体" w:cs="宋体"/>
                <w:color w:val="000000"/>
                <w:spacing w:val="-10"/>
                <w:sz w:val="21"/>
                <w:szCs w:val="21"/>
              </w:rPr>
              <w:t>Ⅲ类</w:t>
            </w:r>
          </w:p>
        </w:tc>
        <w:tc>
          <w:tcPr>
            <w:tcW w:w="401" w:type="pct"/>
            <w:vMerge w:val="restart"/>
            <w:vAlign w:val="center"/>
          </w:tcPr>
          <w:p w14:paraId="0FFC8549">
            <w:pPr>
              <w:snapToGrid w:val="0"/>
              <w:jc w:val="center"/>
              <w:rPr>
                <w:rFonts w:hint="eastAsia" w:hAnsi="宋体" w:cs="宋体"/>
                <w:color w:val="000000"/>
                <w:spacing w:val="-10"/>
                <w:sz w:val="21"/>
                <w:szCs w:val="21"/>
              </w:rPr>
            </w:pPr>
            <w:r>
              <w:rPr>
                <w:rFonts w:hint="eastAsia" w:hAnsi="宋体" w:cs="宋体"/>
                <w:color w:val="000000"/>
                <w:spacing w:val="-10"/>
                <w:sz w:val="21"/>
                <w:szCs w:val="21"/>
              </w:rPr>
              <w:t>K</w:t>
            </w:r>
            <w:r>
              <w:rPr>
                <w:rFonts w:hint="eastAsia" w:hAnsi="宋体" w:cs="宋体"/>
                <w:color w:val="000000"/>
                <w:spacing w:val="-10"/>
                <w:sz w:val="21"/>
                <w:szCs w:val="21"/>
                <w:vertAlign w:val="superscript"/>
              </w:rPr>
              <w:t>+</w:t>
            </w:r>
            <w:r>
              <w:rPr>
                <w:rFonts w:hint="eastAsia" w:hAnsi="宋体" w:cs="宋体"/>
                <w:color w:val="000000"/>
                <w:spacing w:val="-10"/>
                <w:sz w:val="21"/>
                <w:szCs w:val="21"/>
              </w:rPr>
              <w:t>、Na</w:t>
            </w:r>
            <w:r>
              <w:rPr>
                <w:rFonts w:hint="eastAsia" w:hAnsi="宋体" w:cs="宋体"/>
                <w:color w:val="000000"/>
                <w:spacing w:val="-10"/>
                <w:sz w:val="21"/>
                <w:szCs w:val="21"/>
                <w:vertAlign w:val="superscript"/>
              </w:rPr>
              <w:t>+</w:t>
            </w:r>
            <w:r>
              <w:rPr>
                <w:rFonts w:hint="eastAsia" w:hAnsi="宋体" w:cs="宋体"/>
                <w:color w:val="000000"/>
                <w:spacing w:val="-10"/>
                <w:sz w:val="21"/>
                <w:szCs w:val="21"/>
              </w:rPr>
              <w:t>、Ca</w:t>
            </w:r>
            <w:r>
              <w:rPr>
                <w:rFonts w:hint="eastAsia" w:hAnsi="宋体" w:cs="宋体"/>
                <w:color w:val="000000"/>
                <w:spacing w:val="-10"/>
                <w:sz w:val="21"/>
                <w:szCs w:val="21"/>
                <w:vertAlign w:val="superscript"/>
              </w:rPr>
              <w:t>2+</w:t>
            </w:r>
            <w:r>
              <w:rPr>
                <w:rFonts w:hint="eastAsia" w:hAnsi="宋体" w:cs="宋体"/>
                <w:color w:val="000000"/>
                <w:spacing w:val="-10"/>
                <w:sz w:val="21"/>
                <w:szCs w:val="21"/>
              </w:rPr>
              <w:t>、Mg</w:t>
            </w:r>
            <w:r>
              <w:rPr>
                <w:rFonts w:hint="eastAsia" w:hAnsi="宋体" w:cs="宋体"/>
                <w:color w:val="000000"/>
                <w:spacing w:val="-10"/>
                <w:sz w:val="21"/>
                <w:szCs w:val="21"/>
                <w:vertAlign w:val="superscript"/>
              </w:rPr>
              <w:t>2+</w:t>
            </w:r>
            <w:r>
              <w:rPr>
                <w:rFonts w:hint="eastAsia" w:hAnsi="宋体" w:cs="宋体"/>
                <w:color w:val="000000"/>
                <w:spacing w:val="-10"/>
                <w:sz w:val="21"/>
                <w:szCs w:val="21"/>
              </w:rPr>
              <w:t>、CO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2-</w:t>
            </w:r>
            <w:r>
              <w:rPr>
                <w:rFonts w:hint="eastAsia" w:hAnsi="宋体" w:cs="宋体"/>
                <w:color w:val="000000"/>
                <w:spacing w:val="-10"/>
                <w:sz w:val="21"/>
                <w:szCs w:val="21"/>
              </w:rPr>
              <w:t>、HCO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w:t>
            </w:r>
            <w:r>
              <w:rPr>
                <w:rFonts w:hint="eastAsia" w:hAnsi="宋体" w:cs="宋体"/>
                <w:color w:val="000000"/>
                <w:spacing w:val="-10"/>
                <w:sz w:val="21"/>
                <w:szCs w:val="21"/>
              </w:rPr>
              <w:t>、Cl</w:t>
            </w:r>
            <w:r>
              <w:rPr>
                <w:rFonts w:hint="eastAsia" w:hAnsi="宋体" w:cs="宋体"/>
                <w:color w:val="000000"/>
                <w:spacing w:val="-10"/>
                <w:sz w:val="21"/>
                <w:szCs w:val="21"/>
                <w:vertAlign w:val="superscript"/>
              </w:rPr>
              <w:t>-</w:t>
            </w:r>
            <w:r>
              <w:rPr>
                <w:rFonts w:hint="eastAsia" w:hAnsi="宋体" w:cs="宋体"/>
                <w:color w:val="000000"/>
                <w:spacing w:val="-10"/>
                <w:sz w:val="21"/>
                <w:szCs w:val="21"/>
              </w:rPr>
              <w:t>、SO</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2-</w:t>
            </w:r>
            <w:r>
              <w:rPr>
                <w:rFonts w:hint="eastAsia" w:hAnsi="宋体" w:cs="宋体"/>
                <w:color w:val="000000"/>
                <w:spacing w:val="-10"/>
                <w:sz w:val="21"/>
                <w:szCs w:val="21"/>
              </w:rPr>
              <w:t>，共计8项</w:t>
            </w:r>
          </w:p>
        </w:tc>
        <w:tc>
          <w:tcPr>
            <w:tcW w:w="1414" w:type="pct"/>
            <w:vMerge w:val="restart"/>
            <w:vAlign w:val="center"/>
          </w:tcPr>
          <w:p w14:paraId="37B1A7DC">
            <w:pPr>
              <w:snapToGrid w:val="0"/>
              <w:jc w:val="center"/>
              <w:rPr>
                <w:rFonts w:hint="eastAsia" w:hAnsi="宋体" w:cs="宋体"/>
                <w:color w:val="000000"/>
                <w:spacing w:val="-10"/>
                <w:sz w:val="21"/>
                <w:szCs w:val="21"/>
              </w:rPr>
            </w:pPr>
            <w:r>
              <w:rPr>
                <w:rFonts w:hint="eastAsia" w:hAnsi="宋体" w:cs="宋体"/>
                <w:color w:val="000000"/>
                <w:spacing w:val="-10"/>
                <w:sz w:val="21"/>
                <w:szCs w:val="21"/>
              </w:rPr>
              <w:t>色、嗅和味、肉眼可见物、pH、总硬度、溶解性总固体、硫酸盐、氯化物、锰、氟化物、铁、锰、铜、锌、铝、挥发性酚类、阴离子表面活性剂、耗氧量、氨氮、硫化物、钠、总大肠菌群、菌落总数、亚硝酸盐、硝酸盐、氰化物、氟化物、碘化物、汞、砷、硒、镉、铬(六价)、铅、三氯甲烷、四氯化碳、苯、甲苯、石油类</w:t>
            </w:r>
          </w:p>
        </w:tc>
      </w:tr>
      <w:tr w14:paraId="7B504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28" w:type="dxa"/>
            <w:right w:w="28" w:type="dxa"/>
          </w:tblCellMar>
        </w:tblPrEx>
        <w:trPr>
          <w:trHeight w:val="454" w:hRule="atLeast"/>
          <w:jc w:val="center"/>
        </w:trPr>
        <w:tc>
          <w:tcPr>
            <w:tcW w:w="231" w:type="pct"/>
            <w:vAlign w:val="center"/>
          </w:tcPr>
          <w:p w14:paraId="5D2E5AF7">
            <w:pPr>
              <w:snapToGrid w:val="0"/>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427" w:type="pct"/>
            <w:vAlign w:val="center"/>
          </w:tcPr>
          <w:p w14:paraId="31D8B3E7">
            <w:pPr>
              <w:snapToGrid w:val="0"/>
              <w:jc w:val="center"/>
              <w:rPr>
                <w:rFonts w:hint="eastAsia" w:hAnsi="宋体" w:cs="宋体"/>
                <w:color w:val="000000"/>
                <w:spacing w:val="-10"/>
                <w:sz w:val="21"/>
                <w:szCs w:val="21"/>
              </w:rPr>
            </w:pPr>
            <w:r>
              <w:rPr>
                <w:rFonts w:hint="eastAsia" w:hAnsi="宋体" w:cs="宋体"/>
                <w:color w:val="000000"/>
                <w:spacing w:val="-10"/>
                <w:sz w:val="21"/>
                <w:szCs w:val="21"/>
              </w:rPr>
              <w:t>2#监测点</w:t>
            </w:r>
          </w:p>
        </w:tc>
        <w:tc>
          <w:tcPr>
            <w:tcW w:w="693" w:type="pct"/>
            <w:vAlign w:val="center"/>
          </w:tcPr>
          <w:p w14:paraId="75585642">
            <w:pPr>
              <w:snapToGrid w:val="0"/>
              <w:jc w:val="center"/>
              <w:rPr>
                <w:rFonts w:hint="eastAsia" w:hAnsi="宋体" w:cs="宋体"/>
                <w:color w:val="000000"/>
                <w:spacing w:val="-10"/>
                <w:sz w:val="21"/>
                <w:szCs w:val="21"/>
              </w:rPr>
            </w:pPr>
            <w:r>
              <w:rPr>
                <w:rFonts w:hint="eastAsia" w:hAnsi="宋体" w:cs="宋体"/>
                <w:color w:val="000000"/>
                <w:spacing w:val="-10"/>
                <w:sz w:val="21"/>
                <w:szCs w:val="21"/>
              </w:rPr>
              <w:t>塔三联南侧1.7km（项目区）</w:t>
            </w:r>
          </w:p>
        </w:tc>
        <w:tc>
          <w:tcPr>
            <w:tcW w:w="1214" w:type="pct"/>
            <w:vAlign w:val="center"/>
          </w:tcPr>
          <w:p w14:paraId="4DA0F151">
            <w:pPr>
              <w:widowControl/>
              <w:snapToGrid w:val="0"/>
              <w:jc w:val="center"/>
              <w:textAlignment w:val="center"/>
              <w:rPr>
                <w:rFonts w:hint="eastAsia" w:hAnsi="宋体" w:cs="宋体"/>
                <w:color w:val="000000"/>
                <w:spacing w:val="-10"/>
                <w:sz w:val="21"/>
                <w:szCs w:val="21"/>
              </w:rPr>
            </w:pPr>
            <w:r>
              <w:rPr>
                <w:rFonts w:hint="eastAsia" w:hAnsi="宋体" w:cs="宋体"/>
                <w:color w:val="000000"/>
                <w:kern w:val="0"/>
                <w:sz w:val="21"/>
                <w:szCs w:val="21"/>
                <w:lang w:bidi="ar"/>
              </w:rPr>
              <w:t>N:39°27′14.480″</w:t>
            </w:r>
            <w:r>
              <w:rPr>
                <w:rFonts w:hint="eastAsia" w:hAnsi="宋体" w:cs="宋体"/>
                <w:color w:val="000000"/>
                <w:kern w:val="0"/>
                <w:sz w:val="21"/>
                <w:szCs w:val="21"/>
                <w:lang w:bidi="ar"/>
              </w:rPr>
              <w:br w:type="textWrapping"/>
            </w:r>
            <w:r>
              <w:rPr>
                <w:rFonts w:hint="eastAsia" w:hAnsi="宋体" w:cs="宋体"/>
                <w:color w:val="000000"/>
                <w:kern w:val="0"/>
                <w:sz w:val="21"/>
                <w:szCs w:val="21"/>
                <w:lang w:bidi="ar"/>
              </w:rPr>
              <w:t>E:83°01′46.628″</w:t>
            </w:r>
          </w:p>
        </w:tc>
        <w:tc>
          <w:tcPr>
            <w:tcW w:w="287" w:type="pct"/>
            <w:vMerge w:val="continue"/>
            <w:vAlign w:val="center"/>
          </w:tcPr>
          <w:p w14:paraId="63DD760B">
            <w:pPr>
              <w:snapToGrid w:val="0"/>
              <w:jc w:val="center"/>
              <w:rPr>
                <w:rFonts w:hint="eastAsia" w:hAnsi="宋体" w:cs="宋体"/>
                <w:color w:val="000000"/>
                <w:spacing w:val="-10"/>
                <w:sz w:val="21"/>
                <w:szCs w:val="21"/>
              </w:rPr>
            </w:pPr>
          </w:p>
        </w:tc>
        <w:tc>
          <w:tcPr>
            <w:tcW w:w="332" w:type="pct"/>
            <w:vMerge w:val="continue"/>
            <w:vAlign w:val="center"/>
          </w:tcPr>
          <w:p w14:paraId="3857B5E6">
            <w:pPr>
              <w:snapToGrid w:val="0"/>
              <w:jc w:val="center"/>
              <w:rPr>
                <w:rFonts w:hint="eastAsia" w:hAnsi="宋体" w:cs="宋体"/>
                <w:color w:val="000000"/>
                <w:spacing w:val="-10"/>
                <w:sz w:val="21"/>
                <w:szCs w:val="21"/>
              </w:rPr>
            </w:pPr>
          </w:p>
        </w:tc>
        <w:tc>
          <w:tcPr>
            <w:tcW w:w="401" w:type="pct"/>
            <w:vMerge w:val="continue"/>
            <w:vAlign w:val="center"/>
          </w:tcPr>
          <w:p w14:paraId="4F9C134D">
            <w:pPr>
              <w:snapToGrid w:val="0"/>
              <w:jc w:val="center"/>
              <w:rPr>
                <w:rFonts w:hint="eastAsia" w:hAnsi="宋体" w:cs="宋体"/>
                <w:color w:val="000000"/>
                <w:spacing w:val="-10"/>
                <w:sz w:val="21"/>
                <w:szCs w:val="21"/>
              </w:rPr>
            </w:pPr>
          </w:p>
        </w:tc>
        <w:tc>
          <w:tcPr>
            <w:tcW w:w="1414" w:type="pct"/>
            <w:vMerge w:val="continue"/>
            <w:vAlign w:val="center"/>
          </w:tcPr>
          <w:p w14:paraId="3E925656">
            <w:pPr>
              <w:snapToGrid w:val="0"/>
              <w:jc w:val="center"/>
              <w:rPr>
                <w:rFonts w:hint="eastAsia" w:hAnsi="宋体" w:cs="宋体"/>
                <w:color w:val="000000"/>
                <w:spacing w:val="-10"/>
                <w:sz w:val="21"/>
                <w:szCs w:val="21"/>
              </w:rPr>
            </w:pPr>
          </w:p>
        </w:tc>
      </w:tr>
      <w:tr w14:paraId="5F648F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28" w:type="dxa"/>
            <w:right w:w="28" w:type="dxa"/>
          </w:tblCellMar>
        </w:tblPrEx>
        <w:trPr>
          <w:trHeight w:val="454" w:hRule="atLeast"/>
          <w:jc w:val="center"/>
        </w:trPr>
        <w:tc>
          <w:tcPr>
            <w:tcW w:w="231" w:type="pct"/>
            <w:vAlign w:val="center"/>
          </w:tcPr>
          <w:p w14:paraId="5ACFE0CA">
            <w:pPr>
              <w:snapToGrid w:val="0"/>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427" w:type="pct"/>
            <w:vAlign w:val="center"/>
          </w:tcPr>
          <w:p w14:paraId="57B84664">
            <w:pPr>
              <w:snapToGrid w:val="0"/>
              <w:jc w:val="center"/>
              <w:rPr>
                <w:rFonts w:hint="eastAsia" w:hAnsi="宋体" w:cs="宋体"/>
                <w:color w:val="000000"/>
                <w:spacing w:val="-10"/>
                <w:sz w:val="21"/>
                <w:szCs w:val="21"/>
              </w:rPr>
            </w:pPr>
            <w:r>
              <w:rPr>
                <w:rFonts w:hint="eastAsia" w:hAnsi="宋体" w:cs="宋体"/>
                <w:color w:val="000000"/>
                <w:spacing w:val="-10"/>
                <w:sz w:val="21"/>
                <w:szCs w:val="21"/>
              </w:rPr>
              <w:t>3#监测点</w:t>
            </w:r>
          </w:p>
        </w:tc>
        <w:tc>
          <w:tcPr>
            <w:tcW w:w="693" w:type="pct"/>
            <w:vAlign w:val="center"/>
          </w:tcPr>
          <w:p w14:paraId="557EDCE1">
            <w:pPr>
              <w:snapToGrid w:val="0"/>
              <w:jc w:val="center"/>
              <w:rPr>
                <w:rFonts w:hint="eastAsia" w:hAnsi="宋体" w:cs="宋体"/>
                <w:color w:val="000000"/>
                <w:spacing w:val="-10"/>
                <w:sz w:val="21"/>
                <w:szCs w:val="21"/>
              </w:rPr>
            </w:pPr>
            <w:r>
              <w:rPr>
                <w:rFonts w:hint="eastAsia" w:hAnsi="宋体" w:cs="宋体"/>
                <w:color w:val="000000"/>
                <w:spacing w:val="-10"/>
                <w:sz w:val="21"/>
                <w:szCs w:val="21"/>
              </w:rPr>
              <w:t>项目区南侧2.7km（下游）</w:t>
            </w:r>
          </w:p>
        </w:tc>
        <w:tc>
          <w:tcPr>
            <w:tcW w:w="1214" w:type="pct"/>
            <w:vAlign w:val="center"/>
          </w:tcPr>
          <w:p w14:paraId="5F9AF960">
            <w:pPr>
              <w:widowControl/>
              <w:snapToGrid w:val="0"/>
              <w:jc w:val="center"/>
              <w:textAlignment w:val="center"/>
              <w:rPr>
                <w:rFonts w:hint="eastAsia" w:hAnsi="宋体" w:cs="宋体"/>
                <w:color w:val="000000"/>
                <w:spacing w:val="-10"/>
                <w:sz w:val="21"/>
                <w:szCs w:val="21"/>
              </w:rPr>
            </w:pPr>
            <w:r>
              <w:rPr>
                <w:rFonts w:hint="eastAsia" w:hAnsi="宋体" w:cs="宋体"/>
                <w:color w:val="000000"/>
                <w:kern w:val="0"/>
                <w:sz w:val="21"/>
                <w:szCs w:val="21"/>
                <w:lang w:bidi="ar"/>
              </w:rPr>
              <w:t>N:39°29′37.193″</w:t>
            </w:r>
            <w:r>
              <w:rPr>
                <w:rFonts w:hint="eastAsia" w:hAnsi="宋体" w:cs="宋体"/>
                <w:color w:val="000000"/>
                <w:kern w:val="0"/>
                <w:sz w:val="21"/>
                <w:szCs w:val="21"/>
                <w:lang w:bidi="ar"/>
              </w:rPr>
              <w:br w:type="textWrapping"/>
            </w:r>
            <w:r>
              <w:rPr>
                <w:rFonts w:hint="eastAsia" w:hAnsi="宋体" w:cs="宋体"/>
                <w:color w:val="000000"/>
                <w:kern w:val="0"/>
                <w:sz w:val="21"/>
                <w:szCs w:val="21"/>
                <w:lang w:bidi="ar"/>
              </w:rPr>
              <w:t>E:83°01′08.060″</w:t>
            </w:r>
          </w:p>
        </w:tc>
        <w:tc>
          <w:tcPr>
            <w:tcW w:w="287" w:type="pct"/>
            <w:vMerge w:val="continue"/>
            <w:vAlign w:val="center"/>
          </w:tcPr>
          <w:p w14:paraId="04467F79">
            <w:pPr>
              <w:snapToGrid w:val="0"/>
              <w:jc w:val="center"/>
              <w:rPr>
                <w:rFonts w:hint="eastAsia" w:hAnsi="宋体" w:cs="宋体"/>
                <w:color w:val="000000"/>
                <w:spacing w:val="-10"/>
                <w:sz w:val="21"/>
                <w:szCs w:val="21"/>
              </w:rPr>
            </w:pPr>
          </w:p>
        </w:tc>
        <w:tc>
          <w:tcPr>
            <w:tcW w:w="332" w:type="pct"/>
            <w:vMerge w:val="continue"/>
            <w:vAlign w:val="center"/>
          </w:tcPr>
          <w:p w14:paraId="05AE6F46">
            <w:pPr>
              <w:snapToGrid w:val="0"/>
              <w:jc w:val="center"/>
              <w:rPr>
                <w:rFonts w:hint="eastAsia" w:hAnsi="宋体" w:cs="宋体"/>
                <w:color w:val="000000"/>
                <w:spacing w:val="-10"/>
                <w:sz w:val="21"/>
                <w:szCs w:val="21"/>
              </w:rPr>
            </w:pPr>
          </w:p>
        </w:tc>
        <w:tc>
          <w:tcPr>
            <w:tcW w:w="401" w:type="pct"/>
            <w:vMerge w:val="continue"/>
            <w:vAlign w:val="center"/>
          </w:tcPr>
          <w:p w14:paraId="363AE0C4">
            <w:pPr>
              <w:snapToGrid w:val="0"/>
              <w:jc w:val="center"/>
              <w:rPr>
                <w:rFonts w:hint="eastAsia" w:hAnsi="宋体" w:cs="宋体"/>
                <w:color w:val="000000"/>
                <w:spacing w:val="-10"/>
                <w:sz w:val="21"/>
                <w:szCs w:val="21"/>
              </w:rPr>
            </w:pPr>
          </w:p>
        </w:tc>
        <w:tc>
          <w:tcPr>
            <w:tcW w:w="1414" w:type="pct"/>
            <w:vMerge w:val="continue"/>
            <w:vAlign w:val="center"/>
          </w:tcPr>
          <w:p w14:paraId="0B17825E">
            <w:pPr>
              <w:snapToGrid w:val="0"/>
              <w:jc w:val="center"/>
              <w:rPr>
                <w:rFonts w:hint="eastAsia" w:hAnsi="宋体" w:cs="宋体"/>
                <w:color w:val="000000"/>
                <w:spacing w:val="-10"/>
                <w:sz w:val="21"/>
                <w:szCs w:val="21"/>
              </w:rPr>
            </w:pPr>
          </w:p>
        </w:tc>
      </w:tr>
    </w:tbl>
    <w:p w14:paraId="2BF8A64B">
      <w:pPr>
        <w:spacing w:before="240" w:line="460" w:lineRule="exact"/>
        <w:ind w:firstLine="526" w:firstLineChars="200"/>
        <w:rPr>
          <w:rFonts w:hAnsi="宋体"/>
          <w:color w:val="000000"/>
          <w:szCs w:val="24"/>
        </w:rPr>
      </w:pPr>
      <w:r>
        <w:rPr>
          <w:rFonts w:hint="eastAsia" w:hAnsi="宋体"/>
          <w:color w:val="000000"/>
          <w:szCs w:val="24"/>
        </w:rPr>
        <w:t>（2）监测时间及频率</w:t>
      </w:r>
    </w:p>
    <w:p w14:paraId="7AD424C6">
      <w:pPr>
        <w:spacing w:line="460" w:lineRule="exact"/>
        <w:ind w:firstLine="526" w:firstLineChars="200"/>
        <w:rPr>
          <w:rFonts w:hAnsi="宋体"/>
          <w:color w:val="000000"/>
          <w:szCs w:val="24"/>
        </w:rPr>
      </w:pPr>
      <w:r>
        <w:rPr>
          <w:rFonts w:hint="eastAsia" w:hAnsi="宋体"/>
          <w:color w:val="000000"/>
          <w:szCs w:val="24"/>
        </w:rPr>
        <w:t>引用</w:t>
      </w:r>
      <w:r>
        <w:rPr>
          <w:rFonts w:hint="eastAsia" w:hAnsi="宋体"/>
          <w:color w:val="000000"/>
        </w:rPr>
        <w:t>监测点监测时间为</w:t>
      </w:r>
      <w:r>
        <w:rPr>
          <w:rFonts w:hint="eastAsia" w:hAnsi="宋体" w:cs="宋体"/>
          <w:color w:val="000000"/>
          <w:kern w:val="0"/>
        </w:rPr>
        <w:t>2024年10月31日</w:t>
      </w:r>
      <w:r>
        <w:rPr>
          <w:rFonts w:hint="eastAsia" w:hAnsi="宋体"/>
          <w:color w:val="000000"/>
          <w:szCs w:val="24"/>
        </w:rPr>
        <w:t>，监测1天，采样1次。</w:t>
      </w:r>
    </w:p>
    <w:p w14:paraId="698002BE">
      <w:pPr>
        <w:spacing w:line="460" w:lineRule="exact"/>
        <w:ind w:firstLine="526" w:firstLineChars="200"/>
        <w:rPr>
          <w:rFonts w:hAnsi="宋体"/>
          <w:color w:val="000000"/>
          <w:kern w:val="0"/>
          <w:szCs w:val="24"/>
        </w:rPr>
      </w:pPr>
      <w:r>
        <w:rPr>
          <w:rFonts w:hint="eastAsia" w:hAnsi="宋体"/>
          <w:color w:val="000000"/>
          <w:szCs w:val="24"/>
        </w:rPr>
        <w:t>（3）监测及分析方法</w:t>
      </w:r>
    </w:p>
    <w:p w14:paraId="6E691DD3">
      <w:pPr>
        <w:spacing w:line="460" w:lineRule="exact"/>
        <w:ind w:firstLine="526" w:firstLineChars="200"/>
        <w:rPr>
          <w:rFonts w:hint="eastAsia" w:hAnsi="宋体" w:cs="宋体"/>
          <w:color w:val="000000"/>
          <w:szCs w:val="24"/>
        </w:rPr>
      </w:pPr>
      <w:r>
        <w:rPr>
          <w:rFonts w:hint="eastAsia" w:hAnsi="宋体"/>
          <w:color w:val="000000"/>
          <w:szCs w:val="24"/>
        </w:rPr>
        <w:t>采样按照《环境影响评价技术导则 地下水环境》（HJ610-2016）执行，监测分析方法按照《地下水环境监测技术规范》（HJ164-2020）、《地下水质量标准》（GB/T14848-2017）、《环境水质监测质量保证手册》（第二版）有关标准和规范执行，并给出各监测因子的分析方法及其检出浓度。</w:t>
      </w:r>
    </w:p>
    <w:p w14:paraId="4A9CF711">
      <w:pPr>
        <w:spacing w:line="460" w:lineRule="exact"/>
        <w:ind w:firstLine="257" w:firstLineChars="98"/>
        <w:rPr>
          <w:rFonts w:hint="eastAsia" w:ascii="黑体" w:hAnsi="黑体" w:eastAsia="黑体" w:cs="宋体"/>
          <w:color w:val="000000"/>
          <w:szCs w:val="24"/>
          <w:lang w:val="zh-CN"/>
        </w:rPr>
      </w:pPr>
      <w:r>
        <w:rPr>
          <w:rFonts w:hint="eastAsia" w:ascii="黑体" w:hAnsi="黑体" w:eastAsia="黑体" w:cs="宋体"/>
          <w:color w:val="000000"/>
          <w:szCs w:val="24"/>
        </w:rPr>
        <w:t xml:space="preserve">表4.3-2 </w:t>
      </w:r>
      <w:r>
        <w:rPr>
          <w:rFonts w:hint="eastAsia" w:ascii="黑体" w:hAnsi="黑体" w:eastAsia="黑体" w:cs="黑体"/>
          <w:color w:val="000000"/>
          <w:szCs w:val="24"/>
          <w:lang w:val="zh-CN"/>
        </w:rPr>
        <w:t>地下水各监测因子分析方法和检出限一览表</w:t>
      </w:r>
      <w:r>
        <w:rPr>
          <w:rFonts w:hint="eastAsia" w:ascii="黑体" w:hAnsi="黑体" w:eastAsia="黑体" w:cs="黑体"/>
          <w:color w:val="000000"/>
          <w:szCs w:val="24"/>
        </w:rPr>
        <w:t xml:space="preserve"> </w:t>
      </w:r>
      <w:r>
        <w:rPr>
          <w:rFonts w:hint="eastAsia" w:ascii="黑体" w:hAnsi="黑体" w:eastAsia="黑体" w:cs="宋体"/>
          <w:color w:val="000000"/>
          <w:szCs w:val="24"/>
          <w:lang w:val="zh-CN"/>
        </w:rPr>
        <w:t>单位：mg/L（pH除外）</w:t>
      </w:r>
    </w:p>
    <w:tbl>
      <w:tblPr>
        <w:tblStyle w:val="48"/>
        <w:tblW w:w="499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6" w:type="dxa"/>
          <w:left w:w="28" w:type="dxa"/>
          <w:bottom w:w="6" w:type="dxa"/>
          <w:right w:w="28" w:type="dxa"/>
        </w:tblCellMar>
      </w:tblPr>
      <w:tblGrid>
        <w:gridCol w:w="689"/>
        <w:gridCol w:w="1276"/>
        <w:gridCol w:w="5512"/>
        <w:gridCol w:w="1524"/>
      </w:tblGrid>
      <w:tr w14:paraId="775364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58EAB45D">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709" w:type="pct"/>
            <w:vAlign w:val="center"/>
          </w:tcPr>
          <w:p w14:paraId="6616AB08">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监测因子</w:t>
            </w:r>
          </w:p>
        </w:tc>
        <w:tc>
          <w:tcPr>
            <w:tcW w:w="3062" w:type="pct"/>
            <w:vAlign w:val="center"/>
          </w:tcPr>
          <w:p w14:paraId="477709D9">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检  测  方  法</w:t>
            </w:r>
          </w:p>
        </w:tc>
        <w:tc>
          <w:tcPr>
            <w:tcW w:w="846" w:type="pct"/>
            <w:vAlign w:val="center"/>
          </w:tcPr>
          <w:p w14:paraId="32219E29">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最低检出浓度</w:t>
            </w:r>
          </w:p>
        </w:tc>
      </w:tr>
      <w:tr w14:paraId="5914A4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4D058CB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709" w:type="pct"/>
            <w:vAlign w:val="center"/>
          </w:tcPr>
          <w:p w14:paraId="5474A51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色度</w:t>
            </w:r>
          </w:p>
        </w:tc>
        <w:tc>
          <w:tcPr>
            <w:tcW w:w="3062" w:type="pct"/>
            <w:vAlign w:val="center"/>
          </w:tcPr>
          <w:p w14:paraId="1C6B9EE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第4部分：感官性状和物理指标》（GB/T 5750.4-2023）</w:t>
            </w:r>
          </w:p>
        </w:tc>
        <w:tc>
          <w:tcPr>
            <w:tcW w:w="846" w:type="pct"/>
            <w:vAlign w:val="center"/>
          </w:tcPr>
          <w:p w14:paraId="78D5327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5 度</w:t>
            </w:r>
          </w:p>
        </w:tc>
      </w:tr>
      <w:tr w14:paraId="73F642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6D5439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709" w:type="pct"/>
            <w:vAlign w:val="center"/>
          </w:tcPr>
          <w:p w14:paraId="015F62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嗅和味</w:t>
            </w:r>
          </w:p>
        </w:tc>
        <w:tc>
          <w:tcPr>
            <w:tcW w:w="3062" w:type="pct"/>
            <w:vAlign w:val="center"/>
          </w:tcPr>
          <w:p w14:paraId="7187F84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第4部分：感官性状和物理指标》（GB/T 5750.4-2023）6.1嗅气和尝味法</w:t>
            </w:r>
          </w:p>
        </w:tc>
        <w:tc>
          <w:tcPr>
            <w:tcW w:w="846" w:type="pct"/>
            <w:vAlign w:val="center"/>
          </w:tcPr>
          <w:p w14:paraId="2AA3AC5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w:t>
            </w:r>
          </w:p>
        </w:tc>
      </w:tr>
      <w:tr w14:paraId="7D8574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6461A04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709" w:type="pct"/>
            <w:vAlign w:val="center"/>
          </w:tcPr>
          <w:p w14:paraId="1779F5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肉眼可见物</w:t>
            </w:r>
          </w:p>
        </w:tc>
        <w:tc>
          <w:tcPr>
            <w:tcW w:w="3062" w:type="pct"/>
            <w:vAlign w:val="center"/>
          </w:tcPr>
          <w:p w14:paraId="0C50173A">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第4部分：感官性状和物理指标》（GB/T 5750.4-2023）</w:t>
            </w:r>
          </w:p>
        </w:tc>
        <w:tc>
          <w:tcPr>
            <w:tcW w:w="846" w:type="pct"/>
            <w:vAlign w:val="center"/>
          </w:tcPr>
          <w:p w14:paraId="541F022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w:t>
            </w:r>
          </w:p>
        </w:tc>
      </w:tr>
      <w:tr w14:paraId="4622E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03D6EAB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709" w:type="pct"/>
            <w:vAlign w:val="center"/>
          </w:tcPr>
          <w:p w14:paraId="545E4F5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pH值</w:t>
            </w:r>
          </w:p>
        </w:tc>
        <w:tc>
          <w:tcPr>
            <w:tcW w:w="3062" w:type="pct"/>
            <w:vAlign w:val="center"/>
          </w:tcPr>
          <w:p w14:paraId="2255038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《水质 pH值的测定 电极法》（HJ 1147-2020）</w:t>
            </w:r>
          </w:p>
        </w:tc>
        <w:tc>
          <w:tcPr>
            <w:tcW w:w="846" w:type="pct"/>
            <w:vAlign w:val="center"/>
          </w:tcPr>
          <w:p w14:paraId="511D6D8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w:t>
            </w:r>
          </w:p>
        </w:tc>
      </w:tr>
      <w:tr w14:paraId="34D4AD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25B6AD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w:t>
            </w:r>
          </w:p>
        </w:tc>
        <w:tc>
          <w:tcPr>
            <w:tcW w:w="709" w:type="pct"/>
            <w:vAlign w:val="center"/>
          </w:tcPr>
          <w:p w14:paraId="440FB3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耗氧量</w:t>
            </w:r>
          </w:p>
        </w:tc>
        <w:tc>
          <w:tcPr>
            <w:tcW w:w="3062" w:type="pct"/>
            <w:vAlign w:val="center"/>
          </w:tcPr>
          <w:p w14:paraId="688507D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第7部分：有机物综合指标》</w:t>
            </w:r>
          </w:p>
          <w:p w14:paraId="40DA4F8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（GB/T 5750.7-2023）</w:t>
            </w:r>
          </w:p>
        </w:tc>
        <w:tc>
          <w:tcPr>
            <w:tcW w:w="846" w:type="pct"/>
            <w:vAlign w:val="center"/>
          </w:tcPr>
          <w:p w14:paraId="33D27F7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0.05 mg/L</w:t>
            </w:r>
          </w:p>
        </w:tc>
      </w:tr>
      <w:tr w14:paraId="6BF550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0D3589A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w:t>
            </w:r>
          </w:p>
        </w:tc>
        <w:tc>
          <w:tcPr>
            <w:tcW w:w="709" w:type="pct"/>
            <w:vAlign w:val="center"/>
          </w:tcPr>
          <w:p w14:paraId="5A277BC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硝酸盐氮</w:t>
            </w:r>
          </w:p>
        </w:tc>
        <w:tc>
          <w:tcPr>
            <w:tcW w:w="3062" w:type="pct"/>
            <w:vAlign w:val="center"/>
          </w:tcPr>
          <w:p w14:paraId="093E25B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《水质 硝酸盐氮的测定 紫外分光光度法（试行）》</w:t>
            </w:r>
          </w:p>
          <w:p w14:paraId="10C4506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（HJ/T 346-2007）</w:t>
            </w:r>
          </w:p>
        </w:tc>
        <w:tc>
          <w:tcPr>
            <w:tcW w:w="846" w:type="pct"/>
            <w:vAlign w:val="center"/>
          </w:tcPr>
          <w:p w14:paraId="1A7B421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0.08 mg/L</w:t>
            </w:r>
          </w:p>
        </w:tc>
      </w:tr>
      <w:tr w14:paraId="0826B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3" w:type="pct"/>
            <w:vAlign w:val="center"/>
          </w:tcPr>
          <w:p w14:paraId="1062D59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w:t>
            </w:r>
          </w:p>
        </w:tc>
        <w:tc>
          <w:tcPr>
            <w:tcW w:w="709" w:type="pct"/>
            <w:vAlign w:val="center"/>
          </w:tcPr>
          <w:p w14:paraId="09A5C6C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氨氮</w:t>
            </w:r>
          </w:p>
        </w:tc>
        <w:tc>
          <w:tcPr>
            <w:tcW w:w="3062" w:type="pct"/>
            <w:vAlign w:val="center"/>
          </w:tcPr>
          <w:p w14:paraId="57AC768A">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氨氮的测定 纳氏试剂分光光度法》（HJ 535-2009）</w:t>
            </w:r>
          </w:p>
        </w:tc>
        <w:tc>
          <w:tcPr>
            <w:tcW w:w="846" w:type="pct"/>
            <w:vAlign w:val="center"/>
          </w:tcPr>
          <w:p w14:paraId="7EF6426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0.025 mg/L</w:t>
            </w:r>
          </w:p>
        </w:tc>
      </w:tr>
    </w:tbl>
    <w:p w14:paraId="6AB545B5">
      <w:pPr>
        <w:rPr>
          <w:rFonts w:hint="eastAsia" w:ascii="黑体" w:hAnsi="黑体" w:eastAsia="黑体" w:cs="宋体"/>
          <w:color w:val="000000"/>
          <w:szCs w:val="24"/>
          <w:lang w:val="zh-CN"/>
        </w:rPr>
      </w:pPr>
      <w:r>
        <w:rPr>
          <w:rFonts w:hint="eastAsia" w:ascii="黑体" w:hAnsi="黑体" w:eastAsia="黑体" w:cs="宋体"/>
          <w:color w:val="000000"/>
          <w:szCs w:val="24"/>
        </w:rPr>
        <w:t xml:space="preserve">续表4.3-2 </w:t>
      </w:r>
      <w:r>
        <w:rPr>
          <w:rFonts w:hint="eastAsia" w:ascii="黑体" w:hAnsi="黑体" w:eastAsia="黑体" w:cs="黑体"/>
          <w:color w:val="000000"/>
          <w:szCs w:val="24"/>
          <w:lang w:val="zh-CN"/>
        </w:rPr>
        <w:t>地下水各监测因子分析方法和检出限一览表</w:t>
      </w:r>
      <w:r>
        <w:rPr>
          <w:rFonts w:hint="eastAsia" w:ascii="黑体" w:hAnsi="黑体" w:eastAsia="黑体" w:cs="黑体"/>
          <w:color w:val="000000"/>
          <w:szCs w:val="24"/>
        </w:rPr>
        <w:t xml:space="preserve"> </w:t>
      </w:r>
      <w:r>
        <w:rPr>
          <w:rFonts w:hint="eastAsia" w:ascii="黑体" w:hAnsi="黑体" w:eastAsia="黑体" w:cs="宋体"/>
          <w:color w:val="000000"/>
          <w:szCs w:val="24"/>
          <w:lang w:val="zh-CN"/>
        </w:rPr>
        <w:t>单位：mg/L（pH除外）</w:t>
      </w:r>
    </w:p>
    <w:tbl>
      <w:tblPr>
        <w:tblStyle w:val="48"/>
        <w:tblW w:w="49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6" w:type="dxa"/>
          <w:left w:w="28" w:type="dxa"/>
          <w:bottom w:w="6" w:type="dxa"/>
          <w:right w:w="28" w:type="dxa"/>
        </w:tblCellMar>
      </w:tblPr>
      <w:tblGrid>
        <w:gridCol w:w="691"/>
        <w:gridCol w:w="1278"/>
        <w:gridCol w:w="5513"/>
        <w:gridCol w:w="1520"/>
      </w:tblGrid>
      <w:tr w14:paraId="4D6AC3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518BBCE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710" w:type="pct"/>
            <w:vAlign w:val="center"/>
          </w:tcPr>
          <w:p w14:paraId="00DBA515">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监测因子</w:t>
            </w:r>
          </w:p>
        </w:tc>
        <w:tc>
          <w:tcPr>
            <w:tcW w:w="3062" w:type="pct"/>
            <w:vAlign w:val="center"/>
          </w:tcPr>
          <w:p w14:paraId="5639269A">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检  测  方  法</w:t>
            </w:r>
          </w:p>
        </w:tc>
        <w:tc>
          <w:tcPr>
            <w:tcW w:w="844" w:type="pct"/>
            <w:vAlign w:val="center"/>
          </w:tcPr>
          <w:p w14:paraId="3A6C26D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最低检出浓度</w:t>
            </w:r>
          </w:p>
        </w:tc>
      </w:tr>
      <w:tr w14:paraId="10E9FF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0C572FA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710" w:type="pct"/>
            <w:vAlign w:val="center"/>
          </w:tcPr>
          <w:p w14:paraId="1BF12C7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亚硝酸盐氮</w:t>
            </w:r>
          </w:p>
        </w:tc>
        <w:tc>
          <w:tcPr>
            <w:tcW w:w="3062" w:type="pct"/>
            <w:vAlign w:val="center"/>
          </w:tcPr>
          <w:p w14:paraId="6D28A34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亚硝酸盐氮的测定 分光光度法》（GB 7493-87）</w:t>
            </w:r>
          </w:p>
        </w:tc>
        <w:tc>
          <w:tcPr>
            <w:tcW w:w="844" w:type="pct"/>
            <w:vAlign w:val="center"/>
          </w:tcPr>
          <w:p w14:paraId="3925105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0.003 mg/L</w:t>
            </w:r>
          </w:p>
        </w:tc>
      </w:tr>
      <w:tr w14:paraId="4AD35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04A4B75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710" w:type="pct"/>
            <w:vAlign w:val="center"/>
          </w:tcPr>
          <w:p w14:paraId="622E48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氟化物</w:t>
            </w:r>
          </w:p>
        </w:tc>
        <w:tc>
          <w:tcPr>
            <w:tcW w:w="3062" w:type="pct"/>
            <w:vAlign w:val="center"/>
          </w:tcPr>
          <w:p w14:paraId="42E9EC3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氟化物的测定 离子选择电极法》（GB 7484-87）</w:t>
            </w:r>
          </w:p>
        </w:tc>
        <w:tc>
          <w:tcPr>
            <w:tcW w:w="844" w:type="pct"/>
            <w:vAlign w:val="center"/>
          </w:tcPr>
          <w:p w14:paraId="06548F8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0.05 mg/L</w:t>
            </w:r>
          </w:p>
        </w:tc>
      </w:tr>
      <w:tr w14:paraId="7C4309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36466D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w:t>
            </w:r>
          </w:p>
        </w:tc>
        <w:tc>
          <w:tcPr>
            <w:tcW w:w="710" w:type="pct"/>
            <w:vAlign w:val="center"/>
          </w:tcPr>
          <w:p w14:paraId="086AA60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溶解性</w:t>
            </w:r>
          </w:p>
          <w:p w14:paraId="3CB076A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总固体</w:t>
            </w:r>
          </w:p>
        </w:tc>
        <w:tc>
          <w:tcPr>
            <w:tcW w:w="3062" w:type="pct"/>
            <w:vAlign w:val="center"/>
          </w:tcPr>
          <w:p w14:paraId="3FFBA51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第4部分：感官性状和物理指标》（GB/T 5750.4-2023）</w:t>
            </w:r>
          </w:p>
        </w:tc>
        <w:tc>
          <w:tcPr>
            <w:tcW w:w="844" w:type="pct"/>
            <w:vAlign w:val="center"/>
          </w:tcPr>
          <w:p w14:paraId="1342F1A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w:t>
            </w:r>
          </w:p>
        </w:tc>
      </w:tr>
      <w:tr w14:paraId="4BD0F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746AC6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w:t>
            </w:r>
          </w:p>
        </w:tc>
        <w:tc>
          <w:tcPr>
            <w:tcW w:w="710" w:type="pct"/>
            <w:vAlign w:val="center"/>
          </w:tcPr>
          <w:p w14:paraId="675229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挥发酚</w:t>
            </w:r>
          </w:p>
        </w:tc>
        <w:tc>
          <w:tcPr>
            <w:tcW w:w="3062" w:type="pct"/>
            <w:vAlign w:val="center"/>
          </w:tcPr>
          <w:p w14:paraId="59BE582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《水质 挥发酚的测定 4-氨基安替比林分光光度法》</w:t>
            </w:r>
          </w:p>
          <w:p w14:paraId="16D1EEE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（HJ 503-2009）</w:t>
            </w:r>
          </w:p>
        </w:tc>
        <w:tc>
          <w:tcPr>
            <w:tcW w:w="844" w:type="pct"/>
            <w:vAlign w:val="center"/>
          </w:tcPr>
          <w:p w14:paraId="15E661C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0.0003 mg/L</w:t>
            </w:r>
          </w:p>
        </w:tc>
      </w:tr>
      <w:tr w14:paraId="3AD1C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5400AD7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w:t>
            </w:r>
          </w:p>
        </w:tc>
        <w:tc>
          <w:tcPr>
            <w:tcW w:w="710" w:type="pct"/>
            <w:vAlign w:val="center"/>
          </w:tcPr>
          <w:p w14:paraId="5E7CEA7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阴离子表面</w:t>
            </w:r>
          </w:p>
          <w:p w14:paraId="4141BD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活性剂</w:t>
            </w:r>
          </w:p>
        </w:tc>
        <w:tc>
          <w:tcPr>
            <w:tcW w:w="3062" w:type="pct"/>
            <w:vAlign w:val="center"/>
          </w:tcPr>
          <w:p w14:paraId="17EAC60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《生活饮用水标准检验方法 感官性状和物理指标》</w:t>
            </w:r>
          </w:p>
          <w:p w14:paraId="4CB5B0A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（GB/T 5750.4-2006）10.1亚甲蓝分光光度法</w:t>
            </w:r>
          </w:p>
        </w:tc>
        <w:tc>
          <w:tcPr>
            <w:tcW w:w="844" w:type="pct"/>
            <w:vAlign w:val="center"/>
          </w:tcPr>
          <w:p w14:paraId="43705D7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0.050 mg/L</w:t>
            </w:r>
          </w:p>
        </w:tc>
      </w:tr>
      <w:tr w14:paraId="1858B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4195FEB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14</w:t>
            </w:r>
          </w:p>
        </w:tc>
        <w:tc>
          <w:tcPr>
            <w:tcW w:w="710" w:type="pct"/>
            <w:vAlign w:val="center"/>
          </w:tcPr>
          <w:p w14:paraId="69B431C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硫化物</w:t>
            </w:r>
          </w:p>
        </w:tc>
        <w:tc>
          <w:tcPr>
            <w:tcW w:w="3062" w:type="pct"/>
            <w:vAlign w:val="center"/>
          </w:tcPr>
          <w:p w14:paraId="7BF2EB0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《水质 硫化物的测定 亚甲基蓝分光光度法》（HJ 1226-2021）</w:t>
            </w:r>
          </w:p>
        </w:tc>
        <w:tc>
          <w:tcPr>
            <w:tcW w:w="844" w:type="pct"/>
            <w:vAlign w:val="center"/>
          </w:tcPr>
          <w:p w14:paraId="788FA72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0.01 mg/L</w:t>
            </w:r>
          </w:p>
        </w:tc>
      </w:tr>
      <w:tr w14:paraId="58380A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0B26F2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710" w:type="pct"/>
            <w:vAlign w:val="center"/>
          </w:tcPr>
          <w:p w14:paraId="0606D3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碘化物</w:t>
            </w:r>
          </w:p>
        </w:tc>
        <w:tc>
          <w:tcPr>
            <w:tcW w:w="3062" w:type="pct"/>
            <w:vAlign w:val="center"/>
          </w:tcPr>
          <w:p w14:paraId="0B5DEF4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《地下水质分析方法 第56部分：碘化物的测定 淀粉分光光度法》（DZ/T 0064.56-2021）</w:t>
            </w:r>
          </w:p>
        </w:tc>
        <w:tc>
          <w:tcPr>
            <w:tcW w:w="844" w:type="pct"/>
            <w:vAlign w:val="center"/>
          </w:tcPr>
          <w:p w14:paraId="7FE7702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0.025 mg/L</w:t>
            </w:r>
          </w:p>
        </w:tc>
      </w:tr>
      <w:tr w14:paraId="2A938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6825D10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16</w:t>
            </w:r>
          </w:p>
        </w:tc>
        <w:tc>
          <w:tcPr>
            <w:tcW w:w="710" w:type="pct"/>
            <w:vAlign w:val="center"/>
          </w:tcPr>
          <w:p w14:paraId="16A1ECE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氰化物</w:t>
            </w:r>
          </w:p>
        </w:tc>
        <w:tc>
          <w:tcPr>
            <w:tcW w:w="3062" w:type="pct"/>
            <w:vAlign w:val="center"/>
          </w:tcPr>
          <w:p w14:paraId="01A9287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第5部分：无机非金属指标》（GB/T 5750.5-2023）7.1 异烟酸-吡唑啉酮分光光度法</w:t>
            </w:r>
          </w:p>
        </w:tc>
        <w:tc>
          <w:tcPr>
            <w:tcW w:w="844" w:type="pct"/>
            <w:vAlign w:val="center"/>
          </w:tcPr>
          <w:p w14:paraId="691FE50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0.002 mg/L</w:t>
            </w:r>
          </w:p>
        </w:tc>
      </w:tr>
      <w:tr w14:paraId="146DB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70BBCAE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17</w:t>
            </w:r>
          </w:p>
        </w:tc>
        <w:tc>
          <w:tcPr>
            <w:tcW w:w="710" w:type="pct"/>
            <w:vAlign w:val="center"/>
          </w:tcPr>
          <w:p w14:paraId="2DEB396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铁</w:t>
            </w:r>
          </w:p>
        </w:tc>
        <w:tc>
          <w:tcPr>
            <w:tcW w:w="3062" w:type="pct"/>
            <w:vMerge w:val="restart"/>
            <w:vAlign w:val="center"/>
          </w:tcPr>
          <w:p w14:paraId="452990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《水质 铁、锰的测定 火焰原子吸收分光光度法 》</w:t>
            </w:r>
          </w:p>
          <w:p w14:paraId="4598D41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（GB 11911-89）</w:t>
            </w:r>
          </w:p>
        </w:tc>
        <w:tc>
          <w:tcPr>
            <w:tcW w:w="844" w:type="pct"/>
            <w:vAlign w:val="center"/>
          </w:tcPr>
          <w:p w14:paraId="3CC60CE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0.03 mg/L</w:t>
            </w:r>
          </w:p>
        </w:tc>
      </w:tr>
      <w:tr w14:paraId="29CC12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20D200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18</w:t>
            </w:r>
          </w:p>
        </w:tc>
        <w:tc>
          <w:tcPr>
            <w:tcW w:w="710" w:type="pct"/>
            <w:vAlign w:val="center"/>
          </w:tcPr>
          <w:p w14:paraId="224E8F5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锰</w:t>
            </w:r>
          </w:p>
        </w:tc>
        <w:tc>
          <w:tcPr>
            <w:tcW w:w="3062" w:type="pct"/>
            <w:vMerge w:val="continue"/>
            <w:vAlign w:val="center"/>
          </w:tcPr>
          <w:p w14:paraId="707ADE27">
            <w:pPr>
              <w:spacing w:line="0" w:lineRule="atLeast"/>
              <w:jc w:val="center"/>
              <w:rPr>
                <w:rFonts w:hint="eastAsia" w:hAnsi="宋体" w:cs="宋体"/>
                <w:color w:val="000000"/>
                <w:spacing w:val="-10"/>
                <w:sz w:val="21"/>
                <w:szCs w:val="21"/>
                <w:lang w:bidi="ar"/>
              </w:rPr>
            </w:pPr>
          </w:p>
        </w:tc>
        <w:tc>
          <w:tcPr>
            <w:tcW w:w="844" w:type="pct"/>
            <w:vAlign w:val="center"/>
          </w:tcPr>
          <w:p w14:paraId="21792AC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0.01 mg/L</w:t>
            </w:r>
          </w:p>
        </w:tc>
      </w:tr>
      <w:tr w14:paraId="0984B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425370C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19</w:t>
            </w:r>
          </w:p>
        </w:tc>
        <w:tc>
          <w:tcPr>
            <w:tcW w:w="710" w:type="pct"/>
            <w:vAlign w:val="center"/>
          </w:tcPr>
          <w:p w14:paraId="6D04CF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铜</w:t>
            </w:r>
          </w:p>
        </w:tc>
        <w:tc>
          <w:tcPr>
            <w:tcW w:w="3062" w:type="pct"/>
            <w:vMerge w:val="restart"/>
            <w:vAlign w:val="center"/>
          </w:tcPr>
          <w:p w14:paraId="3544040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《水质 铜、锌、铅、镉的测定 原子吸收分光光度法》</w:t>
            </w:r>
          </w:p>
          <w:p w14:paraId="756B28D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（GB 7475-87）第一部分 直接法</w:t>
            </w:r>
          </w:p>
        </w:tc>
        <w:tc>
          <w:tcPr>
            <w:tcW w:w="844" w:type="pct"/>
            <w:vAlign w:val="center"/>
          </w:tcPr>
          <w:p w14:paraId="34BE6F2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0.05 mg/L</w:t>
            </w:r>
          </w:p>
        </w:tc>
      </w:tr>
      <w:tr w14:paraId="45C9F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7503412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710" w:type="pct"/>
            <w:vAlign w:val="center"/>
          </w:tcPr>
          <w:p w14:paraId="76F9610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锌</w:t>
            </w:r>
          </w:p>
        </w:tc>
        <w:tc>
          <w:tcPr>
            <w:tcW w:w="3062" w:type="pct"/>
            <w:vMerge w:val="continue"/>
            <w:vAlign w:val="center"/>
          </w:tcPr>
          <w:p w14:paraId="619D1E6D">
            <w:pPr>
              <w:spacing w:line="0" w:lineRule="atLeast"/>
              <w:jc w:val="center"/>
              <w:rPr>
                <w:rFonts w:hint="eastAsia" w:hAnsi="宋体" w:cs="宋体"/>
                <w:color w:val="000000"/>
                <w:spacing w:val="-10"/>
                <w:sz w:val="21"/>
                <w:szCs w:val="21"/>
                <w:lang w:bidi="ar"/>
              </w:rPr>
            </w:pPr>
          </w:p>
        </w:tc>
        <w:tc>
          <w:tcPr>
            <w:tcW w:w="844" w:type="pct"/>
            <w:vAlign w:val="center"/>
          </w:tcPr>
          <w:p w14:paraId="55F0C40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0.05 mg/L</w:t>
            </w:r>
          </w:p>
        </w:tc>
      </w:tr>
      <w:tr w14:paraId="3BBBEB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77660F4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21</w:t>
            </w:r>
          </w:p>
        </w:tc>
        <w:tc>
          <w:tcPr>
            <w:tcW w:w="710" w:type="pct"/>
            <w:vAlign w:val="center"/>
          </w:tcPr>
          <w:p w14:paraId="517E59A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铝</w:t>
            </w:r>
          </w:p>
        </w:tc>
        <w:tc>
          <w:tcPr>
            <w:tcW w:w="3062" w:type="pct"/>
            <w:vAlign w:val="center"/>
          </w:tcPr>
          <w:p w14:paraId="3F13337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第6部分：金属和类金属指标》（GB/T 5750.6-2023）4.3 无火焰原子吸收分光光度法</w:t>
            </w:r>
          </w:p>
        </w:tc>
        <w:tc>
          <w:tcPr>
            <w:tcW w:w="844" w:type="pct"/>
            <w:vAlign w:val="center"/>
          </w:tcPr>
          <w:p w14:paraId="780E2D1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1.0×10</w:t>
            </w:r>
            <w:r>
              <w:rPr>
                <w:rFonts w:hint="eastAsia" w:hAnsi="宋体" w:cs="宋体"/>
                <w:color w:val="000000"/>
                <w:spacing w:val="-10"/>
                <w:sz w:val="21"/>
                <w:szCs w:val="21"/>
                <w:vertAlign w:val="superscript"/>
              </w:rPr>
              <w:t>-2</w:t>
            </w:r>
            <w:r>
              <w:rPr>
                <w:rFonts w:hint="eastAsia" w:hAnsi="宋体" w:cs="宋体"/>
                <w:color w:val="000000"/>
                <w:spacing w:val="-10"/>
                <w:sz w:val="21"/>
                <w:szCs w:val="21"/>
              </w:rPr>
              <w:t xml:space="preserve"> mg/L</w:t>
            </w:r>
          </w:p>
        </w:tc>
      </w:tr>
      <w:tr w14:paraId="15D5A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248155F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22</w:t>
            </w:r>
          </w:p>
        </w:tc>
        <w:tc>
          <w:tcPr>
            <w:tcW w:w="710" w:type="pct"/>
            <w:vAlign w:val="center"/>
          </w:tcPr>
          <w:p w14:paraId="7A3C5FA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镉</w:t>
            </w:r>
          </w:p>
        </w:tc>
        <w:tc>
          <w:tcPr>
            <w:tcW w:w="3062" w:type="pct"/>
            <w:vAlign w:val="center"/>
          </w:tcPr>
          <w:p w14:paraId="1A0E797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第6部分：金属和类金属指标》（GB/T 5750.6-2023）12.1 无火焰原子吸收分光光度法</w:t>
            </w:r>
          </w:p>
        </w:tc>
        <w:tc>
          <w:tcPr>
            <w:tcW w:w="844" w:type="pct"/>
            <w:vAlign w:val="center"/>
          </w:tcPr>
          <w:p w14:paraId="72FD083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0.0005 mg/L</w:t>
            </w:r>
          </w:p>
        </w:tc>
      </w:tr>
      <w:tr w14:paraId="6632E6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685" w:hRule="atLeast"/>
          <w:jc w:val="center"/>
        </w:trPr>
        <w:tc>
          <w:tcPr>
            <w:tcW w:w="384" w:type="pct"/>
            <w:vAlign w:val="center"/>
          </w:tcPr>
          <w:p w14:paraId="0DB3DC5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23</w:t>
            </w:r>
          </w:p>
        </w:tc>
        <w:tc>
          <w:tcPr>
            <w:tcW w:w="710" w:type="pct"/>
            <w:vAlign w:val="center"/>
          </w:tcPr>
          <w:p w14:paraId="21C8B09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铅</w:t>
            </w:r>
          </w:p>
        </w:tc>
        <w:tc>
          <w:tcPr>
            <w:tcW w:w="3062" w:type="pct"/>
            <w:vAlign w:val="center"/>
          </w:tcPr>
          <w:p w14:paraId="3F5A0F0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《生活饮用水标准检验方法 第6部分：金属和类金属指标》（GB/T 5750.6-2023）14.1 无火焰原子吸收分光光度法</w:t>
            </w:r>
          </w:p>
        </w:tc>
        <w:tc>
          <w:tcPr>
            <w:tcW w:w="844" w:type="pct"/>
            <w:vAlign w:val="center"/>
          </w:tcPr>
          <w:p w14:paraId="0ECDFB2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0.0025 mg/L</w:t>
            </w:r>
          </w:p>
        </w:tc>
      </w:tr>
      <w:tr w14:paraId="78DFE3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4" w:type="pct"/>
            <w:vAlign w:val="center"/>
          </w:tcPr>
          <w:p w14:paraId="408A45F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24</w:t>
            </w:r>
          </w:p>
        </w:tc>
        <w:tc>
          <w:tcPr>
            <w:tcW w:w="710" w:type="pct"/>
            <w:vAlign w:val="center"/>
          </w:tcPr>
          <w:p w14:paraId="374BBA7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总硬度</w:t>
            </w:r>
          </w:p>
        </w:tc>
        <w:tc>
          <w:tcPr>
            <w:tcW w:w="3062" w:type="pct"/>
            <w:vAlign w:val="center"/>
          </w:tcPr>
          <w:p w14:paraId="769D219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第4部分：感官性状和物理指标》（GB/T 5750.4-2023）</w:t>
            </w:r>
          </w:p>
        </w:tc>
        <w:tc>
          <w:tcPr>
            <w:tcW w:w="844" w:type="pct"/>
            <w:vAlign w:val="center"/>
          </w:tcPr>
          <w:p w14:paraId="78F7851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1.0 mg/L</w:t>
            </w:r>
          </w:p>
        </w:tc>
      </w:tr>
      <w:tr w14:paraId="379C7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75B6DF0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25</w:t>
            </w:r>
          </w:p>
        </w:tc>
        <w:tc>
          <w:tcPr>
            <w:tcW w:w="710" w:type="pct"/>
            <w:vAlign w:val="center"/>
          </w:tcPr>
          <w:p w14:paraId="64652F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汞</w:t>
            </w:r>
          </w:p>
        </w:tc>
        <w:tc>
          <w:tcPr>
            <w:tcW w:w="3062" w:type="pct"/>
            <w:vMerge w:val="restart"/>
            <w:vAlign w:val="center"/>
          </w:tcPr>
          <w:p w14:paraId="25F829A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《水质 汞、砷、硒、铋和锑的测定 原子荧光法 》</w:t>
            </w:r>
          </w:p>
          <w:p w14:paraId="5173F63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（HJ 694-2014）</w:t>
            </w:r>
          </w:p>
        </w:tc>
        <w:tc>
          <w:tcPr>
            <w:tcW w:w="844" w:type="pct"/>
            <w:vAlign w:val="center"/>
          </w:tcPr>
          <w:p w14:paraId="0AABC5C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4×10</w:t>
            </w:r>
            <w:r>
              <w:rPr>
                <w:rFonts w:hint="eastAsia" w:hAnsi="宋体" w:cs="宋体"/>
                <w:color w:val="000000"/>
                <w:spacing w:val="-10"/>
                <w:sz w:val="21"/>
                <w:szCs w:val="21"/>
                <w:vertAlign w:val="superscript"/>
              </w:rPr>
              <w:t>-5</w:t>
            </w:r>
            <w:r>
              <w:rPr>
                <w:rFonts w:hint="eastAsia" w:hAnsi="宋体" w:cs="宋体"/>
                <w:color w:val="000000"/>
                <w:spacing w:val="-10"/>
                <w:sz w:val="21"/>
                <w:szCs w:val="21"/>
              </w:rPr>
              <w:t xml:space="preserve"> mg/L</w:t>
            </w:r>
          </w:p>
        </w:tc>
      </w:tr>
      <w:tr w14:paraId="7D4C3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2ECC5F3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26</w:t>
            </w:r>
          </w:p>
        </w:tc>
        <w:tc>
          <w:tcPr>
            <w:tcW w:w="710" w:type="pct"/>
            <w:vAlign w:val="center"/>
          </w:tcPr>
          <w:p w14:paraId="3BB3689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砷</w:t>
            </w:r>
          </w:p>
        </w:tc>
        <w:tc>
          <w:tcPr>
            <w:tcW w:w="3062" w:type="pct"/>
            <w:vMerge w:val="continue"/>
            <w:vAlign w:val="center"/>
          </w:tcPr>
          <w:p w14:paraId="3A5E365C">
            <w:pPr>
              <w:spacing w:line="0" w:lineRule="atLeast"/>
              <w:jc w:val="center"/>
              <w:rPr>
                <w:rFonts w:hint="eastAsia" w:hAnsi="宋体" w:cs="宋体"/>
                <w:color w:val="000000"/>
                <w:spacing w:val="-10"/>
                <w:sz w:val="21"/>
                <w:szCs w:val="21"/>
              </w:rPr>
            </w:pPr>
          </w:p>
        </w:tc>
        <w:tc>
          <w:tcPr>
            <w:tcW w:w="844" w:type="pct"/>
            <w:vAlign w:val="center"/>
          </w:tcPr>
          <w:p w14:paraId="48ED5DB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3×10</w:t>
            </w:r>
            <w:r>
              <w:rPr>
                <w:rFonts w:hint="eastAsia" w:hAnsi="宋体" w:cs="宋体"/>
                <w:color w:val="000000"/>
                <w:spacing w:val="-10"/>
                <w:sz w:val="21"/>
                <w:szCs w:val="21"/>
                <w:vertAlign w:val="superscript"/>
              </w:rPr>
              <w:t>-4</w:t>
            </w:r>
            <w:r>
              <w:rPr>
                <w:rFonts w:hint="eastAsia" w:hAnsi="宋体" w:cs="宋体"/>
                <w:color w:val="000000"/>
                <w:spacing w:val="-10"/>
                <w:sz w:val="21"/>
                <w:szCs w:val="21"/>
              </w:rPr>
              <w:t xml:space="preserve"> mg/L</w:t>
            </w:r>
          </w:p>
        </w:tc>
      </w:tr>
      <w:tr w14:paraId="619370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3B5F25C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27</w:t>
            </w:r>
          </w:p>
        </w:tc>
        <w:tc>
          <w:tcPr>
            <w:tcW w:w="710" w:type="pct"/>
            <w:vAlign w:val="center"/>
          </w:tcPr>
          <w:p w14:paraId="08B0E8F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硒</w:t>
            </w:r>
          </w:p>
        </w:tc>
        <w:tc>
          <w:tcPr>
            <w:tcW w:w="3062" w:type="pct"/>
            <w:vMerge w:val="continue"/>
            <w:vAlign w:val="center"/>
          </w:tcPr>
          <w:p w14:paraId="5F00859D">
            <w:pPr>
              <w:spacing w:line="0" w:lineRule="atLeast"/>
              <w:jc w:val="center"/>
              <w:rPr>
                <w:rFonts w:hint="eastAsia" w:hAnsi="宋体" w:cs="宋体"/>
                <w:color w:val="000000"/>
                <w:spacing w:val="-10"/>
                <w:sz w:val="21"/>
                <w:szCs w:val="21"/>
              </w:rPr>
            </w:pPr>
          </w:p>
        </w:tc>
        <w:tc>
          <w:tcPr>
            <w:tcW w:w="844" w:type="pct"/>
            <w:vAlign w:val="center"/>
          </w:tcPr>
          <w:p w14:paraId="10A380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4×10</w:t>
            </w:r>
            <w:r>
              <w:rPr>
                <w:rFonts w:hint="eastAsia" w:hAnsi="宋体" w:cs="宋体"/>
                <w:color w:val="000000"/>
                <w:spacing w:val="-10"/>
                <w:sz w:val="21"/>
                <w:szCs w:val="21"/>
                <w:vertAlign w:val="superscript"/>
              </w:rPr>
              <w:t>-4</w:t>
            </w:r>
            <w:r>
              <w:rPr>
                <w:rFonts w:hint="eastAsia" w:hAnsi="宋体" w:cs="宋体"/>
                <w:color w:val="000000"/>
                <w:spacing w:val="-10"/>
                <w:sz w:val="21"/>
                <w:szCs w:val="21"/>
              </w:rPr>
              <w:t xml:space="preserve"> L mg/L</w:t>
            </w:r>
          </w:p>
        </w:tc>
      </w:tr>
      <w:tr w14:paraId="2EAC4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53D1D68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710" w:type="pct"/>
            <w:vAlign w:val="center"/>
          </w:tcPr>
          <w:p w14:paraId="72CDD9E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铬（六价）</w:t>
            </w:r>
          </w:p>
        </w:tc>
        <w:tc>
          <w:tcPr>
            <w:tcW w:w="3062" w:type="pct"/>
            <w:vAlign w:val="center"/>
          </w:tcPr>
          <w:p w14:paraId="469EBA6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《生活饮用水标准检验方法 金属指标》（GB/T 5750.6-2006）10.1二苯碳酰二肼分光光度法</w:t>
            </w:r>
          </w:p>
        </w:tc>
        <w:tc>
          <w:tcPr>
            <w:tcW w:w="844" w:type="pct"/>
            <w:vAlign w:val="center"/>
          </w:tcPr>
          <w:p w14:paraId="1803E407">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0.004 mg/L</w:t>
            </w:r>
          </w:p>
        </w:tc>
      </w:tr>
      <w:tr w14:paraId="7D4EBC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035C87F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29</w:t>
            </w:r>
          </w:p>
        </w:tc>
        <w:tc>
          <w:tcPr>
            <w:tcW w:w="710" w:type="pct"/>
            <w:vAlign w:val="center"/>
          </w:tcPr>
          <w:p w14:paraId="0C5BD4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三氯甲烷</w:t>
            </w:r>
          </w:p>
        </w:tc>
        <w:tc>
          <w:tcPr>
            <w:tcW w:w="3062" w:type="pct"/>
            <w:vMerge w:val="restart"/>
            <w:vAlign w:val="center"/>
          </w:tcPr>
          <w:p w14:paraId="384B079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挥发性有机物的测定 吹扫捕集/气相色谱-质谱法》（HJ 639-2012）</w:t>
            </w:r>
          </w:p>
        </w:tc>
        <w:tc>
          <w:tcPr>
            <w:tcW w:w="844" w:type="pct"/>
            <w:vAlign w:val="center"/>
          </w:tcPr>
          <w:p w14:paraId="1ED678C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0.4 μg/L</w:t>
            </w:r>
          </w:p>
        </w:tc>
      </w:tr>
      <w:tr w14:paraId="754BD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65C492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710" w:type="pct"/>
            <w:vAlign w:val="center"/>
          </w:tcPr>
          <w:p w14:paraId="04BACD0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四氯化碳</w:t>
            </w:r>
          </w:p>
        </w:tc>
        <w:tc>
          <w:tcPr>
            <w:tcW w:w="3062" w:type="pct"/>
            <w:vMerge w:val="continue"/>
            <w:vAlign w:val="center"/>
          </w:tcPr>
          <w:p w14:paraId="1B58006B">
            <w:pPr>
              <w:spacing w:line="0" w:lineRule="atLeast"/>
              <w:jc w:val="center"/>
              <w:rPr>
                <w:rFonts w:hint="eastAsia" w:hAnsi="宋体" w:cs="宋体"/>
                <w:color w:val="000000"/>
                <w:spacing w:val="-10"/>
                <w:sz w:val="21"/>
                <w:szCs w:val="21"/>
              </w:rPr>
            </w:pPr>
          </w:p>
        </w:tc>
        <w:tc>
          <w:tcPr>
            <w:tcW w:w="844" w:type="pct"/>
            <w:vAlign w:val="center"/>
          </w:tcPr>
          <w:p w14:paraId="41ED13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0.4 μg/L</w:t>
            </w:r>
          </w:p>
        </w:tc>
      </w:tr>
      <w:tr w14:paraId="67E489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754D9C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31</w:t>
            </w:r>
          </w:p>
        </w:tc>
        <w:tc>
          <w:tcPr>
            <w:tcW w:w="710" w:type="pct"/>
            <w:vAlign w:val="center"/>
          </w:tcPr>
          <w:p w14:paraId="4D64101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w:t>
            </w:r>
          </w:p>
        </w:tc>
        <w:tc>
          <w:tcPr>
            <w:tcW w:w="3062" w:type="pct"/>
            <w:vMerge w:val="restart"/>
            <w:vAlign w:val="center"/>
          </w:tcPr>
          <w:p w14:paraId="049BCA5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挥发性有机物的测定 吹扫捕集/气相色谱-质谱法》（HJ 639-2012）</w:t>
            </w:r>
          </w:p>
        </w:tc>
        <w:tc>
          <w:tcPr>
            <w:tcW w:w="844" w:type="pct"/>
            <w:vAlign w:val="center"/>
          </w:tcPr>
          <w:p w14:paraId="45CA041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0.4 μg/L</w:t>
            </w:r>
          </w:p>
        </w:tc>
      </w:tr>
      <w:tr w14:paraId="76DEF4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0E01CA3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32</w:t>
            </w:r>
          </w:p>
        </w:tc>
        <w:tc>
          <w:tcPr>
            <w:tcW w:w="710" w:type="pct"/>
            <w:vAlign w:val="center"/>
          </w:tcPr>
          <w:p w14:paraId="1BE30DB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甲苯</w:t>
            </w:r>
          </w:p>
        </w:tc>
        <w:tc>
          <w:tcPr>
            <w:tcW w:w="3062" w:type="pct"/>
            <w:vMerge w:val="continue"/>
            <w:vAlign w:val="center"/>
          </w:tcPr>
          <w:p w14:paraId="681CE373">
            <w:pPr>
              <w:spacing w:line="0" w:lineRule="atLeast"/>
              <w:jc w:val="center"/>
              <w:rPr>
                <w:rFonts w:hint="eastAsia" w:hAnsi="宋体" w:cs="宋体"/>
                <w:color w:val="000000"/>
                <w:spacing w:val="-10"/>
                <w:sz w:val="21"/>
                <w:szCs w:val="21"/>
              </w:rPr>
            </w:pPr>
          </w:p>
        </w:tc>
        <w:tc>
          <w:tcPr>
            <w:tcW w:w="844" w:type="pct"/>
            <w:vAlign w:val="center"/>
          </w:tcPr>
          <w:p w14:paraId="615662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0.3 μg/L</w:t>
            </w:r>
          </w:p>
        </w:tc>
      </w:tr>
      <w:tr w14:paraId="7F73F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5209483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33</w:t>
            </w:r>
          </w:p>
        </w:tc>
        <w:tc>
          <w:tcPr>
            <w:tcW w:w="710" w:type="pct"/>
            <w:vAlign w:val="center"/>
          </w:tcPr>
          <w:p w14:paraId="17B4A99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石油类</w:t>
            </w:r>
          </w:p>
        </w:tc>
        <w:tc>
          <w:tcPr>
            <w:tcW w:w="3062" w:type="pct"/>
            <w:vAlign w:val="center"/>
          </w:tcPr>
          <w:p w14:paraId="6E720A51">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石油类的测定 紫外分光光度法（试行）》（HJ 970-2018）</w:t>
            </w:r>
          </w:p>
        </w:tc>
        <w:tc>
          <w:tcPr>
            <w:tcW w:w="844" w:type="pct"/>
            <w:vAlign w:val="center"/>
          </w:tcPr>
          <w:p w14:paraId="785D243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0.01 mg/L</w:t>
            </w:r>
          </w:p>
        </w:tc>
      </w:tr>
    </w:tbl>
    <w:p w14:paraId="1945C7A4">
      <w:pPr>
        <w:rPr>
          <w:rFonts w:hint="eastAsia" w:ascii="黑体" w:hAnsi="黑体" w:eastAsia="黑体" w:cs="宋体"/>
          <w:color w:val="000000"/>
          <w:szCs w:val="24"/>
          <w:lang w:val="zh-CN"/>
        </w:rPr>
      </w:pPr>
      <w:r>
        <w:rPr>
          <w:rFonts w:hint="eastAsia" w:ascii="黑体" w:hAnsi="黑体" w:eastAsia="黑体" w:cs="宋体"/>
          <w:color w:val="000000"/>
          <w:szCs w:val="24"/>
        </w:rPr>
        <w:t xml:space="preserve">续表4.3-2 </w:t>
      </w:r>
      <w:r>
        <w:rPr>
          <w:rFonts w:hint="eastAsia" w:ascii="黑体" w:hAnsi="黑体" w:eastAsia="黑体" w:cs="黑体"/>
          <w:color w:val="000000"/>
          <w:szCs w:val="24"/>
          <w:lang w:val="zh-CN"/>
        </w:rPr>
        <w:t>地下水各监测因子分析方法和检出限一览表</w:t>
      </w:r>
      <w:r>
        <w:rPr>
          <w:rFonts w:hint="eastAsia" w:ascii="黑体" w:hAnsi="黑体" w:eastAsia="黑体" w:cs="黑体"/>
          <w:color w:val="000000"/>
          <w:szCs w:val="24"/>
        </w:rPr>
        <w:t xml:space="preserve"> </w:t>
      </w:r>
      <w:r>
        <w:rPr>
          <w:rFonts w:hint="eastAsia" w:ascii="黑体" w:hAnsi="黑体" w:eastAsia="黑体" w:cs="宋体"/>
          <w:color w:val="000000"/>
          <w:szCs w:val="24"/>
          <w:lang w:val="zh-CN"/>
        </w:rPr>
        <w:t>单位：mg/L（pH除外）</w:t>
      </w:r>
    </w:p>
    <w:tbl>
      <w:tblPr>
        <w:tblStyle w:val="48"/>
        <w:tblW w:w="49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6" w:type="dxa"/>
          <w:left w:w="28" w:type="dxa"/>
          <w:bottom w:w="6" w:type="dxa"/>
          <w:right w:w="28" w:type="dxa"/>
        </w:tblCellMar>
      </w:tblPr>
      <w:tblGrid>
        <w:gridCol w:w="691"/>
        <w:gridCol w:w="1278"/>
        <w:gridCol w:w="5513"/>
        <w:gridCol w:w="1520"/>
      </w:tblGrid>
      <w:tr w14:paraId="4B1694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425" w:hRule="atLeast"/>
          <w:jc w:val="center"/>
        </w:trPr>
        <w:tc>
          <w:tcPr>
            <w:tcW w:w="383" w:type="pct"/>
            <w:vAlign w:val="center"/>
          </w:tcPr>
          <w:p w14:paraId="5D22604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709" w:type="pct"/>
            <w:vAlign w:val="center"/>
          </w:tcPr>
          <w:p w14:paraId="533A8230">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监测因子</w:t>
            </w:r>
          </w:p>
        </w:tc>
        <w:tc>
          <w:tcPr>
            <w:tcW w:w="3062" w:type="pct"/>
            <w:vAlign w:val="center"/>
          </w:tcPr>
          <w:p w14:paraId="003B75CF">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检  测  方  法</w:t>
            </w:r>
          </w:p>
        </w:tc>
        <w:tc>
          <w:tcPr>
            <w:tcW w:w="846" w:type="pct"/>
            <w:vAlign w:val="center"/>
          </w:tcPr>
          <w:p w14:paraId="6914AF60">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最低检出浓度</w:t>
            </w:r>
          </w:p>
        </w:tc>
      </w:tr>
      <w:tr w14:paraId="466605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3D87949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34</w:t>
            </w:r>
          </w:p>
        </w:tc>
        <w:tc>
          <w:tcPr>
            <w:tcW w:w="710" w:type="pct"/>
            <w:vAlign w:val="center"/>
          </w:tcPr>
          <w:p w14:paraId="10B54BD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钾离子</w:t>
            </w:r>
          </w:p>
        </w:tc>
        <w:tc>
          <w:tcPr>
            <w:tcW w:w="3062" w:type="pct"/>
            <w:vMerge w:val="restart"/>
            <w:vAlign w:val="center"/>
          </w:tcPr>
          <w:p w14:paraId="68E55DB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可溶性阳离子（Li</w:t>
            </w:r>
            <w:r>
              <w:rPr>
                <w:rFonts w:hint="eastAsia" w:hAnsi="宋体" w:cs="宋体"/>
                <w:color w:val="000000"/>
                <w:spacing w:val="-10"/>
                <w:sz w:val="21"/>
                <w:szCs w:val="21"/>
                <w:vertAlign w:val="superscript"/>
              </w:rPr>
              <w:t>+</w:t>
            </w:r>
            <w:r>
              <w:rPr>
                <w:rFonts w:hint="eastAsia" w:hAnsi="宋体" w:cs="宋体"/>
                <w:color w:val="000000"/>
                <w:spacing w:val="-10"/>
                <w:sz w:val="21"/>
                <w:szCs w:val="21"/>
              </w:rPr>
              <w:t>、Na</w:t>
            </w:r>
            <w:r>
              <w:rPr>
                <w:rFonts w:hint="eastAsia" w:hAnsi="宋体" w:cs="宋体"/>
                <w:color w:val="000000"/>
                <w:spacing w:val="-10"/>
                <w:sz w:val="21"/>
                <w:szCs w:val="21"/>
                <w:vertAlign w:val="superscript"/>
              </w:rPr>
              <w:t>+</w:t>
            </w:r>
            <w:r>
              <w:rPr>
                <w:rFonts w:hint="eastAsia" w:hAnsi="宋体" w:cs="宋体"/>
                <w:color w:val="000000"/>
                <w:spacing w:val="-10"/>
                <w:sz w:val="21"/>
                <w:szCs w:val="21"/>
              </w:rPr>
              <w:t>、NH</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w:t>
            </w:r>
            <w:r>
              <w:rPr>
                <w:rFonts w:hint="eastAsia" w:hAnsi="宋体" w:cs="宋体"/>
                <w:color w:val="000000"/>
                <w:spacing w:val="-10"/>
                <w:sz w:val="21"/>
                <w:szCs w:val="21"/>
              </w:rPr>
              <w:t>、K</w:t>
            </w:r>
            <w:r>
              <w:rPr>
                <w:rFonts w:hint="eastAsia" w:hAnsi="宋体" w:cs="宋体"/>
                <w:color w:val="000000"/>
                <w:spacing w:val="-10"/>
                <w:sz w:val="21"/>
                <w:szCs w:val="21"/>
                <w:vertAlign w:val="superscript"/>
              </w:rPr>
              <w:t>+</w:t>
            </w:r>
            <w:r>
              <w:rPr>
                <w:rFonts w:hint="eastAsia" w:hAnsi="宋体" w:cs="宋体"/>
                <w:color w:val="000000"/>
                <w:spacing w:val="-10"/>
                <w:sz w:val="21"/>
                <w:szCs w:val="21"/>
              </w:rPr>
              <w:t>、Ca</w:t>
            </w:r>
            <w:r>
              <w:rPr>
                <w:rFonts w:hint="eastAsia" w:hAnsi="宋体" w:cs="宋体"/>
                <w:color w:val="000000"/>
                <w:spacing w:val="-10"/>
                <w:sz w:val="21"/>
                <w:szCs w:val="21"/>
                <w:vertAlign w:val="superscript"/>
              </w:rPr>
              <w:t>2+</w:t>
            </w:r>
            <w:r>
              <w:rPr>
                <w:rFonts w:hint="eastAsia" w:hAnsi="宋体" w:cs="宋体"/>
                <w:color w:val="000000"/>
                <w:spacing w:val="-10"/>
                <w:sz w:val="21"/>
                <w:szCs w:val="21"/>
              </w:rPr>
              <w:t>、Mg</w:t>
            </w:r>
            <w:r>
              <w:rPr>
                <w:rFonts w:hint="eastAsia" w:hAnsi="宋体" w:cs="宋体"/>
                <w:color w:val="000000"/>
                <w:spacing w:val="-10"/>
                <w:sz w:val="21"/>
                <w:szCs w:val="21"/>
                <w:vertAlign w:val="superscript"/>
              </w:rPr>
              <w:t>2+</w:t>
            </w:r>
            <w:r>
              <w:rPr>
                <w:rFonts w:hint="eastAsia" w:hAnsi="宋体" w:cs="宋体"/>
                <w:color w:val="000000"/>
                <w:spacing w:val="-10"/>
                <w:sz w:val="21"/>
                <w:szCs w:val="21"/>
              </w:rPr>
              <w:t>）的测定 离子色谱法》（HJ 812-2016）</w:t>
            </w:r>
          </w:p>
        </w:tc>
        <w:tc>
          <w:tcPr>
            <w:tcW w:w="844" w:type="pct"/>
            <w:vAlign w:val="center"/>
          </w:tcPr>
          <w:p w14:paraId="181EB7C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0.02 mg/L</w:t>
            </w:r>
          </w:p>
        </w:tc>
      </w:tr>
      <w:tr w14:paraId="4B145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0FAB21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35</w:t>
            </w:r>
          </w:p>
        </w:tc>
        <w:tc>
          <w:tcPr>
            <w:tcW w:w="710" w:type="pct"/>
            <w:vAlign w:val="center"/>
          </w:tcPr>
          <w:p w14:paraId="4EF424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钠离子</w:t>
            </w:r>
          </w:p>
        </w:tc>
        <w:tc>
          <w:tcPr>
            <w:tcW w:w="3062" w:type="pct"/>
            <w:vMerge w:val="continue"/>
            <w:vAlign w:val="center"/>
          </w:tcPr>
          <w:p w14:paraId="27F0FAD3">
            <w:pPr>
              <w:spacing w:line="0" w:lineRule="atLeast"/>
              <w:jc w:val="center"/>
              <w:rPr>
                <w:rFonts w:hint="eastAsia" w:hAnsi="宋体" w:cs="宋体"/>
                <w:color w:val="000000"/>
                <w:spacing w:val="-10"/>
                <w:sz w:val="21"/>
                <w:szCs w:val="21"/>
              </w:rPr>
            </w:pPr>
          </w:p>
        </w:tc>
        <w:tc>
          <w:tcPr>
            <w:tcW w:w="844" w:type="pct"/>
            <w:vAlign w:val="center"/>
          </w:tcPr>
          <w:p w14:paraId="7475A4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0.02 mg/L</w:t>
            </w:r>
          </w:p>
        </w:tc>
      </w:tr>
      <w:tr w14:paraId="62D1F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5BF4376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36</w:t>
            </w:r>
          </w:p>
        </w:tc>
        <w:tc>
          <w:tcPr>
            <w:tcW w:w="710" w:type="pct"/>
            <w:vAlign w:val="center"/>
          </w:tcPr>
          <w:p w14:paraId="4177C15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钙离子</w:t>
            </w:r>
          </w:p>
        </w:tc>
        <w:tc>
          <w:tcPr>
            <w:tcW w:w="3062" w:type="pct"/>
            <w:vMerge w:val="continue"/>
            <w:vAlign w:val="center"/>
          </w:tcPr>
          <w:p w14:paraId="34A0440B">
            <w:pPr>
              <w:spacing w:line="0" w:lineRule="atLeast"/>
              <w:jc w:val="center"/>
              <w:rPr>
                <w:rFonts w:hint="eastAsia" w:hAnsi="宋体" w:cs="宋体"/>
                <w:color w:val="000000"/>
                <w:spacing w:val="-10"/>
                <w:sz w:val="21"/>
                <w:szCs w:val="21"/>
              </w:rPr>
            </w:pPr>
          </w:p>
        </w:tc>
        <w:tc>
          <w:tcPr>
            <w:tcW w:w="844" w:type="pct"/>
            <w:vAlign w:val="center"/>
          </w:tcPr>
          <w:p w14:paraId="2AAC4BD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0.03 mg/L</w:t>
            </w:r>
          </w:p>
        </w:tc>
      </w:tr>
      <w:tr w14:paraId="6347FE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24F1B11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37</w:t>
            </w:r>
          </w:p>
        </w:tc>
        <w:tc>
          <w:tcPr>
            <w:tcW w:w="710" w:type="pct"/>
            <w:vAlign w:val="center"/>
          </w:tcPr>
          <w:p w14:paraId="1BDB231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镁离子</w:t>
            </w:r>
          </w:p>
        </w:tc>
        <w:tc>
          <w:tcPr>
            <w:tcW w:w="3062" w:type="pct"/>
            <w:vMerge w:val="continue"/>
            <w:vAlign w:val="center"/>
          </w:tcPr>
          <w:p w14:paraId="1DA35995">
            <w:pPr>
              <w:spacing w:line="0" w:lineRule="atLeast"/>
              <w:jc w:val="center"/>
              <w:rPr>
                <w:rFonts w:hint="eastAsia" w:hAnsi="宋体" w:cs="宋体"/>
                <w:color w:val="000000"/>
                <w:spacing w:val="-10"/>
                <w:sz w:val="21"/>
                <w:szCs w:val="21"/>
              </w:rPr>
            </w:pPr>
          </w:p>
        </w:tc>
        <w:tc>
          <w:tcPr>
            <w:tcW w:w="844" w:type="pct"/>
            <w:vAlign w:val="center"/>
          </w:tcPr>
          <w:p w14:paraId="11542E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0.02 mg/L</w:t>
            </w:r>
          </w:p>
        </w:tc>
      </w:tr>
      <w:tr w14:paraId="3802F5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01E46B3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38</w:t>
            </w:r>
          </w:p>
        </w:tc>
        <w:tc>
          <w:tcPr>
            <w:tcW w:w="710" w:type="pct"/>
            <w:vAlign w:val="center"/>
          </w:tcPr>
          <w:p w14:paraId="6C5FA12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碳酸根</w:t>
            </w:r>
          </w:p>
        </w:tc>
        <w:tc>
          <w:tcPr>
            <w:tcW w:w="3062" w:type="pct"/>
            <w:vMerge w:val="restart"/>
            <w:vAlign w:val="center"/>
          </w:tcPr>
          <w:p w14:paraId="3C5CBFD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w:t>
            </w:r>
            <w:r>
              <w:rPr>
                <w:rFonts w:hint="eastAsia" w:hAnsi="宋体" w:cs="宋体"/>
                <w:color w:val="000000"/>
                <w:spacing w:val="-10"/>
                <w:sz w:val="21"/>
                <w:szCs w:val="21"/>
                <w:lang w:bidi="ar"/>
              </w:rPr>
              <w:t>地下水质分析方法 第49部分：碳酸根、重碳酸根和氢氧根离子的测定 滴定法》（DZ/T 0064.49-2021）</w:t>
            </w:r>
          </w:p>
        </w:tc>
        <w:tc>
          <w:tcPr>
            <w:tcW w:w="844" w:type="pct"/>
            <w:vAlign w:val="center"/>
          </w:tcPr>
          <w:p w14:paraId="0C870C7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 mg/L</w:t>
            </w:r>
          </w:p>
        </w:tc>
      </w:tr>
      <w:tr w14:paraId="27C456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26949C8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39</w:t>
            </w:r>
          </w:p>
        </w:tc>
        <w:tc>
          <w:tcPr>
            <w:tcW w:w="710" w:type="pct"/>
            <w:vAlign w:val="center"/>
          </w:tcPr>
          <w:p w14:paraId="60B09A0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碳酸氢根</w:t>
            </w:r>
          </w:p>
        </w:tc>
        <w:tc>
          <w:tcPr>
            <w:tcW w:w="3062" w:type="pct"/>
            <w:vMerge w:val="continue"/>
            <w:vAlign w:val="center"/>
          </w:tcPr>
          <w:p w14:paraId="4778D01A">
            <w:pPr>
              <w:spacing w:line="0" w:lineRule="atLeast"/>
              <w:jc w:val="center"/>
              <w:rPr>
                <w:rFonts w:hint="eastAsia" w:hAnsi="宋体" w:cs="宋体"/>
                <w:color w:val="000000"/>
                <w:spacing w:val="-10"/>
                <w:sz w:val="21"/>
                <w:szCs w:val="21"/>
              </w:rPr>
            </w:pPr>
          </w:p>
        </w:tc>
        <w:tc>
          <w:tcPr>
            <w:tcW w:w="844" w:type="pct"/>
            <w:vAlign w:val="center"/>
          </w:tcPr>
          <w:p w14:paraId="76F7F7C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 mg/L</w:t>
            </w:r>
          </w:p>
        </w:tc>
      </w:tr>
      <w:tr w14:paraId="021A0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45B54C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710" w:type="pct"/>
            <w:vAlign w:val="center"/>
          </w:tcPr>
          <w:p w14:paraId="03CFDD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氯离子</w:t>
            </w:r>
          </w:p>
        </w:tc>
        <w:tc>
          <w:tcPr>
            <w:tcW w:w="3062" w:type="pct"/>
            <w:vMerge w:val="restart"/>
            <w:vAlign w:val="center"/>
          </w:tcPr>
          <w:p w14:paraId="735DFD5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《水质 无机阴离子（F</w:t>
            </w:r>
            <w:r>
              <w:rPr>
                <w:rFonts w:hint="eastAsia" w:hAnsi="宋体" w:cs="宋体"/>
                <w:color w:val="000000"/>
                <w:spacing w:val="-10"/>
                <w:sz w:val="21"/>
                <w:szCs w:val="21"/>
                <w:vertAlign w:val="superscript"/>
              </w:rPr>
              <w:t>-</w:t>
            </w:r>
            <w:r>
              <w:rPr>
                <w:rFonts w:hint="eastAsia" w:hAnsi="宋体" w:cs="宋体"/>
                <w:color w:val="000000"/>
                <w:spacing w:val="-10"/>
                <w:sz w:val="21"/>
                <w:szCs w:val="21"/>
              </w:rPr>
              <w:t>、Cl</w:t>
            </w:r>
            <w:r>
              <w:rPr>
                <w:rFonts w:hint="eastAsia" w:hAnsi="宋体" w:cs="宋体"/>
                <w:color w:val="000000"/>
                <w:spacing w:val="-10"/>
                <w:sz w:val="21"/>
                <w:szCs w:val="21"/>
                <w:vertAlign w:val="superscript"/>
              </w:rPr>
              <w:t>-</w:t>
            </w:r>
            <w:r>
              <w:rPr>
                <w:rFonts w:hint="eastAsia" w:hAnsi="宋体" w:cs="宋体"/>
                <w:color w:val="000000"/>
                <w:spacing w:val="-10"/>
                <w:sz w:val="21"/>
                <w:szCs w:val="21"/>
              </w:rPr>
              <w:t>、NO</w:t>
            </w:r>
            <w:r>
              <w:rPr>
                <w:rFonts w:hint="eastAsia" w:hAnsi="宋体" w:cs="宋体"/>
                <w:color w:val="000000"/>
                <w:spacing w:val="-10"/>
                <w:sz w:val="21"/>
                <w:szCs w:val="21"/>
                <w:vertAlign w:val="subscript"/>
              </w:rPr>
              <w:t>2</w:t>
            </w:r>
            <w:r>
              <w:rPr>
                <w:rFonts w:hint="eastAsia" w:hAnsi="宋体" w:cs="宋体"/>
                <w:color w:val="000000"/>
                <w:spacing w:val="-10"/>
                <w:sz w:val="21"/>
                <w:szCs w:val="21"/>
                <w:vertAlign w:val="superscript"/>
              </w:rPr>
              <w:t>-</w:t>
            </w:r>
            <w:r>
              <w:rPr>
                <w:rFonts w:hint="eastAsia" w:hAnsi="宋体" w:cs="宋体"/>
                <w:color w:val="000000"/>
                <w:spacing w:val="-10"/>
                <w:sz w:val="21"/>
                <w:szCs w:val="21"/>
              </w:rPr>
              <w:t>、Br</w:t>
            </w:r>
            <w:r>
              <w:rPr>
                <w:rFonts w:hint="eastAsia" w:hAnsi="宋体" w:cs="宋体"/>
                <w:color w:val="000000"/>
                <w:spacing w:val="-10"/>
                <w:sz w:val="21"/>
                <w:szCs w:val="21"/>
                <w:vertAlign w:val="superscript"/>
              </w:rPr>
              <w:t>-</w:t>
            </w:r>
            <w:r>
              <w:rPr>
                <w:rFonts w:hint="eastAsia" w:hAnsi="宋体" w:cs="宋体"/>
                <w:color w:val="000000"/>
                <w:spacing w:val="-10"/>
                <w:sz w:val="21"/>
                <w:szCs w:val="21"/>
              </w:rPr>
              <w:t>、NO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w:t>
            </w:r>
            <w:r>
              <w:rPr>
                <w:rFonts w:hint="eastAsia" w:hAnsi="宋体" w:cs="宋体"/>
                <w:color w:val="000000"/>
                <w:spacing w:val="-10"/>
                <w:sz w:val="21"/>
                <w:szCs w:val="21"/>
              </w:rPr>
              <w:t>、PO</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3-</w:t>
            </w:r>
            <w:r>
              <w:rPr>
                <w:rFonts w:hint="eastAsia" w:hAnsi="宋体" w:cs="宋体"/>
                <w:color w:val="000000"/>
                <w:spacing w:val="-10"/>
                <w:sz w:val="21"/>
                <w:szCs w:val="21"/>
              </w:rPr>
              <w:t>、SO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2-</w:t>
            </w:r>
            <w:r>
              <w:rPr>
                <w:rFonts w:hint="eastAsia" w:hAnsi="宋体" w:cs="宋体"/>
                <w:color w:val="000000"/>
                <w:spacing w:val="-10"/>
                <w:sz w:val="21"/>
                <w:szCs w:val="21"/>
              </w:rPr>
              <w:t>、SO</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2-</w:t>
            </w:r>
            <w:r>
              <w:rPr>
                <w:rFonts w:hint="eastAsia" w:hAnsi="宋体" w:cs="宋体"/>
                <w:color w:val="000000"/>
                <w:spacing w:val="-10"/>
                <w:sz w:val="21"/>
                <w:szCs w:val="21"/>
              </w:rPr>
              <w:t>）的测定 离子色谱法》（HJ 84-2016）</w:t>
            </w:r>
          </w:p>
        </w:tc>
        <w:tc>
          <w:tcPr>
            <w:tcW w:w="844" w:type="pct"/>
            <w:vAlign w:val="center"/>
          </w:tcPr>
          <w:p w14:paraId="58F5AE2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0.007 mg/L</w:t>
            </w:r>
          </w:p>
        </w:tc>
      </w:tr>
      <w:tr w14:paraId="7158A3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2E90D27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41</w:t>
            </w:r>
          </w:p>
        </w:tc>
        <w:tc>
          <w:tcPr>
            <w:tcW w:w="710" w:type="pct"/>
            <w:vAlign w:val="center"/>
          </w:tcPr>
          <w:p w14:paraId="7400131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硫酸根离子</w:t>
            </w:r>
          </w:p>
        </w:tc>
        <w:tc>
          <w:tcPr>
            <w:tcW w:w="3062" w:type="pct"/>
            <w:vMerge w:val="continue"/>
            <w:vAlign w:val="center"/>
          </w:tcPr>
          <w:p w14:paraId="3950CB5B">
            <w:pPr>
              <w:spacing w:line="0" w:lineRule="atLeast"/>
              <w:jc w:val="center"/>
              <w:rPr>
                <w:rFonts w:hint="eastAsia" w:hAnsi="宋体" w:cs="宋体"/>
                <w:color w:val="000000"/>
                <w:spacing w:val="-10"/>
                <w:sz w:val="21"/>
                <w:szCs w:val="21"/>
              </w:rPr>
            </w:pPr>
          </w:p>
        </w:tc>
        <w:tc>
          <w:tcPr>
            <w:tcW w:w="844" w:type="pct"/>
            <w:vAlign w:val="center"/>
          </w:tcPr>
          <w:p w14:paraId="3877AFD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0.018 mg/L</w:t>
            </w:r>
          </w:p>
        </w:tc>
      </w:tr>
      <w:tr w14:paraId="095E2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701C51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42</w:t>
            </w:r>
          </w:p>
        </w:tc>
        <w:tc>
          <w:tcPr>
            <w:tcW w:w="710" w:type="pct"/>
            <w:vAlign w:val="center"/>
          </w:tcPr>
          <w:p w14:paraId="7477643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总大肠菌群</w:t>
            </w:r>
          </w:p>
        </w:tc>
        <w:tc>
          <w:tcPr>
            <w:tcW w:w="3062" w:type="pct"/>
            <w:vAlign w:val="center"/>
          </w:tcPr>
          <w:p w14:paraId="6C14F6B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第12部分：微生物指标》</w:t>
            </w:r>
          </w:p>
          <w:p w14:paraId="3731986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（GB/T 5750.12-2023）</w:t>
            </w:r>
          </w:p>
        </w:tc>
        <w:tc>
          <w:tcPr>
            <w:tcW w:w="844" w:type="pct"/>
            <w:vAlign w:val="center"/>
          </w:tcPr>
          <w:p w14:paraId="10FE74F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7968C8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6" w:type="dxa"/>
            <w:left w:w="28" w:type="dxa"/>
            <w:bottom w:w="6" w:type="dxa"/>
            <w:right w:w="28" w:type="dxa"/>
          </w:tblCellMar>
        </w:tblPrEx>
        <w:trPr>
          <w:trHeight w:val="397" w:hRule="atLeast"/>
          <w:jc w:val="center"/>
        </w:trPr>
        <w:tc>
          <w:tcPr>
            <w:tcW w:w="384" w:type="pct"/>
            <w:vAlign w:val="center"/>
          </w:tcPr>
          <w:p w14:paraId="736658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43</w:t>
            </w:r>
          </w:p>
        </w:tc>
        <w:tc>
          <w:tcPr>
            <w:tcW w:w="710" w:type="pct"/>
            <w:vAlign w:val="center"/>
          </w:tcPr>
          <w:p w14:paraId="221D10B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细菌总数</w:t>
            </w:r>
          </w:p>
        </w:tc>
        <w:tc>
          <w:tcPr>
            <w:tcW w:w="3062" w:type="pct"/>
            <w:vAlign w:val="center"/>
          </w:tcPr>
          <w:p w14:paraId="63A134E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《生活饮用水标准检验方法 第12部分：微生物指标》</w:t>
            </w:r>
          </w:p>
          <w:p w14:paraId="25AC532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（GB/T 5750.12-2023）4.1 平皿计数法</w:t>
            </w:r>
          </w:p>
        </w:tc>
        <w:tc>
          <w:tcPr>
            <w:tcW w:w="844" w:type="pct"/>
            <w:vAlign w:val="center"/>
          </w:tcPr>
          <w:p w14:paraId="475EEFF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6C179678">
      <w:pPr>
        <w:spacing w:before="240" w:line="480" w:lineRule="exact"/>
        <w:outlineLvl w:val="2"/>
        <w:rPr>
          <w:rFonts w:hint="eastAsia" w:hAnsi="宋体" w:cs="宋体"/>
          <w:color w:val="000000"/>
          <w:szCs w:val="24"/>
        </w:rPr>
      </w:pPr>
      <w:r>
        <w:rPr>
          <w:rFonts w:hint="eastAsia" w:hAnsi="宋体" w:cs="宋体"/>
          <w:color w:val="000000"/>
          <w:szCs w:val="24"/>
        </w:rPr>
        <w:t>4.3.2 地下水环境现状评价</w:t>
      </w:r>
    </w:p>
    <w:p w14:paraId="52F1CBD2">
      <w:pPr>
        <w:spacing w:line="480" w:lineRule="exact"/>
        <w:ind w:firstLine="526" w:firstLineChars="200"/>
        <w:rPr>
          <w:rFonts w:hAnsi="宋体"/>
          <w:color w:val="000000"/>
          <w:szCs w:val="24"/>
        </w:rPr>
      </w:pPr>
      <w:r>
        <w:rPr>
          <w:rFonts w:hint="eastAsia" w:hAnsi="宋体"/>
          <w:color w:val="000000"/>
          <w:szCs w:val="24"/>
        </w:rPr>
        <w:t>（1）评价方法</w:t>
      </w:r>
    </w:p>
    <w:p w14:paraId="2E64B2C6">
      <w:pPr>
        <w:spacing w:line="480" w:lineRule="exact"/>
        <w:ind w:firstLine="526" w:firstLineChars="200"/>
        <w:rPr>
          <w:rFonts w:hint="eastAsia" w:hAnsi="宋体"/>
          <w:color w:val="000000"/>
          <w:szCs w:val="24"/>
        </w:rPr>
      </w:pPr>
      <w:r>
        <w:rPr>
          <w:rFonts w:hint="eastAsia" w:hAnsi="宋体"/>
          <w:color w:val="000000"/>
          <w:szCs w:val="24"/>
        </w:rPr>
        <w:t>①采用单因子标准指数法，其计算公式为：</w:t>
      </w:r>
    </w:p>
    <w:p w14:paraId="1378CD61">
      <w:pPr>
        <w:spacing w:before="479" w:beforeLines="100" w:line="480" w:lineRule="exact"/>
        <w:ind w:firstLine="526" w:firstLineChars="200"/>
        <w:rPr>
          <w:rFonts w:hAnsi="宋体"/>
          <w:color w:val="000000"/>
          <w:szCs w:val="24"/>
        </w:rPr>
      </w:pPr>
      <w:r>
        <w:rPr>
          <w:rFonts w:hint="eastAsia" w:hAnsi="宋体"/>
          <w:color w:val="000000"/>
          <w:szCs w:val="24"/>
        </w:rPr>
        <w:t xml:space="preserve">       </w:t>
      </w:r>
      <w:r>
        <w:rPr>
          <w:rFonts w:hint="eastAsia" w:hAnsi="宋体"/>
          <w:color w:val="000000"/>
          <w:szCs w:val="24"/>
        </w:rPr>
        <w:object>
          <v:shape id="_x0000_i1025" o:spt="75" type="#_x0000_t75" style="height:35.2pt;width:44.2pt;" o:ole="t" filled="f" o:preferrelative="t" stroked="f" coordsize="21600,21600">
            <v:path/>
            <v:fill on="f" focussize="0,0"/>
            <v:stroke on="f"/>
            <v:imagedata r:id="rId29" o:title=""/>
            <o:lock v:ext="edit" aspectratio="t"/>
            <w10:wrap type="none"/>
            <w10:anchorlock/>
          </v:shape>
          <o:OLEObject Type="Embed" ProgID="Equation.3" ShapeID="_x0000_i1025" DrawAspect="Content" ObjectID="_1468075725" r:id="rId28">
            <o:LockedField>false</o:LockedField>
          </o:OLEObject>
        </w:object>
      </w:r>
    </w:p>
    <w:p w14:paraId="4228E1EA">
      <w:pPr>
        <w:spacing w:line="480" w:lineRule="exact"/>
        <w:ind w:firstLine="526" w:firstLineChars="200"/>
        <w:rPr>
          <w:rFonts w:hAnsi="宋体"/>
          <w:color w:val="000000"/>
          <w:szCs w:val="24"/>
        </w:rPr>
      </w:pPr>
      <w:r>
        <w:rPr>
          <w:rFonts w:hint="eastAsia" w:hAnsi="宋体"/>
          <w:color w:val="000000"/>
          <w:szCs w:val="24"/>
        </w:rPr>
        <w:t>式中：P</w:t>
      </w:r>
      <w:r>
        <w:rPr>
          <w:rFonts w:hint="eastAsia" w:hAnsi="宋体"/>
          <w:color w:val="000000"/>
          <w:szCs w:val="24"/>
          <w:vertAlign w:val="subscript"/>
        </w:rPr>
        <w:t>i</w:t>
      </w:r>
      <w:r>
        <w:rPr>
          <w:rFonts w:hint="eastAsia" w:hAnsi="宋体"/>
          <w:color w:val="000000"/>
          <w:szCs w:val="24"/>
        </w:rPr>
        <w:t>——第i个水质因子的标准指数，无量纲；</w:t>
      </w:r>
    </w:p>
    <w:p w14:paraId="4C297D53">
      <w:pPr>
        <w:spacing w:line="480" w:lineRule="exact"/>
        <w:ind w:firstLine="1269" w:firstLineChars="483"/>
        <w:rPr>
          <w:rFonts w:hAnsi="宋体"/>
          <w:color w:val="000000"/>
          <w:szCs w:val="24"/>
        </w:rPr>
      </w:pPr>
      <w:r>
        <w:rPr>
          <w:rFonts w:hint="eastAsia" w:hAnsi="宋体"/>
          <w:color w:val="000000"/>
          <w:szCs w:val="24"/>
        </w:rPr>
        <w:t>C</w:t>
      </w:r>
      <w:r>
        <w:rPr>
          <w:rFonts w:hint="eastAsia" w:hAnsi="宋体"/>
          <w:color w:val="000000"/>
          <w:szCs w:val="24"/>
          <w:vertAlign w:val="subscript"/>
        </w:rPr>
        <w:t>i</w:t>
      </w:r>
      <w:r>
        <w:rPr>
          <w:rFonts w:hint="eastAsia" w:hAnsi="宋体"/>
          <w:color w:val="000000"/>
          <w:szCs w:val="24"/>
        </w:rPr>
        <w:t>——第i个水质因子的监测浓度值，mg/L；</w:t>
      </w:r>
    </w:p>
    <w:p w14:paraId="65505474">
      <w:pPr>
        <w:spacing w:line="480" w:lineRule="exact"/>
        <w:ind w:firstLine="1269" w:firstLineChars="483"/>
        <w:rPr>
          <w:rFonts w:hAnsi="宋体"/>
          <w:color w:val="000000"/>
          <w:szCs w:val="24"/>
        </w:rPr>
      </w:pPr>
      <w:r>
        <w:rPr>
          <w:rFonts w:hint="eastAsia" w:hAnsi="宋体"/>
          <w:color w:val="000000"/>
          <w:szCs w:val="24"/>
        </w:rPr>
        <w:t>C</w:t>
      </w:r>
      <w:r>
        <w:rPr>
          <w:rFonts w:hint="eastAsia" w:hAnsi="宋体"/>
          <w:color w:val="000000"/>
          <w:szCs w:val="24"/>
          <w:vertAlign w:val="subscript"/>
        </w:rPr>
        <w:t>oi</w:t>
      </w:r>
      <w:r>
        <w:rPr>
          <w:rFonts w:hint="eastAsia" w:hAnsi="宋体"/>
          <w:color w:val="000000"/>
          <w:szCs w:val="24"/>
        </w:rPr>
        <w:t>——第i个水质因子的标准浓度值，mg/L。</w:t>
      </w:r>
    </w:p>
    <w:p w14:paraId="7031D3A8">
      <w:pPr>
        <w:spacing w:line="480" w:lineRule="exact"/>
        <w:ind w:firstLine="526" w:firstLineChars="200"/>
        <w:rPr>
          <w:rFonts w:hint="eastAsia" w:hAnsi="宋体"/>
          <w:color w:val="000000"/>
          <w:szCs w:val="24"/>
        </w:rPr>
      </w:pPr>
      <w:r>
        <w:rPr>
          <w:rFonts w:hint="eastAsia" w:hAnsi="宋体"/>
          <w:color w:val="000000"/>
          <w:szCs w:val="24"/>
        </w:rPr>
        <w:t>②对于pH值，评价公式为：</w:t>
      </w:r>
    </w:p>
    <w:p w14:paraId="241DF403">
      <w:pPr>
        <w:spacing w:line="259" w:lineRule="auto"/>
        <w:ind w:firstLine="527"/>
        <w:rPr>
          <w:rFonts w:hint="eastAsia" w:hAnsi="宋体" w:cs="宋体"/>
          <w:color w:val="000000"/>
        </w:rPr>
      </w:pPr>
      <w:r>
        <w:rPr>
          <w:rFonts w:hint="eastAsia" w:hAnsi="宋体" w:cs="宋体"/>
          <w:color w:val="000000"/>
        </w:rPr>
        <w:t>P</w:t>
      </w:r>
      <w:r>
        <w:rPr>
          <w:rFonts w:hint="eastAsia" w:hAnsi="宋体" w:cs="宋体"/>
          <w:color w:val="000000"/>
          <w:vertAlign w:val="subscript"/>
        </w:rPr>
        <w:t>pH</w:t>
      </w:r>
      <w:r>
        <w:rPr>
          <w:rFonts w:hint="eastAsia" w:hAnsi="宋体" w:cs="宋体"/>
          <w:color w:val="000000"/>
        </w:rPr>
        <w:t>=（7.0-pH）/（7.0-pH</w:t>
      </w:r>
      <w:r>
        <w:rPr>
          <w:rFonts w:hint="eastAsia" w:hAnsi="宋体" w:cs="宋体"/>
          <w:color w:val="000000"/>
          <w:vertAlign w:val="subscript"/>
        </w:rPr>
        <w:t>sd</w:t>
      </w:r>
      <w:r>
        <w:rPr>
          <w:rFonts w:hint="eastAsia" w:hAnsi="宋体" w:cs="宋体"/>
          <w:color w:val="000000"/>
        </w:rPr>
        <w:t>）（pH≤7.0）</w:t>
      </w:r>
    </w:p>
    <w:p w14:paraId="00BD7C46">
      <w:pPr>
        <w:spacing w:line="259" w:lineRule="auto"/>
        <w:ind w:firstLine="527"/>
        <w:rPr>
          <w:rFonts w:hint="eastAsia" w:hAnsi="宋体" w:cs="宋体"/>
          <w:color w:val="000000"/>
        </w:rPr>
      </w:pPr>
      <w:r>
        <w:rPr>
          <w:rFonts w:hint="eastAsia" w:hAnsi="宋体" w:cs="宋体"/>
          <w:color w:val="000000"/>
        </w:rPr>
        <w:t>P</w:t>
      </w:r>
      <w:r>
        <w:rPr>
          <w:rFonts w:hint="eastAsia" w:hAnsi="宋体" w:cs="宋体"/>
          <w:color w:val="000000"/>
          <w:vertAlign w:val="subscript"/>
        </w:rPr>
        <w:t>pH</w:t>
      </w:r>
      <w:r>
        <w:rPr>
          <w:rFonts w:hint="eastAsia" w:hAnsi="宋体" w:cs="宋体"/>
          <w:color w:val="000000"/>
        </w:rPr>
        <w:t>=（pH-7.0）/（pH</w:t>
      </w:r>
      <w:r>
        <w:rPr>
          <w:rFonts w:hint="eastAsia" w:hAnsi="宋体" w:cs="宋体"/>
          <w:color w:val="000000"/>
          <w:vertAlign w:val="subscript"/>
        </w:rPr>
        <w:t>su</w:t>
      </w:r>
      <w:r>
        <w:rPr>
          <w:rFonts w:hint="eastAsia" w:hAnsi="宋体" w:cs="宋体"/>
          <w:color w:val="000000"/>
        </w:rPr>
        <w:t>-7.0）（pH＞7.0）</w:t>
      </w:r>
    </w:p>
    <w:p w14:paraId="50933F09">
      <w:pPr>
        <w:spacing w:line="460" w:lineRule="exact"/>
        <w:ind w:firstLine="527"/>
        <w:rPr>
          <w:rFonts w:hint="eastAsia" w:hAnsi="宋体" w:cs="宋体"/>
          <w:color w:val="000000"/>
        </w:rPr>
      </w:pPr>
      <w:r>
        <w:rPr>
          <w:rFonts w:hint="eastAsia" w:hAnsi="宋体" w:cs="宋体"/>
          <w:color w:val="000000"/>
        </w:rPr>
        <w:t>式中：P</w:t>
      </w:r>
      <w:r>
        <w:rPr>
          <w:rFonts w:hint="eastAsia" w:hAnsi="宋体" w:cs="宋体"/>
          <w:color w:val="000000"/>
          <w:vertAlign w:val="subscript"/>
        </w:rPr>
        <w:t>pH</w:t>
      </w:r>
      <w:r>
        <w:rPr>
          <w:rFonts w:hint="eastAsia" w:hAnsi="宋体" w:cs="宋体"/>
          <w:color w:val="000000"/>
        </w:rPr>
        <w:t>—pH的标准指数，量纲为1；</w:t>
      </w:r>
    </w:p>
    <w:p w14:paraId="1D4B4DBD">
      <w:pPr>
        <w:spacing w:line="460" w:lineRule="exact"/>
        <w:ind w:firstLine="1290"/>
        <w:rPr>
          <w:rFonts w:hint="eastAsia" w:hAnsi="宋体" w:cs="宋体"/>
          <w:color w:val="000000"/>
        </w:rPr>
      </w:pPr>
      <w:r>
        <w:rPr>
          <w:rFonts w:hint="eastAsia" w:hAnsi="宋体" w:cs="宋体"/>
          <w:color w:val="000000"/>
        </w:rPr>
        <w:t>pH--pH监测值；</w:t>
      </w:r>
    </w:p>
    <w:p w14:paraId="00B94C61">
      <w:pPr>
        <w:spacing w:line="460" w:lineRule="exact"/>
        <w:ind w:firstLine="1290"/>
        <w:rPr>
          <w:rFonts w:hint="eastAsia" w:hAnsi="宋体" w:cs="宋体"/>
          <w:color w:val="000000"/>
        </w:rPr>
      </w:pPr>
      <w:r>
        <w:rPr>
          <w:rFonts w:hint="eastAsia" w:hAnsi="宋体" w:cs="宋体"/>
          <w:color w:val="000000"/>
        </w:rPr>
        <w:t>pH</w:t>
      </w:r>
      <w:r>
        <w:rPr>
          <w:rFonts w:hint="eastAsia" w:hAnsi="宋体" w:cs="宋体"/>
          <w:color w:val="000000"/>
          <w:vertAlign w:val="subscript"/>
        </w:rPr>
        <w:t>sd</w:t>
      </w:r>
      <w:r>
        <w:rPr>
          <w:rFonts w:hint="eastAsia" w:hAnsi="宋体" w:cs="宋体"/>
          <w:color w:val="000000"/>
        </w:rPr>
        <w:t>—标准中下限值；</w:t>
      </w:r>
    </w:p>
    <w:p w14:paraId="12F4B875">
      <w:pPr>
        <w:spacing w:line="460" w:lineRule="exact"/>
        <w:ind w:firstLine="1290"/>
        <w:rPr>
          <w:rFonts w:hAnsi="宋体"/>
          <w:color w:val="000000"/>
          <w:szCs w:val="24"/>
        </w:rPr>
      </w:pPr>
      <w:r>
        <w:rPr>
          <w:rFonts w:hint="eastAsia" w:hAnsi="宋体" w:cs="宋体"/>
          <w:color w:val="000000"/>
        </w:rPr>
        <w:t>pH</w:t>
      </w:r>
      <w:r>
        <w:rPr>
          <w:rFonts w:hint="eastAsia" w:hAnsi="宋体" w:cs="宋体"/>
          <w:color w:val="000000"/>
          <w:vertAlign w:val="subscript"/>
        </w:rPr>
        <w:t>su</w:t>
      </w:r>
      <w:r>
        <w:rPr>
          <w:rFonts w:hint="eastAsia" w:hAnsi="宋体" w:cs="宋体"/>
          <w:color w:val="000000"/>
        </w:rPr>
        <w:t>—标准的上限值</w:t>
      </w:r>
      <w:r>
        <w:rPr>
          <w:rFonts w:hint="eastAsia" w:hAnsi="宋体"/>
          <w:color w:val="000000"/>
          <w:szCs w:val="24"/>
        </w:rPr>
        <w:t>。</w:t>
      </w:r>
    </w:p>
    <w:p w14:paraId="272867A9">
      <w:pPr>
        <w:spacing w:line="460" w:lineRule="exact"/>
        <w:ind w:firstLine="526" w:firstLineChars="200"/>
        <w:rPr>
          <w:rFonts w:hAnsi="宋体"/>
          <w:color w:val="000000"/>
          <w:szCs w:val="24"/>
        </w:rPr>
      </w:pPr>
      <w:r>
        <w:rPr>
          <w:rFonts w:hint="eastAsia" w:hAnsi="宋体"/>
          <w:color w:val="000000"/>
          <w:szCs w:val="24"/>
        </w:rPr>
        <w:t>评价标准：各监测因子执行《地下水质量标准》（GB/T14848-2017）Ⅲ类标准；</w:t>
      </w:r>
      <w:r>
        <w:rPr>
          <w:rFonts w:hint="eastAsia" w:hAnsi="宋体" w:cs="宋体"/>
          <w:color w:val="000000"/>
          <w:szCs w:val="24"/>
          <w:lang w:bidi="ar"/>
        </w:rPr>
        <w:t>石油类参照执行《地表水环境质量标准》（GB3838-2002）Ⅲ类标准</w:t>
      </w:r>
      <w:r>
        <w:rPr>
          <w:rFonts w:hint="eastAsia" w:hAnsi="宋体"/>
          <w:color w:val="000000"/>
          <w:szCs w:val="24"/>
        </w:rPr>
        <w:t>。</w:t>
      </w:r>
    </w:p>
    <w:p w14:paraId="25E945DA">
      <w:pPr>
        <w:spacing w:line="460" w:lineRule="exact"/>
        <w:ind w:firstLine="526" w:firstLineChars="200"/>
        <w:rPr>
          <w:rFonts w:hAnsi="宋体"/>
          <w:color w:val="000000"/>
          <w:szCs w:val="24"/>
        </w:rPr>
      </w:pPr>
      <w:r>
        <w:rPr>
          <w:rFonts w:hint="eastAsia" w:hAnsi="宋体"/>
          <w:color w:val="000000"/>
          <w:szCs w:val="24"/>
        </w:rPr>
        <w:t>（2）水质监测及评价结果</w:t>
      </w:r>
    </w:p>
    <w:p w14:paraId="51F48020">
      <w:pPr>
        <w:spacing w:line="460" w:lineRule="exact"/>
        <w:ind w:firstLine="526" w:firstLineChars="200"/>
        <w:rPr>
          <w:rFonts w:hAnsi="宋体" w:cs="宋体"/>
          <w:color w:val="000000"/>
          <w:szCs w:val="24"/>
        </w:rPr>
      </w:pPr>
      <w:r>
        <w:rPr>
          <w:rFonts w:hint="eastAsia" w:hAnsi="宋体" w:cs="宋体"/>
          <w:color w:val="000000"/>
          <w:szCs w:val="24"/>
        </w:rPr>
        <w:t>地下水质量现状监测与评价结果见表4.3-3。</w:t>
      </w:r>
    </w:p>
    <w:p w14:paraId="28720CE3">
      <w:pPr>
        <w:ind w:firstLine="526" w:firstLineChars="200"/>
        <w:rPr>
          <w:rFonts w:ascii="黑体" w:hAnsi="黑体" w:eastAsia="黑体"/>
          <w:color w:val="000000"/>
          <w:szCs w:val="24"/>
        </w:rPr>
      </w:pPr>
      <w:r>
        <w:rPr>
          <w:rFonts w:hint="eastAsia" w:ascii="黑体" w:hAnsi="黑体" w:eastAsia="黑体"/>
          <w:color w:val="000000"/>
          <w:szCs w:val="24"/>
        </w:rPr>
        <w:t xml:space="preserve">表4.3-3      </w:t>
      </w:r>
      <w:r>
        <w:rPr>
          <w:rFonts w:ascii="黑体" w:hAnsi="黑体" w:eastAsia="黑体"/>
          <w:color w:val="000000"/>
          <w:szCs w:val="24"/>
        </w:rPr>
        <w:t xml:space="preserve"> </w:t>
      </w:r>
      <w:r>
        <w:rPr>
          <w:rFonts w:hint="eastAsia" w:ascii="黑体" w:hAnsi="黑体" w:eastAsia="黑体"/>
          <w:color w:val="000000"/>
          <w:szCs w:val="24"/>
        </w:rPr>
        <w:t>地下水质量现状监测及评价结果一览表       mg/L</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67"/>
        <w:gridCol w:w="925"/>
        <w:gridCol w:w="1668"/>
        <w:gridCol w:w="1474"/>
        <w:gridCol w:w="1240"/>
        <w:gridCol w:w="1493"/>
        <w:gridCol w:w="1518"/>
      </w:tblGrid>
      <w:tr w14:paraId="7F378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03874AA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序号</w:t>
            </w:r>
          </w:p>
        </w:tc>
        <w:tc>
          <w:tcPr>
            <w:tcW w:w="2263" w:type="pct"/>
            <w:gridSpan w:val="3"/>
            <w:vMerge w:val="restart"/>
            <w:noWrap/>
            <w:tcMar>
              <w:top w:w="15" w:type="dxa"/>
              <w:left w:w="15" w:type="dxa"/>
              <w:right w:w="15" w:type="dxa"/>
            </w:tcMar>
            <w:vAlign w:val="center"/>
          </w:tcPr>
          <w:p w14:paraId="09EED16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项目</w:t>
            </w:r>
          </w:p>
        </w:tc>
        <w:tc>
          <w:tcPr>
            <w:tcW w:w="2366" w:type="pct"/>
            <w:gridSpan w:val="3"/>
            <w:noWrap/>
            <w:tcMar>
              <w:top w:w="15" w:type="dxa"/>
              <w:left w:w="15" w:type="dxa"/>
              <w:right w:w="15" w:type="dxa"/>
            </w:tcMar>
            <w:vAlign w:val="center"/>
          </w:tcPr>
          <w:p w14:paraId="3AECEA8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潜水</w:t>
            </w:r>
          </w:p>
        </w:tc>
      </w:tr>
      <w:tr w14:paraId="7ADCC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A8CA31C">
            <w:pPr>
              <w:spacing w:line="0" w:lineRule="atLeast"/>
              <w:jc w:val="center"/>
              <w:rPr>
                <w:rFonts w:hint="eastAsia" w:hAnsi="宋体" w:cs="宋体"/>
                <w:color w:val="000000"/>
                <w:spacing w:val="-10"/>
                <w:kern w:val="0"/>
                <w:sz w:val="21"/>
                <w:szCs w:val="21"/>
              </w:rPr>
            </w:pPr>
          </w:p>
        </w:tc>
        <w:tc>
          <w:tcPr>
            <w:tcW w:w="2263" w:type="pct"/>
            <w:gridSpan w:val="3"/>
            <w:vMerge w:val="continue"/>
            <w:noWrap/>
            <w:tcMar>
              <w:top w:w="15" w:type="dxa"/>
              <w:left w:w="15" w:type="dxa"/>
              <w:right w:w="15" w:type="dxa"/>
            </w:tcMar>
            <w:vAlign w:val="center"/>
          </w:tcPr>
          <w:p w14:paraId="23BC1319">
            <w:pPr>
              <w:spacing w:line="0" w:lineRule="atLeast"/>
              <w:jc w:val="center"/>
              <w:rPr>
                <w:rFonts w:hint="eastAsia" w:hAnsi="宋体" w:cs="宋体"/>
                <w:color w:val="000000"/>
                <w:spacing w:val="-10"/>
                <w:kern w:val="0"/>
                <w:sz w:val="21"/>
                <w:szCs w:val="21"/>
              </w:rPr>
            </w:pPr>
          </w:p>
        </w:tc>
        <w:tc>
          <w:tcPr>
            <w:tcW w:w="690" w:type="pct"/>
            <w:tcMar>
              <w:top w:w="15" w:type="dxa"/>
              <w:left w:w="15" w:type="dxa"/>
              <w:right w:w="15" w:type="dxa"/>
            </w:tcMar>
            <w:vAlign w:val="center"/>
          </w:tcPr>
          <w:p w14:paraId="3F8B001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831" w:type="pct"/>
            <w:tcMar>
              <w:top w:w="15" w:type="dxa"/>
              <w:left w:w="15" w:type="dxa"/>
              <w:right w:w="15" w:type="dxa"/>
            </w:tcMar>
            <w:vAlign w:val="center"/>
          </w:tcPr>
          <w:p w14:paraId="2EB5820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845" w:type="pct"/>
            <w:tcMar>
              <w:top w:w="15" w:type="dxa"/>
              <w:left w:w="15" w:type="dxa"/>
              <w:right w:w="15" w:type="dxa"/>
            </w:tcMar>
            <w:vAlign w:val="center"/>
          </w:tcPr>
          <w:p w14:paraId="38673C6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r>
      <w:tr w14:paraId="1373F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C5392B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515" w:type="pct"/>
            <w:vMerge w:val="restart"/>
            <w:tcMar>
              <w:top w:w="15" w:type="dxa"/>
              <w:left w:w="15" w:type="dxa"/>
              <w:right w:w="15" w:type="dxa"/>
            </w:tcMar>
            <w:vAlign w:val="center"/>
          </w:tcPr>
          <w:p w14:paraId="50F4E36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色度</w:t>
            </w:r>
          </w:p>
        </w:tc>
        <w:tc>
          <w:tcPr>
            <w:tcW w:w="928" w:type="pct"/>
            <w:tcMar>
              <w:top w:w="15" w:type="dxa"/>
              <w:left w:w="15" w:type="dxa"/>
              <w:right w:w="15" w:type="dxa"/>
            </w:tcMar>
            <w:vAlign w:val="center"/>
          </w:tcPr>
          <w:p w14:paraId="240155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222A4DC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0883C8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780A193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5" w:type="pct"/>
            <w:tcMar>
              <w:top w:w="15" w:type="dxa"/>
              <w:left w:w="15" w:type="dxa"/>
              <w:right w:w="15" w:type="dxa"/>
            </w:tcMar>
            <w:vAlign w:val="center"/>
          </w:tcPr>
          <w:p w14:paraId="0F5EE70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0564F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64BFB7C">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2996234D">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59379B1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≤15</w:t>
            </w:r>
          </w:p>
        </w:tc>
        <w:tc>
          <w:tcPr>
            <w:tcW w:w="820" w:type="pct"/>
            <w:tcMar>
              <w:top w:w="15" w:type="dxa"/>
              <w:left w:w="15" w:type="dxa"/>
              <w:right w:w="15" w:type="dxa"/>
            </w:tcMar>
            <w:vAlign w:val="center"/>
          </w:tcPr>
          <w:p w14:paraId="7B78ED4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761C39D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tcMar>
              <w:top w:w="15" w:type="dxa"/>
              <w:left w:w="15" w:type="dxa"/>
              <w:right w:w="15" w:type="dxa"/>
            </w:tcMar>
            <w:vAlign w:val="center"/>
          </w:tcPr>
          <w:p w14:paraId="5FC602C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tcMar>
              <w:top w:w="15" w:type="dxa"/>
              <w:left w:w="15" w:type="dxa"/>
              <w:right w:w="15" w:type="dxa"/>
            </w:tcMar>
            <w:vAlign w:val="center"/>
          </w:tcPr>
          <w:p w14:paraId="6205555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7081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6AA230E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515" w:type="pct"/>
            <w:vMerge w:val="restart"/>
            <w:tcMar>
              <w:top w:w="15" w:type="dxa"/>
              <w:left w:w="15" w:type="dxa"/>
              <w:right w:w="15" w:type="dxa"/>
            </w:tcMar>
            <w:vAlign w:val="center"/>
          </w:tcPr>
          <w:p w14:paraId="5B4429A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臭(嗅)</w:t>
            </w:r>
          </w:p>
          <w:p w14:paraId="2C73D27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和味</w:t>
            </w:r>
          </w:p>
        </w:tc>
        <w:tc>
          <w:tcPr>
            <w:tcW w:w="928" w:type="pct"/>
            <w:tcMar>
              <w:top w:w="15" w:type="dxa"/>
              <w:left w:w="15" w:type="dxa"/>
              <w:right w:w="15" w:type="dxa"/>
            </w:tcMar>
            <w:vAlign w:val="center"/>
          </w:tcPr>
          <w:p w14:paraId="427DCDA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03B385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3B82D77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31" w:type="pct"/>
            <w:tcMar>
              <w:top w:w="15" w:type="dxa"/>
              <w:left w:w="15" w:type="dxa"/>
              <w:right w:w="15" w:type="dxa"/>
            </w:tcMar>
            <w:vAlign w:val="center"/>
          </w:tcPr>
          <w:p w14:paraId="75A64E1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45" w:type="pct"/>
            <w:tcMar>
              <w:top w:w="15" w:type="dxa"/>
              <w:left w:w="15" w:type="dxa"/>
              <w:right w:w="15" w:type="dxa"/>
            </w:tcMar>
            <w:vAlign w:val="center"/>
          </w:tcPr>
          <w:p w14:paraId="019F118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r>
      <w:tr w14:paraId="72C980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785DCC8">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34884007">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1C2B2FF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20" w:type="pct"/>
            <w:tcMar>
              <w:top w:w="15" w:type="dxa"/>
              <w:left w:w="15" w:type="dxa"/>
              <w:right w:w="15" w:type="dxa"/>
            </w:tcMar>
            <w:vAlign w:val="center"/>
          </w:tcPr>
          <w:p w14:paraId="14792B8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0F921C9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7C1803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454C50A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5A002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03BD2D1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c>
          <w:tcPr>
            <w:tcW w:w="515" w:type="pct"/>
            <w:vMerge w:val="restart"/>
            <w:tcMar>
              <w:top w:w="15" w:type="dxa"/>
              <w:left w:w="15" w:type="dxa"/>
              <w:right w:w="15" w:type="dxa"/>
            </w:tcMar>
            <w:vAlign w:val="center"/>
          </w:tcPr>
          <w:p w14:paraId="35665B1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肉眼</w:t>
            </w:r>
          </w:p>
          <w:p w14:paraId="54C6858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可见物</w:t>
            </w:r>
          </w:p>
        </w:tc>
        <w:tc>
          <w:tcPr>
            <w:tcW w:w="928" w:type="pct"/>
            <w:tcMar>
              <w:top w:w="15" w:type="dxa"/>
              <w:left w:w="15" w:type="dxa"/>
              <w:right w:w="15" w:type="dxa"/>
            </w:tcMar>
            <w:vAlign w:val="center"/>
          </w:tcPr>
          <w:p w14:paraId="24C70B7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81D66F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70463D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31" w:type="pct"/>
            <w:tcMar>
              <w:top w:w="15" w:type="dxa"/>
              <w:left w:w="15" w:type="dxa"/>
              <w:right w:w="15" w:type="dxa"/>
            </w:tcMar>
            <w:vAlign w:val="center"/>
          </w:tcPr>
          <w:p w14:paraId="7A20124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45" w:type="pct"/>
            <w:tcMar>
              <w:top w:w="15" w:type="dxa"/>
              <w:left w:w="15" w:type="dxa"/>
              <w:right w:w="15" w:type="dxa"/>
            </w:tcMar>
            <w:vAlign w:val="center"/>
          </w:tcPr>
          <w:p w14:paraId="4918206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r>
      <w:tr w14:paraId="2169F9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8162793">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3C24FE8C">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693BE0B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820" w:type="pct"/>
            <w:tcMar>
              <w:top w:w="15" w:type="dxa"/>
              <w:left w:w="15" w:type="dxa"/>
              <w:right w:w="15" w:type="dxa"/>
            </w:tcMar>
            <w:vAlign w:val="center"/>
          </w:tcPr>
          <w:p w14:paraId="213874C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AD9C36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719C6E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5431F66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E22B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3FDDE42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w:t>
            </w:r>
          </w:p>
        </w:tc>
        <w:tc>
          <w:tcPr>
            <w:tcW w:w="515" w:type="pct"/>
            <w:vMerge w:val="restart"/>
            <w:tcMar>
              <w:top w:w="15" w:type="dxa"/>
              <w:left w:w="15" w:type="dxa"/>
              <w:right w:w="15" w:type="dxa"/>
            </w:tcMar>
            <w:vAlign w:val="center"/>
          </w:tcPr>
          <w:p w14:paraId="05DF3AE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浑浊度</w:t>
            </w:r>
          </w:p>
        </w:tc>
        <w:tc>
          <w:tcPr>
            <w:tcW w:w="928" w:type="pct"/>
            <w:tcMar>
              <w:top w:w="15" w:type="dxa"/>
              <w:left w:w="15" w:type="dxa"/>
              <w:right w:w="15" w:type="dxa"/>
            </w:tcMar>
            <w:vAlign w:val="center"/>
          </w:tcPr>
          <w:p w14:paraId="6EBC99D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2A8ABBE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noWrap/>
            <w:tcMar>
              <w:top w:w="15" w:type="dxa"/>
              <w:left w:w="15" w:type="dxa"/>
              <w:right w:w="15" w:type="dxa"/>
            </w:tcMar>
            <w:vAlign w:val="center"/>
          </w:tcPr>
          <w:p w14:paraId="092BEB5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noWrap/>
            <w:tcMar>
              <w:top w:w="15" w:type="dxa"/>
              <w:left w:w="15" w:type="dxa"/>
              <w:right w:w="15" w:type="dxa"/>
            </w:tcMar>
            <w:vAlign w:val="center"/>
          </w:tcPr>
          <w:p w14:paraId="642A06A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5" w:type="pct"/>
            <w:noWrap/>
            <w:tcMar>
              <w:top w:w="15" w:type="dxa"/>
              <w:left w:w="15" w:type="dxa"/>
              <w:right w:w="15" w:type="dxa"/>
            </w:tcMar>
            <w:vAlign w:val="center"/>
          </w:tcPr>
          <w:p w14:paraId="1641702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5BCD0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5A5F10EB">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50A050DB">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080FC09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c>
          <w:tcPr>
            <w:tcW w:w="820" w:type="pct"/>
            <w:tcMar>
              <w:top w:w="15" w:type="dxa"/>
              <w:left w:w="15" w:type="dxa"/>
              <w:right w:w="15" w:type="dxa"/>
            </w:tcMar>
            <w:vAlign w:val="center"/>
          </w:tcPr>
          <w:p w14:paraId="47286A5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070C9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431FDB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32C96A8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0CCE58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1D37EE8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w:t>
            </w:r>
          </w:p>
        </w:tc>
        <w:tc>
          <w:tcPr>
            <w:tcW w:w="515" w:type="pct"/>
            <w:vMerge w:val="restart"/>
            <w:tcMar>
              <w:top w:w="15" w:type="dxa"/>
              <w:left w:w="15" w:type="dxa"/>
              <w:right w:w="15" w:type="dxa"/>
            </w:tcMar>
            <w:vAlign w:val="center"/>
          </w:tcPr>
          <w:p w14:paraId="1D563CB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pH</w:t>
            </w:r>
          </w:p>
        </w:tc>
        <w:tc>
          <w:tcPr>
            <w:tcW w:w="928" w:type="pct"/>
            <w:tcMar>
              <w:top w:w="15" w:type="dxa"/>
              <w:left w:w="15" w:type="dxa"/>
              <w:right w:w="15" w:type="dxa"/>
            </w:tcMar>
            <w:vAlign w:val="center"/>
          </w:tcPr>
          <w:p w14:paraId="0EA8C2B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6E2702B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7865D85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7.4</w:t>
            </w:r>
          </w:p>
        </w:tc>
        <w:tc>
          <w:tcPr>
            <w:tcW w:w="831" w:type="pct"/>
            <w:tcMar>
              <w:top w:w="15" w:type="dxa"/>
              <w:left w:w="15" w:type="dxa"/>
              <w:right w:w="15" w:type="dxa"/>
            </w:tcMar>
            <w:vAlign w:val="center"/>
          </w:tcPr>
          <w:p w14:paraId="132E40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7.5</w:t>
            </w:r>
          </w:p>
        </w:tc>
        <w:tc>
          <w:tcPr>
            <w:tcW w:w="845" w:type="pct"/>
            <w:tcMar>
              <w:top w:w="15" w:type="dxa"/>
              <w:left w:w="15" w:type="dxa"/>
              <w:right w:w="15" w:type="dxa"/>
            </w:tcMar>
            <w:vAlign w:val="center"/>
          </w:tcPr>
          <w:p w14:paraId="42D3DFC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7.6</w:t>
            </w:r>
          </w:p>
        </w:tc>
      </w:tr>
      <w:tr w14:paraId="63B68C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5767066">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5EAA8467">
            <w:pPr>
              <w:spacing w:line="0" w:lineRule="atLeast"/>
              <w:jc w:val="center"/>
              <w:rPr>
                <w:rFonts w:hint="eastAsia" w:hAnsi="宋体" w:cs="宋体"/>
                <w:color w:val="000000"/>
                <w:spacing w:val="-10"/>
                <w:kern w:val="0"/>
                <w:sz w:val="21"/>
                <w:szCs w:val="21"/>
              </w:rPr>
            </w:pPr>
          </w:p>
        </w:tc>
        <w:tc>
          <w:tcPr>
            <w:tcW w:w="928" w:type="pct"/>
            <w:noWrap/>
            <w:tcMar>
              <w:top w:w="15" w:type="dxa"/>
              <w:left w:w="15" w:type="dxa"/>
              <w:right w:w="15" w:type="dxa"/>
            </w:tcMar>
            <w:vAlign w:val="center"/>
          </w:tcPr>
          <w:p w14:paraId="0038DF7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6.5～8.5</w:t>
            </w:r>
          </w:p>
        </w:tc>
        <w:tc>
          <w:tcPr>
            <w:tcW w:w="820" w:type="pct"/>
            <w:tcMar>
              <w:top w:w="15" w:type="dxa"/>
              <w:left w:w="15" w:type="dxa"/>
              <w:right w:w="15" w:type="dxa"/>
            </w:tcMar>
            <w:vAlign w:val="center"/>
          </w:tcPr>
          <w:p w14:paraId="70C131E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5082444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0.266</w:t>
            </w:r>
          </w:p>
        </w:tc>
        <w:tc>
          <w:tcPr>
            <w:tcW w:w="831" w:type="pct"/>
            <w:tcMar>
              <w:top w:w="15" w:type="dxa"/>
              <w:left w:w="15" w:type="dxa"/>
              <w:right w:w="15" w:type="dxa"/>
            </w:tcMar>
            <w:vAlign w:val="center"/>
          </w:tcPr>
          <w:p w14:paraId="006D03D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0.333</w:t>
            </w:r>
          </w:p>
        </w:tc>
        <w:tc>
          <w:tcPr>
            <w:tcW w:w="845" w:type="pct"/>
            <w:tcMar>
              <w:top w:w="15" w:type="dxa"/>
              <w:left w:w="15" w:type="dxa"/>
              <w:right w:w="15" w:type="dxa"/>
            </w:tcMar>
            <w:vAlign w:val="center"/>
          </w:tcPr>
          <w:p w14:paraId="3800283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0.400</w:t>
            </w:r>
          </w:p>
        </w:tc>
      </w:tr>
      <w:tr w14:paraId="0A8AA0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699F3D5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w:t>
            </w:r>
          </w:p>
        </w:tc>
        <w:tc>
          <w:tcPr>
            <w:tcW w:w="515" w:type="pct"/>
            <w:vMerge w:val="restart"/>
            <w:tcMar>
              <w:top w:w="15" w:type="dxa"/>
              <w:left w:w="15" w:type="dxa"/>
              <w:right w:w="15" w:type="dxa"/>
            </w:tcMar>
            <w:vAlign w:val="center"/>
          </w:tcPr>
          <w:p w14:paraId="6DD5A95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总硬度</w:t>
            </w:r>
          </w:p>
        </w:tc>
        <w:tc>
          <w:tcPr>
            <w:tcW w:w="928" w:type="pct"/>
            <w:tcMar>
              <w:top w:w="15" w:type="dxa"/>
              <w:left w:w="15" w:type="dxa"/>
              <w:right w:w="15" w:type="dxa"/>
            </w:tcMar>
            <w:vAlign w:val="center"/>
          </w:tcPr>
          <w:p w14:paraId="7D6F411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45333F9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487770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1180</w:t>
            </w:r>
          </w:p>
        </w:tc>
        <w:tc>
          <w:tcPr>
            <w:tcW w:w="831" w:type="pct"/>
            <w:tcMar>
              <w:top w:w="15" w:type="dxa"/>
              <w:left w:w="15" w:type="dxa"/>
              <w:right w:w="15" w:type="dxa"/>
            </w:tcMar>
            <w:vAlign w:val="center"/>
          </w:tcPr>
          <w:p w14:paraId="44B5943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1780</w:t>
            </w:r>
          </w:p>
        </w:tc>
        <w:tc>
          <w:tcPr>
            <w:tcW w:w="845" w:type="pct"/>
            <w:tcMar>
              <w:top w:w="15" w:type="dxa"/>
              <w:left w:w="15" w:type="dxa"/>
              <w:right w:w="15" w:type="dxa"/>
            </w:tcMar>
            <w:vAlign w:val="center"/>
          </w:tcPr>
          <w:p w14:paraId="0A3A13C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612</w:t>
            </w:r>
          </w:p>
        </w:tc>
      </w:tr>
      <w:tr w14:paraId="6ABB33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F5D2F73">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3C761C00">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20F082D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≤450</w:t>
            </w:r>
          </w:p>
        </w:tc>
        <w:tc>
          <w:tcPr>
            <w:tcW w:w="820" w:type="pct"/>
            <w:tcMar>
              <w:top w:w="15" w:type="dxa"/>
              <w:left w:w="15" w:type="dxa"/>
              <w:right w:w="15" w:type="dxa"/>
            </w:tcMar>
            <w:vAlign w:val="center"/>
          </w:tcPr>
          <w:p w14:paraId="2C858E9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21981226">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2.622</w:t>
            </w:r>
          </w:p>
        </w:tc>
        <w:tc>
          <w:tcPr>
            <w:tcW w:w="831" w:type="pct"/>
            <w:tcMar>
              <w:top w:w="15" w:type="dxa"/>
              <w:left w:w="15" w:type="dxa"/>
              <w:right w:w="15" w:type="dxa"/>
            </w:tcMar>
            <w:vAlign w:val="center"/>
          </w:tcPr>
          <w:p w14:paraId="491A56D8">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3.955</w:t>
            </w:r>
          </w:p>
        </w:tc>
        <w:tc>
          <w:tcPr>
            <w:tcW w:w="845" w:type="pct"/>
            <w:tcMar>
              <w:top w:w="15" w:type="dxa"/>
              <w:left w:w="15" w:type="dxa"/>
              <w:right w:w="15" w:type="dxa"/>
            </w:tcMar>
            <w:vAlign w:val="center"/>
          </w:tcPr>
          <w:p w14:paraId="40C055B6">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1.360</w:t>
            </w:r>
          </w:p>
        </w:tc>
      </w:tr>
      <w:tr w14:paraId="5B16A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453033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w:t>
            </w:r>
          </w:p>
        </w:tc>
        <w:tc>
          <w:tcPr>
            <w:tcW w:w="515" w:type="pct"/>
            <w:vMerge w:val="restart"/>
            <w:tcMar>
              <w:top w:w="15" w:type="dxa"/>
              <w:left w:w="15" w:type="dxa"/>
              <w:right w:w="15" w:type="dxa"/>
            </w:tcMar>
            <w:vAlign w:val="center"/>
          </w:tcPr>
          <w:p w14:paraId="11B95E1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溶解性总固体</w:t>
            </w:r>
          </w:p>
        </w:tc>
        <w:tc>
          <w:tcPr>
            <w:tcW w:w="928" w:type="pct"/>
            <w:tcMar>
              <w:top w:w="15" w:type="dxa"/>
              <w:left w:w="15" w:type="dxa"/>
              <w:right w:w="15" w:type="dxa"/>
            </w:tcMar>
            <w:vAlign w:val="center"/>
          </w:tcPr>
          <w:p w14:paraId="5396E24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8BC98E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38F38F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5350</w:t>
            </w:r>
          </w:p>
        </w:tc>
        <w:tc>
          <w:tcPr>
            <w:tcW w:w="831" w:type="pct"/>
            <w:tcMar>
              <w:top w:w="15" w:type="dxa"/>
              <w:left w:w="15" w:type="dxa"/>
              <w:right w:w="15" w:type="dxa"/>
            </w:tcMar>
            <w:vAlign w:val="center"/>
          </w:tcPr>
          <w:p w14:paraId="08EF872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5200</w:t>
            </w:r>
          </w:p>
        </w:tc>
        <w:tc>
          <w:tcPr>
            <w:tcW w:w="845" w:type="pct"/>
            <w:tcMar>
              <w:top w:w="15" w:type="dxa"/>
              <w:left w:w="15" w:type="dxa"/>
              <w:right w:w="15" w:type="dxa"/>
            </w:tcMar>
            <w:vAlign w:val="center"/>
          </w:tcPr>
          <w:p w14:paraId="7B783FB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4820</w:t>
            </w:r>
          </w:p>
        </w:tc>
      </w:tr>
      <w:tr w14:paraId="5C433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5F62550">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0829E1D0">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5F605B5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≤1000</w:t>
            </w:r>
          </w:p>
        </w:tc>
        <w:tc>
          <w:tcPr>
            <w:tcW w:w="820" w:type="pct"/>
            <w:tcMar>
              <w:top w:w="15" w:type="dxa"/>
              <w:left w:w="15" w:type="dxa"/>
              <w:right w:w="15" w:type="dxa"/>
            </w:tcMar>
            <w:vAlign w:val="center"/>
          </w:tcPr>
          <w:p w14:paraId="514D04A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54322FCF">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5.350</w:t>
            </w:r>
          </w:p>
        </w:tc>
        <w:tc>
          <w:tcPr>
            <w:tcW w:w="831" w:type="pct"/>
            <w:tcMar>
              <w:top w:w="15" w:type="dxa"/>
              <w:left w:w="15" w:type="dxa"/>
              <w:right w:w="15" w:type="dxa"/>
            </w:tcMar>
            <w:vAlign w:val="center"/>
          </w:tcPr>
          <w:p w14:paraId="2EDD9270">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5.200</w:t>
            </w:r>
          </w:p>
        </w:tc>
        <w:tc>
          <w:tcPr>
            <w:tcW w:w="845" w:type="pct"/>
            <w:tcMar>
              <w:top w:w="15" w:type="dxa"/>
              <w:left w:w="15" w:type="dxa"/>
              <w:right w:w="15" w:type="dxa"/>
            </w:tcMar>
            <w:vAlign w:val="center"/>
          </w:tcPr>
          <w:p w14:paraId="7E9E6288">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4.820</w:t>
            </w:r>
          </w:p>
        </w:tc>
      </w:tr>
      <w:tr w14:paraId="5606B6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CB52E9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8</w:t>
            </w:r>
          </w:p>
        </w:tc>
        <w:tc>
          <w:tcPr>
            <w:tcW w:w="515" w:type="pct"/>
            <w:vMerge w:val="restart"/>
            <w:tcMar>
              <w:top w:w="15" w:type="dxa"/>
              <w:left w:w="15" w:type="dxa"/>
              <w:right w:w="15" w:type="dxa"/>
            </w:tcMar>
            <w:vAlign w:val="center"/>
          </w:tcPr>
          <w:p w14:paraId="24EC3FC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硫酸盐</w:t>
            </w:r>
          </w:p>
        </w:tc>
        <w:tc>
          <w:tcPr>
            <w:tcW w:w="928" w:type="pct"/>
            <w:tcMar>
              <w:top w:w="15" w:type="dxa"/>
              <w:left w:w="15" w:type="dxa"/>
              <w:right w:w="15" w:type="dxa"/>
            </w:tcMar>
            <w:vAlign w:val="center"/>
          </w:tcPr>
          <w:p w14:paraId="4232290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3B5A8D0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E29CE7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1550</w:t>
            </w:r>
          </w:p>
        </w:tc>
        <w:tc>
          <w:tcPr>
            <w:tcW w:w="831" w:type="pct"/>
            <w:tcMar>
              <w:top w:w="15" w:type="dxa"/>
              <w:left w:w="15" w:type="dxa"/>
              <w:right w:w="15" w:type="dxa"/>
            </w:tcMar>
            <w:vAlign w:val="center"/>
          </w:tcPr>
          <w:p w14:paraId="61E0B92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1780</w:t>
            </w:r>
          </w:p>
        </w:tc>
        <w:tc>
          <w:tcPr>
            <w:tcW w:w="845" w:type="pct"/>
            <w:tcMar>
              <w:top w:w="15" w:type="dxa"/>
              <w:left w:w="15" w:type="dxa"/>
              <w:right w:w="15" w:type="dxa"/>
            </w:tcMar>
            <w:vAlign w:val="center"/>
          </w:tcPr>
          <w:p w14:paraId="2261C39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1020</w:t>
            </w:r>
          </w:p>
        </w:tc>
      </w:tr>
      <w:tr w14:paraId="35791E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673E5C06">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7434DFF7">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0EFC874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≤250</w:t>
            </w:r>
          </w:p>
        </w:tc>
        <w:tc>
          <w:tcPr>
            <w:tcW w:w="820" w:type="pct"/>
            <w:tcMar>
              <w:top w:w="15" w:type="dxa"/>
              <w:left w:w="15" w:type="dxa"/>
              <w:right w:w="15" w:type="dxa"/>
            </w:tcMar>
            <w:vAlign w:val="center"/>
          </w:tcPr>
          <w:p w14:paraId="2F0E35F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1CA5250E">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6.200</w:t>
            </w:r>
          </w:p>
        </w:tc>
        <w:tc>
          <w:tcPr>
            <w:tcW w:w="831" w:type="pct"/>
            <w:tcMar>
              <w:top w:w="15" w:type="dxa"/>
              <w:left w:w="15" w:type="dxa"/>
              <w:right w:w="15" w:type="dxa"/>
            </w:tcMar>
            <w:vAlign w:val="center"/>
          </w:tcPr>
          <w:p w14:paraId="38C00C43">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7.120</w:t>
            </w:r>
          </w:p>
        </w:tc>
        <w:tc>
          <w:tcPr>
            <w:tcW w:w="845" w:type="pct"/>
            <w:tcMar>
              <w:top w:w="15" w:type="dxa"/>
              <w:left w:w="15" w:type="dxa"/>
              <w:right w:w="15" w:type="dxa"/>
            </w:tcMar>
            <w:vAlign w:val="center"/>
          </w:tcPr>
          <w:p w14:paraId="51396CCD">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4.080</w:t>
            </w:r>
          </w:p>
        </w:tc>
      </w:tr>
      <w:tr w14:paraId="50B54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9928B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9</w:t>
            </w:r>
          </w:p>
        </w:tc>
        <w:tc>
          <w:tcPr>
            <w:tcW w:w="515" w:type="pct"/>
            <w:vMerge w:val="restart"/>
            <w:tcMar>
              <w:top w:w="15" w:type="dxa"/>
              <w:left w:w="15" w:type="dxa"/>
              <w:right w:w="15" w:type="dxa"/>
            </w:tcMar>
            <w:vAlign w:val="center"/>
          </w:tcPr>
          <w:p w14:paraId="59AA008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氯化物</w:t>
            </w:r>
          </w:p>
        </w:tc>
        <w:tc>
          <w:tcPr>
            <w:tcW w:w="928" w:type="pct"/>
            <w:tcMar>
              <w:top w:w="15" w:type="dxa"/>
              <w:left w:w="15" w:type="dxa"/>
              <w:right w:w="15" w:type="dxa"/>
            </w:tcMar>
            <w:vAlign w:val="center"/>
          </w:tcPr>
          <w:p w14:paraId="5DD4180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7684E6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09EA5EA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1870</w:t>
            </w:r>
          </w:p>
        </w:tc>
        <w:tc>
          <w:tcPr>
            <w:tcW w:w="831" w:type="pct"/>
            <w:tcMar>
              <w:top w:w="15" w:type="dxa"/>
              <w:left w:w="15" w:type="dxa"/>
              <w:right w:w="15" w:type="dxa"/>
            </w:tcMar>
            <w:vAlign w:val="center"/>
          </w:tcPr>
          <w:p w14:paraId="3AB4C06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1510</w:t>
            </w:r>
          </w:p>
        </w:tc>
        <w:tc>
          <w:tcPr>
            <w:tcW w:w="845" w:type="pct"/>
            <w:tcMar>
              <w:top w:w="15" w:type="dxa"/>
              <w:left w:w="15" w:type="dxa"/>
              <w:right w:w="15" w:type="dxa"/>
            </w:tcMar>
            <w:vAlign w:val="center"/>
          </w:tcPr>
          <w:p w14:paraId="57E6E91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1720</w:t>
            </w:r>
          </w:p>
        </w:tc>
      </w:tr>
      <w:tr w14:paraId="290F85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9A9DD7D">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1E77D5E4">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2D01924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≤250</w:t>
            </w:r>
          </w:p>
        </w:tc>
        <w:tc>
          <w:tcPr>
            <w:tcW w:w="820" w:type="pct"/>
            <w:tcMar>
              <w:top w:w="15" w:type="dxa"/>
              <w:left w:w="15" w:type="dxa"/>
              <w:right w:w="15" w:type="dxa"/>
            </w:tcMar>
            <w:vAlign w:val="center"/>
          </w:tcPr>
          <w:p w14:paraId="680CABB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6B40CF27">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7.480</w:t>
            </w:r>
          </w:p>
        </w:tc>
        <w:tc>
          <w:tcPr>
            <w:tcW w:w="831" w:type="pct"/>
            <w:tcMar>
              <w:top w:w="15" w:type="dxa"/>
              <w:left w:w="15" w:type="dxa"/>
              <w:right w:w="15" w:type="dxa"/>
            </w:tcMar>
            <w:vAlign w:val="center"/>
          </w:tcPr>
          <w:p w14:paraId="5CF01BFA">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6.040</w:t>
            </w:r>
          </w:p>
        </w:tc>
        <w:tc>
          <w:tcPr>
            <w:tcW w:w="845" w:type="pct"/>
            <w:tcMar>
              <w:top w:w="15" w:type="dxa"/>
              <w:left w:w="15" w:type="dxa"/>
              <w:right w:w="15" w:type="dxa"/>
            </w:tcMar>
            <w:vAlign w:val="center"/>
          </w:tcPr>
          <w:p w14:paraId="5DE34624">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6.880</w:t>
            </w:r>
          </w:p>
        </w:tc>
      </w:tr>
      <w:tr w14:paraId="45A628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5C2687D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w:t>
            </w:r>
          </w:p>
        </w:tc>
        <w:tc>
          <w:tcPr>
            <w:tcW w:w="515" w:type="pct"/>
            <w:vMerge w:val="restart"/>
            <w:tcMar>
              <w:top w:w="15" w:type="dxa"/>
              <w:left w:w="15" w:type="dxa"/>
              <w:right w:w="15" w:type="dxa"/>
            </w:tcMar>
            <w:vAlign w:val="center"/>
          </w:tcPr>
          <w:p w14:paraId="7ABDD60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铁</w:t>
            </w:r>
          </w:p>
        </w:tc>
        <w:tc>
          <w:tcPr>
            <w:tcW w:w="928" w:type="pct"/>
            <w:tcMar>
              <w:top w:w="15" w:type="dxa"/>
              <w:left w:w="15" w:type="dxa"/>
              <w:right w:w="15" w:type="dxa"/>
            </w:tcMar>
            <w:vAlign w:val="center"/>
          </w:tcPr>
          <w:p w14:paraId="14C32FA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6E75F6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00421A0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54BAADE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5" w:type="pct"/>
            <w:tcMar>
              <w:top w:w="15" w:type="dxa"/>
              <w:left w:w="15" w:type="dxa"/>
              <w:right w:w="15" w:type="dxa"/>
            </w:tcMar>
            <w:vAlign w:val="center"/>
          </w:tcPr>
          <w:p w14:paraId="0AD293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348178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EF93BF0">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1328CCEC">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5833582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≤0.3</w:t>
            </w:r>
          </w:p>
        </w:tc>
        <w:tc>
          <w:tcPr>
            <w:tcW w:w="820" w:type="pct"/>
            <w:tcMar>
              <w:top w:w="15" w:type="dxa"/>
              <w:left w:w="15" w:type="dxa"/>
              <w:right w:w="15" w:type="dxa"/>
            </w:tcMar>
            <w:vAlign w:val="center"/>
          </w:tcPr>
          <w:p w14:paraId="4FB97B1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10332B0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A7C8DE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130CACF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E5C2C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66C2B3B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11</w:t>
            </w:r>
          </w:p>
        </w:tc>
        <w:tc>
          <w:tcPr>
            <w:tcW w:w="515" w:type="pct"/>
            <w:vMerge w:val="restart"/>
            <w:tcMar>
              <w:top w:w="15" w:type="dxa"/>
              <w:left w:w="15" w:type="dxa"/>
              <w:right w:w="15" w:type="dxa"/>
            </w:tcMar>
            <w:vAlign w:val="center"/>
          </w:tcPr>
          <w:p w14:paraId="469451E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锰</w:t>
            </w:r>
          </w:p>
        </w:tc>
        <w:tc>
          <w:tcPr>
            <w:tcW w:w="928" w:type="pct"/>
            <w:tcMar>
              <w:top w:w="15" w:type="dxa"/>
              <w:left w:w="15" w:type="dxa"/>
              <w:right w:w="15" w:type="dxa"/>
            </w:tcMar>
            <w:vAlign w:val="center"/>
          </w:tcPr>
          <w:p w14:paraId="7081EDB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CE5B5F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960F0E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015310D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5" w:type="pct"/>
            <w:tcMar>
              <w:top w:w="15" w:type="dxa"/>
              <w:left w:w="15" w:type="dxa"/>
              <w:right w:w="15" w:type="dxa"/>
            </w:tcMar>
            <w:vAlign w:val="center"/>
          </w:tcPr>
          <w:p w14:paraId="1335F0A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339187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FB406C1">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3AD2A46D">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5D077BD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≤0.10</w:t>
            </w:r>
          </w:p>
        </w:tc>
        <w:tc>
          <w:tcPr>
            <w:tcW w:w="820" w:type="pct"/>
            <w:tcMar>
              <w:top w:w="15" w:type="dxa"/>
              <w:left w:w="15" w:type="dxa"/>
              <w:right w:w="15" w:type="dxa"/>
            </w:tcMar>
            <w:vAlign w:val="center"/>
          </w:tcPr>
          <w:p w14:paraId="239FFDD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1CF939A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6A1BA7F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4A90189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4907CE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753A5F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w:t>
            </w:r>
          </w:p>
        </w:tc>
        <w:tc>
          <w:tcPr>
            <w:tcW w:w="515" w:type="pct"/>
            <w:vMerge w:val="restart"/>
            <w:tcMar>
              <w:top w:w="15" w:type="dxa"/>
              <w:left w:w="15" w:type="dxa"/>
              <w:right w:w="15" w:type="dxa"/>
            </w:tcMar>
            <w:vAlign w:val="center"/>
          </w:tcPr>
          <w:p w14:paraId="36A4ED6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铜</w:t>
            </w:r>
          </w:p>
        </w:tc>
        <w:tc>
          <w:tcPr>
            <w:tcW w:w="928" w:type="pct"/>
            <w:tcMar>
              <w:top w:w="15" w:type="dxa"/>
              <w:left w:w="15" w:type="dxa"/>
              <w:right w:w="15" w:type="dxa"/>
            </w:tcMar>
            <w:vAlign w:val="center"/>
          </w:tcPr>
          <w:p w14:paraId="0A052CC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485048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B2BC20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3D607FF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5" w:type="pct"/>
            <w:tcMar>
              <w:top w:w="15" w:type="dxa"/>
              <w:left w:w="15" w:type="dxa"/>
              <w:right w:w="15" w:type="dxa"/>
            </w:tcMar>
            <w:vAlign w:val="center"/>
          </w:tcPr>
          <w:p w14:paraId="642BC08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7B6C0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7B67526D">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B7C5D2A">
            <w:pPr>
              <w:spacing w:line="0" w:lineRule="atLeast"/>
              <w:jc w:val="center"/>
              <w:rPr>
                <w:rFonts w:hint="eastAsia" w:hAnsi="宋体" w:cs="宋体"/>
                <w:color w:val="000000"/>
                <w:spacing w:val="-10"/>
                <w:kern w:val="0"/>
                <w:sz w:val="21"/>
                <w:szCs w:val="21"/>
              </w:rPr>
            </w:pPr>
          </w:p>
        </w:tc>
        <w:tc>
          <w:tcPr>
            <w:tcW w:w="928" w:type="pct"/>
            <w:tcMar>
              <w:top w:w="15" w:type="dxa"/>
              <w:left w:w="15" w:type="dxa"/>
              <w:right w:w="15" w:type="dxa"/>
            </w:tcMar>
            <w:vAlign w:val="center"/>
          </w:tcPr>
          <w:p w14:paraId="3A69AC5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w:t>
            </w:r>
          </w:p>
        </w:tc>
        <w:tc>
          <w:tcPr>
            <w:tcW w:w="820" w:type="pct"/>
            <w:tcMar>
              <w:top w:w="15" w:type="dxa"/>
              <w:left w:w="15" w:type="dxa"/>
              <w:right w:w="15" w:type="dxa"/>
            </w:tcMar>
            <w:vAlign w:val="center"/>
          </w:tcPr>
          <w:p w14:paraId="54E72F2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5927131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21CA288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5" w:type="pct"/>
            <w:noWrap/>
            <w:tcMar>
              <w:top w:w="15" w:type="dxa"/>
              <w:left w:w="15" w:type="dxa"/>
              <w:right w:w="15" w:type="dxa"/>
            </w:tcMar>
            <w:vAlign w:val="center"/>
          </w:tcPr>
          <w:p w14:paraId="130E6A9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bl>
    <w:p w14:paraId="0EF87C39">
      <w:pPr>
        <w:ind w:firstLine="526" w:firstLineChars="200"/>
        <w:rPr>
          <w:rFonts w:ascii="黑体" w:hAnsi="黑体" w:eastAsia="黑体"/>
          <w:color w:val="000000"/>
          <w:szCs w:val="24"/>
        </w:rPr>
      </w:pPr>
      <w:r>
        <w:br w:type="page"/>
      </w:r>
      <w:r>
        <w:rPr>
          <w:rFonts w:hint="eastAsia" w:ascii="黑体" w:hAnsi="黑体" w:eastAsia="黑体"/>
          <w:color w:val="000000"/>
          <w:szCs w:val="24"/>
        </w:rPr>
        <w:t xml:space="preserve">续表4.3-3    </w:t>
      </w:r>
      <w:r>
        <w:rPr>
          <w:rFonts w:ascii="黑体" w:hAnsi="黑体" w:eastAsia="黑体"/>
          <w:color w:val="000000"/>
          <w:szCs w:val="24"/>
        </w:rPr>
        <w:t xml:space="preserve"> </w:t>
      </w:r>
      <w:r>
        <w:rPr>
          <w:rFonts w:hint="eastAsia" w:ascii="黑体" w:hAnsi="黑体" w:eastAsia="黑体"/>
          <w:color w:val="000000"/>
          <w:szCs w:val="24"/>
        </w:rPr>
        <w:t>地下水质量现状监测及评价结果一览表       mg/L</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67"/>
        <w:gridCol w:w="925"/>
        <w:gridCol w:w="1669"/>
        <w:gridCol w:w="1474"/>
        <w:gridCol w:w="1240"/>
        <w:gridCol w:w="1493"/>
        <w:gridCol w:w="1517"/>
      </w:tblGrid>
      <w:tr w14:paraId="025903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68D04F5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序号</w:t>
            </w:r>
          </w:p>
        </w:tc>
        <w:tc>
          <w:tcPr>
            <w:tcW w:w="2264" w:type="pct"/>
            <w:gridSpan w:val="3"/>
            <w:vMerge w:val="restart"/>
            <w:noWrap/>
            <w:tcMar>
              <w:top w:w="15" w:type="dxa"/>
              <w:left w:w="15" w:type="dxa"/>
              <w:right w:w="15" w:type="dxa"/>
            </w:tcMar>
            <w:vAlign w:val="center"/>
          </w:tcPr>
          <w:p w14:paraId="7336367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项目</w:t>
            </w:r>
          </w:p>
        </w:tc>
        <w:tc>
          <w:tcPr>
            <w:tcW w:w="2365" w:type="pct"/>
            <w:gridSpan w:val="3"/>
            <w:noWrap/>
            <w:tcMar>
              <w:top w:w="15" w:type="dxa"/>
              <w:left w:w="15" w:type="dxa"/>
              <w:right w:w="15" w:type="dxa"/>
            </w:tcMar>
            <w:vAlign w:val="center"/>
          </w:tcPr>
          <w:p w14:paraId="6289506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潜水</w:t>
            </w:r>
          </w:p>
        </w:tc>
      </w:tr>
      <w:tr w14:paraId="57585E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7E998CE">
            <w:pPr>
              <w:spacing w:line="0" w:lineRule="atLeast"/>
              <w:jc w:val="center"/>
              <w:rPr>
                <w:rFonts w:hint="eastAsia" w:hAnsi="宋体" w:cs="宋体"/>
                <w:color w:val="000000"/>
                <w:spacing w:val="-10"/>
                <w:kern w:val="0"/>
                <w:sz w:val="21"/>
                <w:szCs w:val="21"/>
              </w:rPr>
            </w:pPr>
          </w:p>
        </w:tc>
        <w:tc>
          <w:tcPr>
            <w:tcW w:w="2264" w:type="pct"/>
            <w:gridSpan w:val="3"/>
            <w:vMerge w:val="continue"/>
            <w:noWrap/>
            <w:tcMar>
              <w:top w:w="15" w:type="dxa"/>
              <w:left w:w="15" w:type="dxa"/>
              <w:right w:w="15" w:type="dxa"/>
            </w:tcMar>
            <w:vAlign w:val="center"/>
          </w:tcPr>
          <w:p w14:paraId="26DE1B99">
            <w:pPr>
              <w:spacing w:line="0" w:lineRule="atLeast"/>
              <w:jc w:val="center"/>
              <w:rPr>
                <w:rFonts w:hint="eastAsia" w:hAnsi="宋体" w:cs="宋体"/>
                <w:color w:val="000000"/>
                <w:spacing w:val="-10"/>
                <w:kern w:val="0"/>
                <w:sz w:val="21"/>
                <w:szCs w:val="21"/>
              </w:rPr>
            </w:pPr>
          </w:p>
        </w:tc>
        <w:tc>
          <w:tcPr>
            <w:tcW w:w="690" w:type="pct"/>
            <w:tcMar>
              <w:top w:w="15" w:type="dxa"/>
              <w:left w:w="15" w:type="dxa"/>
              <w:right w:w="15" w:type="dxa"/>
            </w:tcMar>
            <w:vAlign w:val="center"/>
          </w:tcPr>
          <w:p w14:paraId="4C9F9F6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831" w:type="pct"/>
            <w:tcMar>
              <w:top w:w="15" w:type="dxa"/>
              <w:left w:w="15" w:type="dxa"/>
              <w:right w:w="15" w:type="dxa"/>
            </w:tcMar>
            <w:vAlign w:val="center"/>
          </w:tcPr>
          <w:p w14:paraId="4807660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844" w:type="pct"/>
            <w:tcMar>
              <w:top w:w="15" w:type="dxa"/>
              <w:left w:w="15" w:type="dxa"/>
              <w:right w:w="15" w:type="dxa"/>
            </w:tcMar>
            <w:vAlign w:val="center"/>
          </w:tcPr>
          <w:p w14:paraId="0DE5F9F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r>
      <w:tr w14:paraId="027E77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3990152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13</w:t>
            </w:r>
          </w:p>
        </w:tc>
        <w:tc>
          <w:tcPr>
            <w:tcW w:w="515" w:type="pct"/>
            <w:vMerge w:val="restart"/>
            <w:tcMar>
              <w:top w:w="15" w:type="dxa"/>
              <w:left w:w="15" w:type="dxa"/>
              <w:right w:w="15" w:type="dxa"/>
            </w:tcMar>
            <w:vAlign w:val="center"/>
          </w:tcPr>
          <w:p w14:paraId="45FFF03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锌</w:t>
            </w:r>
          </w:p>
        </w:tc>
        <w:tc>
          <w:tcPr>
            <w:tcW w:w="929" w:type="pct"/>
            <w:tcMar>
              <w:top w:w="15" w:type="dxa"/>
              <w:left w:w="15" w:type="dxa"/>
              <w:right w:w="15" w:type="dxa"/>
            </w:tcMar>
            <w:vAlign w:val="center"/>
          </w:tcPr>
          <w:p w14:paraId="442E352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5E973AC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76C429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0C21AAC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4389E2D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41CE7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5D32363B">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0B53CB22">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15CFE23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w:t>
            </w:r>
          </w:p>
        </w:tc>
        <w:tc>
          <w:tcPr>
            <w:tcW w:w="820" w:type="pct"/>
            <w:tcMar>
              <w:top w:w="15" w:type="dxa"/>
              <w:left w:w="15" w:type="dxa"/>
              <w:right w:w="15" w:type="dxa"/>
            </w:tcMar>
            <w:vAlign w:val="center"/>
          </w:tcPr>
          <w:p w14:paraId="0461975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4067160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7DA53C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5F1B543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16039F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05E690C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14</w:t>
            </w:r>
          </w:p>
        </w:tc>
        <w:tc>
          <w:tcPr>
            <w:tcW w:w="515" w:type="pct"/>
            <w:vMerge w:val="restart"/>
            <w:tcMar>
              <w:top w:w="15" w:type="dxa"/>
              <w:left w:w="15" w:type="dxa"/>
              <w:right w:w="15" w:type="dxa"/>
            </w:tcMar>
            <w:vAlign w:val="center"/>
          </w:tcPr>
          <w:p w14:paraId="020765B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铝</w:t>
            </w:r>
          </w:p>
        </w:tc>
        <w:tc>
          <w:tcPr>
            <w:tcW w:w="929" w:type="pct"/>
            <w:tcMar>
              <w:top w:w="15" w:type="dxa"/>
              <w:left w:w="15" w:type="dxa"/>
              <w:right w:w="15" w:type="dxa"/>
            </w:tcMar>
            <w:vAlign w:val="center"/>
          </w:tcPr>
          <w:p w14:paraId="4B77DF5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472125B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A670CB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7DB415F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17AB540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6ECE45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F278B02">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FD5C5CD">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50FDF8F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≤0.20</w:t>
            </w:r>
          </w:p>
        </w:tc>
        <w:tc>
          <w:tcPr>
            <w:tcW w:w="820" w:type="pct"/>
            <w:tcMar>
              <w:top w:w="15" w:type="dxa"/>
              <w:left w:w="15" w:type="dxa"/>
              <w:right w:w="15" w:type="dxa"/>
            </w:tcMar>
            <w:vAlign w:val="center"/>
          </w:tcPr>
          <w:p w14:paraId="46FA525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40B1CB4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tcMar>
              <w:top w:w="15" w:type="dxa"/>
              <w:left w:w="15" w:type="dxa"/>
              <w:right w:w="15" w:type="dxa"/>
            </w:tcMar>
            <w:vAlign w:val="center"/>
          </w:tcPr>
          <w:p w14:paraId="531A4A5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tcMar>
              <w:top w:w="15" w:type="dxa"/>
              <w:left w:w="15" w:type="dxa"/>
              <w:right w:w="15" w:type="dxa"/>
            </w:tcMar>
            <w:vAlign w:val="center"/>
          </w:tcPr>
          <w:p w14:paraId="6A27267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259B0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195967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15</w:t>
            </w:r>
          </w:p>
        </w:tc>
        <w:tc>
          <w:tcPr>
            <w:tcW w:w="515" w:type="pct"/>
            <w:vMerge w:val="restart"/>
            <w:tcMar>
              <w:top w:w="15" w:type="dxa"/>
              <w:left w:w="15" w:type="dxa"/>
              <w:right w:w="15" w:type="dxa"/>
            </w:tcMar>
            <w:vAlign w:val="center"/>
          </w:tcPr>
          <w:p w14:paraId="09B876E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挥发性</w:t>
            </w:r>
          </w:p>
          <w:p w14:paraId="3C1876C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酚类</w:t>
            </w:r>
          </w:p>
        </w:tc>
        <w:tc>
          <w:tcPr>
            <w:tcW w:w="929" w:type="pct"/>
            <w:tcMar>
              <w:top w:w="15" w:type="dxa"/>
              <w:left w:w="15" w:type="dxa"/>
              <w:right w:w="15" w:type="dxa"/>
            </w:tcMar>
            <w:vAlign w:val="center"/>
          </w:tcPr>
          <w:p w14:paraId="6319B1E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54F1A13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117A892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2AC0758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613024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65ECBE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29831AC">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56410B1B">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1CB1CA4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≤0.002</w:t>
            </w:r>
          </w:p>
        </w:tc>
        <w:tc>
          <w:tcPr>
            <w:tcW w:w="820" w:type="pct"/>
            <w:tcMar>
              <w:top w:w="15" w:type="dxa"/>
              <w:left w:w="15" w:type="dxa"/>
              <w:right w:w="15" w:type="dxa"/>
            </w:tcMar>
            <w:vAlign w:val="center"/>
          </w:tcPr>
          <w:p w14:paraId="3EE518F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62BFBB8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2D2D2A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2078B46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20535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91EBAD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16</w:t>
            </w:r>
          </w:p>
        </w:tc>
        <w:tc>
          <w:tcPr>
            <w:tcW w:w="515" w:type="pct"/>
            <w:vMerge w:val="restart"/>
            <w:tcMar>
              <w:top w:w="15" w:type="dxa"/>
              <w:left w:w="15" w:type="dxa"/>
              <w:right w:w="15" w:type="dxa"/>
            </w:tcMar>
            <w:vAlign w:val="center"/>
          </w:tcPr>
          <w:p w14:paraId="05C07FB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阴离子表面活性剂</w:t>
            </w:r>
          </w:p>
        </w:tc>
        <w:tc>
          <w:tcPr>
            <w:tcW w:w="929" w:type="pct"/>
            <w:tcMar>
              <w:top w:w="15" w:type="dxa"/>
              <w:left w:w="15" w:type="dxa"/>
              <w:right w:w="15" w:type="dxa"/>
            </w:tcMar>
            <w:vAlign w:val="center"/>
          </w:tcPr>
          <w:p w14:paraId="06CDB75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1F6DC4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80258D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49EAE06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1A097FF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1B0FE4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6A6F1D6">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BA64015">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3F569FD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≤0.3</w:t>
            </w:r>
          </w:p>
        </w:tc>
        <w:tc>
          <w:tcPr>
            <w:tcW w:w="820" w:type="pct"/>
            <w:tcMar>
              <w:top w:w="15" w:type="dxa"/>
              <w:left w:w="15" w:type="dxa"/>
              <w:right w:w="15" w:type="dxa"/>
            </w:tcMar>
            <w:vAlign w:val="center"/>
          </w:tcPr>
          <w:p w14:paraId="6DBCFC8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13AD9DF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620FF74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2856C6E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59BB5C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020C115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17</w:t>
            </w:r>
          </w:p>
        </w:tc>
        <w:tc>
          <w:tcPr>
            <w:tcW w:w="515" w:type="pct"/>
            <w:vMerge w:val="restart"/>
            <w:tcMar>
              <w:top w:w="15" w:type="dxa"/>
              <w:left w:w="15" w:type="dxa"/>
              <w:right w:w="15" w:type="dxa"/>
            </w:tcMar>
            <w:vAlign w:val="center"/>
          </w:tcPr>
          <w:p w14:paraId="67ADDCA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耗氧量</w:t>
            </w:r>
          </w:p>
        </w:tc>
        <w:tc>
          <w:tcPr>
            <w:tcW w:w="929" w:type="pct"/>
            <w:tcMar>
              <w:top w:w="15" w:type="dxa"/>
              <w:left w:w="15" w:type="dxa"/>
              <w:right w:w="15" w:type="dxa"/>
            </w:tcMar>
            <w:vAlign w:val="center"/>
          </w:tcPr>
          <w:p w14:paraId="3150301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364B2A7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10980CD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0.52</w:t>
            </w:r>
          </w:p>
        </w:tc>
        <w:tc>
          <w:tcPr>
            <w:tcW w:w="831" w:type="pct"/>
            <w:tcMar>
              <w:top w:w="15" w:type="dxa"/>
              <w:left w:w="15" w:type="dxa"/>
              <w:right w:w="15" w:type="dxa"/>
            </w:tcMar>
            <w:vAlign w:val="center"/>
          </w:tcPr>
          <w:p w14:paraId="59575F4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0.50</w:t>
            </w:r>
          </w:p>
        </w:tc>
        <w:tc>
          <w:tcPr>
            <w:tcW w:w="844" w:type="pct"/>
            <w:tcMar>
              <w:top w:w="15" w:type="dxa"/>
              <w:left w:w="15" w:type="dxa"/>
              <w:right w:w="15" w:type="dxa"/>
            </w:tcMar>
            <w:vAlign w:val="center"/>
          </w:tcPr>
          <w:p w14:paraId="6A49821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0.57</w:t>
            </w:r>
          </w:p>
        </w:tc>
      </w:tr>
      <w:tr w14:paraId="778A7A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35919671">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A3EDE48">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2490A13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≤3.0</w:t>
            </w:r>
          </w:p>
        </w:tc>
        <w:tc>
          <w:tcPr>
            <w:tcW w:w="820" w:type="pct"/>
            <w:tcMar>
              <w:top w:w="15" w:type="dxa"/>
              <w:left w:w="15" w:type="dxa"/>
              <w:right w:w="15" w:type="dxa"/>
            </w:tcMar>
            <w:vAlign w:val="center"/>
          </w:tcPr>
          <w:p w14:paraId="0954566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7EBDCB5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0.173</w:t>
            </w:r>
          </w:p>
        </w:tc>
        <w:tc>
          <w:tcPr>
            <w:tcW w:w="831" w:type="pct"/>
            <w:tcMar>
              <w:top w:w="15" w:type="dxa"/>
              <w:left w:w="15" w:type="dxa"/>
              <w:right w:w="15" w:type="dxa"/>
            </w:tcMar>
            <w:vAlign w:val="center"/>
          </w:tcPr>
          <w:p w14:paraId="550405B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0.167</w:t>
            </w:r>
          </w:p>
        </w:tc>
        <w:tc>
          <w:tcPr>
            <w:tcW w:w="844" w:type="pct"/>
            <w:tcMar>
              <w:top w:w="15" w:type="dxa"/>
              <w:left w:w="15" w:type="dxa"/>
              <w:right w:w="15" w:type="dxa"/>
            </w:tcMar>
            <w:vAlign w:val="center"/>
          </w:tcPr>
          <w:p w14:paraId="2FC0150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0.190</w:t>
            </w:r>
          </w:p>
        </w:tc>
      </w:tr>
      <w:tr w14:paraId="2B47F6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ABD371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18</w:t>
            </w:r>
          </w:p>
        </w:tc>
        <w:tc>
          <w:tcPr>
            <w:tcW w:w="515" w:type="pct"/>
            <w:vMerge w:val="restart"/>
            <w:tcMar>
              <w:top w:w="15" w:type="dxa"/>
              <w:left w:w="15" w:type="dxa"/>
              <w:right w:w="15" w:type="dxa"/>
            </w:tcMar>
            <w:vAlign w:val="center"/>
          </w:tcPr>
          <w:p w14:paraId="2E07891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氨氮</w:t>
            </w:r>
          </w:p>
        </w:tc>
        <w:tc>
          <w:tcPr>
            <w:tcW w:w="929" w:type="pct"/>
            <w:tcMar>
              <w:top w:w="15" w:type="dxa"/>
              <w:left w:w="15" w:type="dxa"/>
              <w:right w:w="15" w:type="dxa"/>
            </w:tcMar>
            <w:vAlign w:val="center"/>
          </w:tcPr>
          <w:p w14:paraId="15E7AFE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2A79706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1C310DD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0.206</w:t>
            </w:r>
          </w:p>
        </w:tc>
        <w:tc>
          <w:tcPr>
            <w:tcW w:w="831" w:type="pct"/>
            <w:tcMar>
              <w:top w:w="15" w:type="dxa"/>
              <w:left w:w="15" w:type="dxa"/>
              <w:right w:w="15" w:type="dxa"/>
            </w:tcMar>
            <w:vAlign w:val="center"/>
          </w:tcPr>
          <w:p w14:paraId="4144A39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0.213</w:t>
            </w:r>
          </w:p>
        </w:tc>
        <w:tc>
          <w:tcPr>
            <w:tcW w:w="844" w:type="pct"/>
            <w:tcMar>
              <w:top w:w="15" w:type="dxa"/>
              <w:left w:w="15" w:type="dxa"/>
              <w:right w:w="15" w:type="dxa"/>
            </w:tcMar>
            <w:vAlign w:val="center"/>
          </w:tcPr>
          <w:p w14:paraId="272A55D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0.222</w:t>
            </w:r>
          </w:p>
        </w:tc>
      </w:tr>
      <w:tr w14:paraId="188B2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6CBE3F7">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0A500695">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796BCA0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≤0.50</w:t>
            </w:r>
          </w:p>
        </w:tc>
        <w:tc>
          <w:tcPr>
            <w:tcW w:w="820" w:type="pct"/>
            <w:tcMar>
              <w:top w:w="15" w:type="dxa"/>
              <w:left w:w="15" w:type="dxa"/>
              <w:right w:w="15" w:type="dxa"/>
            </w:tcMar>
            <w:vAlign w:val="center"/>
          </w:tcPr>
          <w:p w14:paraId="5A31DDF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7B1A634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0.412</w:t>
            </w:r>
          </w:p>
        </w:tc>
        <w:tc>
          <w:tcPr>
            <w:tcW w:w="831" w:type="pct"/>
            <w:tcMar>
              <w:top w:w="15" w:type="dxa"/>
              <w:left w:w="15" w:type="dxa"/>
              <w:right w:w="15" w:type="dxa"/>
            </w:tcMar>
            <w:vAlign w:val="center"/>
          </w:tcPr>
          <w:p w14:paraId="0940B63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0.426</w:t>
            </w:r>
          </w:p>
        </w:tc>
        <w:tc>
          <w:tcPr>
            <w:tcW w:w="844" w:type="pct"/>
            <w:noWrap/>
            <w:tcMar>
              <w:top w:w="15" w:type="dxa"/>
              <w:left w:w="15" w:type="dxa"/>
              <w:right w:w="15" w:type="dxa"/>
            </w:tcMar>
            <w:vAlign w:val="center"/>
          </w:tcPr>
          <w:p w14:paraId="13AC8E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0.444</w:t>
            </w:r>
          </w:p>
        </w:tc>
      </w:tr>
      <w:tr w14:paraId="63617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3166CB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19</w:t>
            </w:r>
          </w:p>
        </w:tc>
        <w:tc>
          <w:tcPr>
            <w:tcW w:w="515" w:type="pct"/>
            <w:vMerge w:val="restart"/>
            <w:tcMar>
              <w:top w:w="15" w:type="dxa"/>
              <w:left w:w="15" w:type="dxa"/>
              <w:right w:w="15" w:type="dxa"/>
            </w:tcMar>
            <w:vAlign w:val="center"/>
          </w:tcPr>
          <w:p w14:paraId="4D78159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硫化物</w:t>
            </w:r>
          </w:p>
        </w:tc>
        <w:tc>
          <w:tcPr>
            <w:tcW w:w="929" w:type="pct"/>
            <w:tcMar>
              <w:top w:w="15" w:type="dxa"/>
              <w:left w:w="15" w:type="dxa"/>
              <w:right w:w="15" w:type="dxa"/>
            </w:tcMar>
            <w:vAlign w:val="center"/>
          </w:tcPr>
          <w:p w14:paraId="2BFA0B6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9C7B41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2DED7EB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2459D06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5E8A5C2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02A850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2B10D0D">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5B0A98E3">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60EE2B3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≤0.02</w:t>
            </w:r>
          </w:p>
        </w:tc>
        <w:tc>
          <w:tcPr>
            <w:tcW w:w="820" w:type="pct"/>
            <w:tcMar>
              <w:top w:w="15" w:type="dxa"/>
              <w:left w:w="15" w:type="dxa"/>
              <w:right w:w="15" w:type="dxa"/>
            </w:tcMar>
            <w:vAlign w:val="center"/>
          </w:tcPr>
          <w:p w14:paraId="3F18769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9DA09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BB60B4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433B5DB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11F62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E896A3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20</w:t>
            </w:r>
          </w:p>
        </w:tc>
        <w:tc>
          <w:tcPr>
            <w:tcW w:w="515" w:type="pct"/>
            <w:vMerge w:val="restart"/>
            <w:tcMar>
              <w:top w:w="15" w:type="dxa"/>
              <w:left w:w="15" w:type="dxa"/>
              <w:right w:w="15" w:type="dxa"/>
            </w:tcMar>
            <w:vAlign w:val="center"/>
          </w:tcPr>
          <w:p w14:paraId="62E9A4A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钠</w:t>
            </w:r>
          </w:p>
        </w:tc>
        <w:tc>
          <w:tcPr>
            <w:tcW w:w="929" w:type="pct"/>
            <w:tcMar>
              <w:top w:w="15" w:type="dxa"/>
              <w:left w:w="15" w:type="dxa"/>
              <w:right w:w="15" w:type="dxa"/>
            </w:tcMar>
            <w:vAlign w:val="center"/>
          </w:tcPr>
          <w:p w14:paraId="626988E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3A34294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noWrap/>
            <w:tcMar>
              <w:top w:w="15" w:type="dxa"/>
              <w:left w:w="15" w:type="dxa"/>
              <w:right w:w="15" w:type="dxa"/>
            </w:tcMar>
            <w:vAlign w:val="center"/>
          </w:tcPr>
          <w:p w14:paraId="2C8869D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1200</w:t>
            </w:r>
          </w:p>
        </w:tc>
        <w:tc>
          <w:tcPr>
            <w:tcW w:w="831" w:type="pct"/>
            <w:noWrap/>
            <w:tcMar>
              <w:top w:w="15" w:type="dxa"/>
              <w:left w:w="15" w:type="dxa"/>
              <w:right w:w="15" w:type="dxa"/>
            </w:tcMar>
            <w:vAlign w:val="center"/>
          </w:tcPr>
          <w:p w14:paraId="5BABD26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1130</w:t>
            </w:r>
          </w:p>
        </w:tc>
        <w:tc>
          <w:tcPr>
            <w:tcW w:w="844" w:type="pct"/>
            <w:noWrap/>
            <w:tcMar>
              <w:top w:w="15" w:type="dxa"/>
              <w:left w:w="15" w:type="dxa"/>
              <w:right w:w="15" w:type="dxa"/>
            </w:tcMar>
            <w:vAlign w:val="center"/>
          </w:tcPr>
          <w:p w14:paraId="01035AC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1420</w:t>
            </w:r>
          </w:p>
        </w:tc>
      </w:tr>
      <w:tr w14:paraId="2FCFA0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3A514DE">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04304CBB">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3C22545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≤200</w:t>
            </w:r>
          </w:p>
        </w:tc>
        <w:tc>
          <w:tcPr>
            <w:tcW w:w="820" w:type="pct"/>
            <w:tcMar>
              <w:top w:w="15" w:type="dxa"/>
              <w:left w:w="15" w:type="dxa"/>
              <w:right w:w="15" w:type="dxa"/>
            </w:tcMar>
            <w:vAlign w:val="center"/>
          </w:tcPr>
          <w:p w14:paraId="6CF3140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06EBCEEC">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6.000</w:t>
            </w:r>
          </w:p>
        </w:tc>
        <w:tc>
          <w:tcPr>
            <w:tcW w:w="831" w:type="pct"/>
            <w:noWrap/>
            <w:tcMar>
              <w:top w:w="15" w:type="dxa"/>
              <w:left w:w="15" w:type="dxa"/>
              <w:right w:w="15" w:type="dxa"/>
            </w:tcMar>
            <w:vAlign w:val="center"/>
          </w:tcPr>
          <w:p w14:paraId="65B98D2C">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5.650</w:t>
            </w:r>
          </w:p>
        </w:tc>
        <w:tc>
          <w:tcPr>
            <w:tcW w:w="844" w:type="pct"/>
            <w:noWrap/>
            <w:tcMar>
              <w:top w:w="15" w:type="dxa"/>
              <w:left w:w="15" w:type="dxa"/>
              <w:right w:w="15" w:type="dxa"/>
            </w:tcMar>
            <w:vAlign w:val="center"/>
          </w:tcPr>
          <w:p w14:paraId="2A99FD41">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7.100</w:t>
            </w:r>
          </w:p>
        </w:tc>
      </w:tr>
      <w:tr w14:paraId="638896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38A7B2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21</w:t>
            </w:r>
          </w:p>
        </w:tc>
        <w:tc>
          <w:tcPr>
            <w:tcW w:w="515" w:type="pct"/>
            <w:vMerge w:val="restart"/>
            <w:tcMar>
              <w:top w:w="15" w:type="dxa"/>
              <w:left w:w="15" w:type="dxa"/>
              <w:right w:w="15" w:type="dxa"/>
            </w:tcMar>
            <w:vAlign w:val="center"/>
          </w:tcPr>
          <w:p w14:paraId="2E29B30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总大肠</w:t>
            </w:r>
          </w:p>
          <w:p w14:paraId="15D2914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菌群</w:t>
            </w:r>
          </w:p>
        </w:tc>
        <w:tc>
          <w:tcPr>
            <w:tcW w:w="929" w:type="pct"/>
            <w:tcMar>
              <w:top w:w="15" w:type="dxa"/>
              <w:left w:w="15" w:type="dxa"/>
              <w:right w:w="15" w:type="dxa"/>
            </w:tcMar>
            <w:vAlign w:val="center"/>
          </w:tcPr>
          <w:p w14:paraId="2B91337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01ED64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3A35BAC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c>
          <w:tcPr>
            <w:tcW w:w="831" w:type="pct"/>
            <w:tcMar>
              <w:top w:w="15" w:type="dxa"/>
              <w:left w:w="15" w:type="dxa"/>
              <w:right w:w="15" w:type="dxa"/>
            </w:tcMar>
            <w:vAlign w:val="center"/>
          </w:tcPr>
          <w:p w14:paraId="2B557D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c>
          <w:tcPr>
            <w:tcW w:w="844" w:type="pct"/>
            <w:tcMar>
              <w:top w:w="15" w:type="dxa"/>
              <w:left w:w="15" w:type="dxa"/>
              <w:right w:w="15" w:type="dxa"/>
            </w:tcMar>
            <w:vAlign w:val="center"/>
          </w:tcPr>
          <w:p w14:paraId="16634BE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r>
      <w:tr w14:paraId="4399D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2001B8D">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77453586">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162E8C0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≤3.0CFU/100ml</w:t>
            </w:r>
          </w:p>
        </w:tc>
        <w:tc>
          <w:tcPr>
            <w:tcW w:w="820" w:type="pct"/>
            <w:tcMar>
              <w:top w:w="15" w:type="dxa"/>
              <w:left w:w="15" w:type="dxa"/>
              <w:right w:w="15" w:type="dxa"/>
            </w:tcMar>
            <w:vAlign w:val="center"/>
          </w:tcPr>
          <w:p w14:paraId="54EDBBF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3AB8F08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1AF538A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7BDD90B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1DF50E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E6CA80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22</w:t>
            </w:r>
          </w:p>
        </w:tc>
        <w:tc>
          <w:tcPr>
            <w:tcW w:w="515" w:type="pct"/>
            <w:vMerge w:val="restart"/>
            <w:tcMar>
              <w:top w:w="15" w:type="dxa"/>
              <w:left w:w="15" w:type="dxa"/>
              <w:right w:w="15" w:type="dxa"/>
            </w:tcMar>
            <w:vAlign w:val="center"/>
          </w:tcPr>
          <w:p w14:paraId="3BD4D05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菌落总数</w:t>
            </w:r>
          </w:p>
        </w:tc>
        <w:tc>
          <w:tcPr>
            <w:tcW w:w="929" w:type="pct"/>
            <w:tcMar>
              <w:top w:w="15" w:type="dxa"/>
              <w:left w:w="15" w:type="dxa"/>
              <w:right w:w="15" w:type="dxa"/>
            </w:tcMar>
            <w:vAlign w:val="center"/>
          </w:tcPr>
          <w:p w14:paraId="23B518E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C3C5D8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AA5C27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64</w:t>
            </w:r>
          </w:p>
        </w:tc>
        <w:tc>
          <w:tcPr>
            <w:tcW w:w="831" w:type="pct"/>
            <w:tcMar>
              <w:top w:w="15" w:type="dxa"/>
              <w:left w:w="15" w:type="dxa"/>
              <w:right w:w="15" w:type="dxa"/>
            </w:tcMar>
            <w:vAlign w:val="center"/>
          </w:tcPr>
          <w:p w14:paraId="46F9BD6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62</w:t>
            </w:r>
          </w:p>
        </w:tc>
        <w:tc>
          <w:tcPr>
            <w:tcW w:w="844" w:type="pct"/>
            <w:tcMar>
              <w:top w:w="15" w:type="dxa"/>
              <w:left w:w="15" w:type="dxa"/>
              <w:right w:w="15" w:type="dxa"/>
            </w:tcMar>
            <w:vAlign w:val="center"/>
          </w:tcPr>
          <w:p w14:paraId="7853926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62</w:t>
            </w:r>
          </w:p>
        </w:tc>
      </w:tr>
      <w:tr w14:paraId="2F6AD6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0956E3BE">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36CBC54">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4DCB624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≤100CFU/ml</w:t>
            </w:r>
          </w:p>
        </w:tc>
        <w:tc>
          <w:tcPr>
            <w:tcW w:w="820" w:type="pct"/>
            <w:tcMar>
              <w:top w:w="15" w:type="dxa"/>
              <w:left w:w="15" w:type="dxa"/>
              <w:right w:w="15" w:type="dxa"/>
            </w:tcMar>
            <w:vAlign w:val="center"/>
          </w:tcPr>
          <w:p w14:paraId="178985F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58934D7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0.640</w:t>
            </w:r>
          </w:p>
        </w:tc>
        <w:tc>
          <w:tcPr>
            <w:tcW w:w="831" w:type="pct"/>
            <w:tcMar>
              <w:top w:w="15" w:type="dxa"/>
              <w:left w:w="15" w:type="dxa"/>
              <w:right w:w="15" w:type="dxa"/>
            </w:tcMar>
            <w:vAlign w:val="center"/>
          </w:tcPr>
          <w:p w14:paraId="23E33A6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0.620</w:t>
            </w:r>
          </w:p>
        </w:tc>
        <w:tc>
          <w:tcPr>
            <w:tcW w:w="844" w:type="pct"/>
            <w:tcMar>
              <w:top w:w="15" w:type="dxa"/>
              <w:left w:w="15" w:type="dxa"/>
              <w:right w:w="15" w:type="dxa"/>
            </w:tcMar>
            <w:vAlign w:val="center"/>
          </w:tcPr>
          <w:p w14:paraId="70C01D5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0.620</w:t>
            </w:r>
          </w:p>
        </w:tc>
      </w:tr>
      <w:tr w14:paraId="1F8ECB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3D1C08E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23</w:t>
            </w:r>
          </w:p>
        </w:tc>
        <w:tc>
          <w:tcPr>
            <w:tcW w:w="515" w:type="pct"/>
            <w:vMerge w:val="restart"/>
            <w:tcMar>
              <w:top w:w="15" w:type="dxa"/>
              <w:left w:w="15" w:type="dxa"/>
              <w:right w:w="15" w:type="dxa"/>
            </w:tcMar>
            <w:vAlign w:val="center"/>
          </w:tcPr>
          <w:p w14:paraId="5EE11D5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亚硝酸盐氮</w:t>
            </w:r>
          </w:p>
        </w:tc>
        <w:tc>
          <w:tcPr>
            <w:tcW w:w="929" w:type="pct"/>
            <w:tcMar>
              <w:top w:w="15" w:type="dxa"/>
              <w:left w:w="15" w:type="dxa"/>
              <w:right w:w="15" w:type="dxa"/>
            </w:tcMar>
            <w:vAlign w:val="center"/>
          </w:tcPr>
          <w:p w14:paraId="7F4A6E7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9C8B9F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2953542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7B94DC2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4CDF8D5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63EE93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FCD034C">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49F39E31">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400BD38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w:t>
            </w:r>
          </w:p>
        </w:tc>
        <w:tc>
          <w:tcPr>
            <w:tcW w:w="820" w:type="pct"/>
            <w:tcMar>
              <w:top w:w="15" w:type="dxa"/>
              <w:left w:w="15" w:type="dxa"/>
              <w:right w:w="15" w:type="dxa"/>
            </w:tcMar>
            <w:vAlign w:val="center"/>
          </w:tcPr>
          <w:p w14:paraId="5BCD1D2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3BBA2A8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73B5CA8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38727E2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2D234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039B3A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24</w:t>
            </w:r>
          </w:p>
        </w:tc>
        <w:tc>
          <w:tcPr>
            <w:tcW w:w="515" w:type="pct"/>
            <w:vMerge w:val="restart"/>
            <w:tcMar>
              <w:top w:w="15" w:type="dxa"/>
              <w:left w:w="15" w:type="dxa"/>
              <w:right w:w="15" w:type="dxa"/>
            </w:tcMar>
            <w:vAlign w:val="center"/>
          </w:tcPr>
          <w:p w14:paraId="462CFEB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硝酸盐氮</w:t>
            </w:r>
          </w:p>
        </w:tc>
        <w:tc>
          <w:tcPr>
            <w:tcW w:w="929" w:type="pct"/>
            <w:tcMar>
              <w:top w:w="15" w:type="dxa"/>
              <w:left w:w="15" w:type="dxa"/>
              <w:right w:w="15" w:type="dxa"/>
            </w:tcMar>
            <w:vAlign w:val="center"/>
          </w:tcPr>
          <w:p w14:paraId="2A63713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2752A57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005EFA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5.00</w:t>
            </w:r>
          </w:p>
        </w:tc>
        <w:tc>
          <w:tcPr>
            <w:tcW w:w="831" w:type="pct"/>
            <w:tcMar>
              <w:top w:w="15" w:type="dxa"/>
              <w:left w:w="15" w:type="dxa"/>
              <w:right w:w="15" w:type="dxa"/>
            </w:tcMar>
            <w:vAlign w:val="center"/>
          </w:tcPr>
          <w:p w14:paraId="02E7548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4.15</w:t>
            </w:r>
          </w:p>
        </w:tc>
        <w:tc>
          <w:tcPr>
            <w:tcW w:w="844" w:type="pct"/>
            <w:tcMar>
              <w:top w:w="15" w:type="dxa"/>
              <w:left w:w="15" w:type="dxa"/>
              <w:right w:w="15" w:type="dxa"/>
            </w:tcMar>
            <w:vAlign w:val="center"/>
          </w:tcPr>
          <w:p w14:paraId="104E9DF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0.15</w:t>
            </w:r>
          </w:p>
        </w:tc>
      </w:tr>
      <w:tr w14:paraId="3A653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08F5F7D2">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5ED2A661">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4B9A800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≤20.0</w:t>
            </w:r>
          </w:p>
        </w:tc>
        <w:tc>
          <w:tcPr>
            <w:tcW w:w="820" w:type="pct"/>
            <w:tcMar>
              <w:top w:w="15" w:type="dxa"/>
              <w:left w:w="15" w:type="dxa"/>
              <w:right w:w="15" w:type="dxa"/>
            </w:tcMar>
            <w:vAlign w:val="center"/>
          </w:tcPr>
          <w:p w14:paraId="7FF3C48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tcMar>
              <w:top w:w="15" w:type="dxa"/>
              <w:left w:w="15" w:type="dxa"/>
              <w:right w:w="15" w:type="dxa"/>
            </w:tcMar>
            <w:vAlign w:val="center"/>
          </w:tcPr>
          <w:p w14:paraId="2F8C80E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0.250</w:t>
            </w:r>
          </w:p>
        </w:tc>
        <w:tc>
          <w:tcPr>
            <w:tcW w:w="831" w:type="pct"/>
            <w:tcMar>
              <w:top w:w="15" w:type="dxa"/>
              <w:left w:w="15" w:type="dxa"/>
              <w:right w:w="15" w:type="dxa"/>
            </w:tcMar>
            <w:vAlign w:val="center"/>
          </w:tcPr>
          <w:p w14:paraId="5D0DCFB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0.207</w:t>
            </w:r>
          </w:p>
        </w:tc>
        <w:tc>
          <w:tcPr>
            <w:tcW w:w="844" w:type="pct"/>
            <w:tcMar>
              <w:top w:w="15" w:type="dxa"/>
              <w:left w:w="15" w:type="dxa"/>
              <w:right w:w="15" w:type="dxa"/>
            </w:tcMar>
            <w:vAlign w:val="center"/>
          </w:tcPr>
          <w:p w14:paraId="6530E33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0.007</w:t>
            </w:r>
          </w:p>
        </w:tc>
      </w:tr>
      <w:tr w14:paraId="76A6E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1622F24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25</w:t>
            </w:r>
          </w:p>
        </w:tc>
        <w:tc>
          <w:tcPr>
            <w:tcW w:w="515" w:type="pct"/>
            <w:vMerge w:val="restart"/>
            <w:tcMar>
              <w:top w:w="15" w:type="dxa"/>
              <w:left w:w="15" w:type="dxa"/>
              <w:right w:w="15" w:type="dxa"/>
            </w:tcMar>
            <w:vAlign w:val="center"/>
          </w:tcPr>
          <w:p w14:paraId="490913F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氰化物</w:t>
            </w:r>
          </w:p>
        </w:tc>
        <w:tc>
          <w:tcPr>
            <w:tcW w:w="929" w:type="pct"/>
            <w:tcMar>
              <w:top w:w="15" w:type="dxa"/>
              <w:left w:w="15" w:type="dxa"/>
              <w:right w:w="15" w:type="dxa"/>
            </w:tcMar>
            <w:vAlign w:val="center"/>
          </w:tcPr>
          <w:p w14:paraId="1B294FA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1205121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0F84109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2B8B4E0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61C6B73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004DA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6395FEDC">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210CE90B">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09BE020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≤0.05</w:t>
            </w:r>
          </w:p>
        </w:tc>
        <w:tc>
          <w:tcPr>
            <w:tcW w:w="820" w:type="pct"/>
            <w:tcMar>
              <w:top w:w="15" w:type="dxa"/>
              <w:left w:w="15" w:type="dxa"/>
              <w:right w:w="15" w:type="dxa"/>
            </w:tcMar>
            <w:vAlign w:val="center"/>
          </w:tcPr>
          <w:p w14:paraId="545DC27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4937EF3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1928003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20E726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018AA1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1487C6B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26</w:t>
            </w:r>
          </w:p>
        </w:tc>
        <w:tc>
          <w:tcPr>
            <w:tcW w:w="515" w:type="pct"/>
            <w:vMerge w:val="restart"/>
            <w:tcMar>
              <w:top w:w="15" w:type="dxa"/>
              <w:left w:w="15" w:type="dxa"/>
              <w:right w:w="15" w:type="dxa"/>
            </w:tcMar>
            <w:vAlign w:val="center"/>
          </w:tcPr>
          <w:p w14:paraId="6B33CB3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氟化物</w:t>
            </w:r>
          </w:p>
        </w:tc>
        <w:tc>
          <w:tcPr>
            <w:tcW w:w="929" w:type="pct"/>
            <w:tcMar>
              <w:top w:w="15" w:type="dxa"/>
              <w:left w:w="15" w:type="dxa"/>
              <w:right w:w="15" w:type="dxa"/>
            </w:tcMar>
            <w:vAlign w:val="center"/>
          </w:tcPr>
          <w:p w14:paraId="2321D77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6614E7C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C94594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2.05</w:t>
            </w:r>
          </w:p>
        </w:tc>
        <w:tc>
          <w:tcPr>
            <w:tcW w:w="831" w:type="pct"/>
            <w:tcMar>
              <w:top w:w="15" w:type="dxa"/>
              <w:left w:w="15" w:type="dxa"/>
              <w:right w:w="15" w:type="dxa"/>
            </w:tcMar>
            <w:vAlign w:val="center"/>
          </w:tcPr>
          <w:p w14:paraId="28930BF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1.20</w:t>
            </w:r>
          </w:p>
        </w:tc>
        <w:tc>
          <w:tcPr>
            <w:tcW w:w="844" w:type="pct"/>
            <w:tcMar>
              <w:top w:w="15" w:type="dxa"/>
              <w:left w:w="15" w:type="dxa"/>
              <w:right w:w="15" w:type="dxa"/>
            </w:tcMar>
            <w:vAlign w:val="center"/>
          </w:tcPr>
          <w:p w14:paraId="3A8CD42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1.49</w:t>
            </w:r>
          </w:p>
        </w:tc>
      </w:tr>
      <w:tr w14:paraId="005761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79CD2B03">
            <w:pPr>
              <w:spacing w:line="0" w:lineRule="atLeast"/>
              <w:jc w:val="center"/>
              <w:rPr>
                <w:rFonts w:hint="eastAsia" w:hAnsi="宋体" w:cs="宋体"/>
                <w:color w:val="000000"/>
                <w:spacing w:val="-10"/>
                <w:kern w:val="0"/>
                <w:sz w:val="21"/>
                <w:szCs w:val="21"/>
              </w:rPr>
            </w:pPr>
          </w:p>
        </w:tc>
        <w:tc>
          <w:tcPr>
            <w:tcW w:w="515" w:type="pct"/>
            <w:vMerge w:val="continue"/>
            <w:tcMar>
              <w:top w:w="15" w:type="dxa"/>
              <w:left w:w="15" w:type="dxa"/>
              <w:right w:w="15" w:type="dxa"/>
            </w:tcMar>
            <w:vAlign w:val="center"/>
          </w:tcPr>
          <w:p w14:paraId="2ABFD6CD">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613EFE8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w:t>
            </w:r>
          </w:p>
        </w:tc>
        <w:tc>
          <w:tcPr>
            <w:tcW w:w="820" w:type="pct"/>
            <w:tcMar>
              <w:top w:w="15" w:type="dxa"/>
              <w:left w:w="15" w:type="dxa"/>
              <w:right w:w="15" w:type="dxa"/>
            </w:tcMar>
            <w:vAlign w:val="center"/>
          </w:tcPr>
          <w:p w14:paraId="4A7511D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4C99651">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2.050</w:t>
            </w:r>
          </w:p>
        </w:tc>
        <w:tc>
          <w:tcPr>
            <w:tcW w:w="831" w:type="pct"/>
            <w:noWrap/>
            <w:tcMar>
              <w:top w:w="15" w:type="dxa"/>
              <w:left w:w="15" w:type="dxa"/>
              <w:right w:w="15" w:type="dxa"/>
            </w:tcMar>
            <w:vAlign w:val="center"/>
          </w:tcPr>
          <w:p w14:paraId="4FF28804">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1.200</w:t>
            </w:r>
          </w:p>
        </w:tc>
        <w:tc>
          <w:tcPr>
            <w:tcW w:w="844" w:type="pct"/>
            <w:noWrap/>
            <w:tcMar>
              <w:top w:w="15" w:type="dxa"/>
              <w:left w:w="15" w:type="dxa"/>
              <w:right w:w="15" w:type="dxa"/>
            </w:tcMar>
            <w:vAlign w:val="center"/>
          </w:tcPr>
          <w:p w14:paraId="22D606A5">
            <w:pPr>
              <w:spacing w:line="0" w:lineRule="atLeast"/>
              <w:jc w:val="center"/>
              <w:rPr>
                <w:rFonts w:hint="eastAsia" w:hAnsi="宋体" w:cs="宋体"/>
                <w:b/>
                <w:bCs/>
                <w:color w:val="000000"/>
                <w:spacing w:val="-10"/>
                <w:kern w:val="0"/>
                <w:sz w:val="21"/>
                <w:szCs w:val="21"/>
              </w:rPr>
            </w:pPr>
            <w:r>
              <w:rPr>
                <w:rFonts w:hint="eastAsia" w:hAnsi="宋体" w:cs="宋体"/>
                <w:b/>
                <w:bCs/>
                <w:color w:val="000000"/>
                <w:spacing w:val="-10"/>
                <w:kern w:val="0"/>
                <w:sz w:val="21"/>
                <w:szCs w:val="21"/>
              </w:rPr>
              <w:t>1.490</w:t>
            </w:r>
          </w:p>
        </w:tc>
      </w:tr>
    </w:tbl>
    <w:p w14:paraId="496BD985">
      <w:pPr>
        <w:ind w:firstLine="526" w:firstLineChars="200"/>
        <w:rPr>
          <w:rFonts w:ascii="黑体" w:hAnsi="黑体" w:eastAsia="黑体"/>
          <w:color w:val="000000"/>
          <w:szCs w:val="24"/>
        </w:rPr>
      </w:pPr>
      <w:r>
        <w:br w:type="page"/>
      </w:r>
      <w:r>
        <w:rPr>
          <w:rFonts w:hint="eastAsia" w:ascii="黑体" w:hAnsi="黑体" w:eastAsia="黑体"/>
          <w:color w:val="000000"/>
          <w:szCs w:val="24"/>
        </w:rPr>
        <w:t xml:space="preserve">续表4.3-3    </w:t>
      </w:r>
      <w:r>
        <w:rPr>
          <w:rFonts w:ascii="黑体" w:hAnsi="黑体" w:eastAsia="黑体"/>
          <w:color w:val="000000"/>
          <w:szCs w:val="24"/>
        </w:rPr>
        <w:t xml:space="preserve"> </w:t>
      </w:r>
      <w:r>
        <w:rPr>
          <w:rFonts w:hint="eastAsia" w:ascii="黑体" w:hAnsi="黑体" w:eastAsia="黑体"/>
          <w:color w:val="000000"/>
          <w:szCs w:val="24"/>
        </w:rPr>
        <w:t>地下水质量现状监测及评价结果一览表       mg/L</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66"/>
        <w:gridCol w:w="915"/>
        <w:gridCol w:w="11"/>
        <w:gridCol w:w="1669"/>
        <w:gridCol w:w="1474"/>
        <w:gridCol w:w="1240"/>
        <w:gridCol w:w="1493"/>
        <w:gridCol w:w="1517"/>
      </w:tblGrid>
      <w:tr w14:paraId="4EE60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26603EF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序号</w:t>
            </w:r>
          </w:p>
        </w:tc>
        <w:tc>
          <w:tcPr>
            <w:tcW w:w="2264" w:type="pct"/>
            <w:gridSpan w:val="4"/>
            <w:vMerge w:val="restart"/>
            <w:noWrap/>
            <w:tcMar>
              <w:top w:w="15" w:type="dxa"/>
              <w:left w:w="15" w:type="dxa"/>
              <w:right w:w="15" w:type="dxa"/>
            </w:tcMar>
            <w:vAlign w:val="center"/>
          </w:tcPr>
          <w:p w14:paraId="4AE70BF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项目</w:t>
            </w:r>
          </w:p>
        </w:tc>
        <w:tc>
          <w:tcPr>
            <w:tcW w:w="2365" w:type="pct"/>
            <w:gridSpan w:val="3"/>
            <w:noWrap/>
            <w:tcMar>
              <w:top w:w="15" w:type="dxa"/>
              <w:left w:w="15" w:type="dxa"/>
              <w:right w:w="15" w:type="dxa"/>
            </w:tcMar>
            <w:vAlign w:val="center"/>
          </w:tcPr>
          <w:p w14:paraId="58DF1B6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潜水</w:t>
            </w:r>
          </w:p>
        </w:tc>
      </w:tr>
      <w:tr w14:paraId="6D5041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7ACBE32B">
            <w:pPr>
              <w:spacing w:line="0" w:lineRule="atLeast"/>
              <w:jc w:val="center"/>
              <w:rPr>
                <w:rFonts w:hint="eastAsia" w:hAnsi="宋体" w:cs="宋体"/>
                <w:color w:val="000000"/>
                <w:spacing w:val="-10"/>
                <w:kern w:val="0"/>
                <w:sz w:val="21"/>
                <w:szCs w:val="21"/>
              </w:rPr>
            </w:pPr>
          </w:p>
        </w:tc>
        <w:tc>
          <w:tcPr>
            <w:tcW w:w="2264" w:type="pct"/>
            <w:gridSpan w:val="4"/>
            <w:vMerge w:val="continue"/>
            <w:noWrap/>
            <w:tcMar>
              <w:top w:w="15" w:type="dxa"/>
              <w:left w:w="15" w:type="dxa"/>
              <w:right w:w="15" w:type="dxa"/>
            </w:tcMar>
            <w:vAlign w:val="center"/>
          </w:tcPr>
          <w:p w14:paraId="2A3ABFF6">
            <w:pPr>
              <w:spacing w:line="0" w:lineRule="atLeast"/>
              <w:jc w:val="center"/>
              <w:rPr>
                <w:rFonts w:hint="eastAsia" w:hAnsi="宋体" w:cs="宋体"/>
                <w:color w:val="000000"/>
                <w:spacing w:val="-10"/>
                <w:kern w:val="0"/>
                <w:sz w:val="21"/>
                <w:szCs w:val="21"/>
              </w:rPr>
            </w:pPr>
          </w:p>
        </w:tc>
        <w:tc>
          <w:tcPr>
            <w:tcW w:w="690" w:type="pct"/>
            <w:tcMar>
              <w:top w:w="15" w:type="dxa"/>
              <w:left w:w="15" w:type="dxa"/>
              <w:right w:w="15" w:type="dxa"/>
            </w:tcMar>
            <w:vAlign w:val="center"/>
          </w:tcPr>
          <w:p w14:paraId="0EAABF3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831" w:type="pct"/>
            <w:tcMar>
              <w:top w:w="15" w:type="dxa"/>
              <w:left w:w="15" w:type="dxa"/>
              <w:right w:w="15" w:type="dxa"/>
            </w:tcMar>
            <w:vAlign w:val="center"/>
          </w:tcPr>
          <w:p w14:paraId="2C5CF8C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844" w:type="pct"/>
            <w:tcMar>
              <w:top w:w="15" w:type="dxa"/>
              <w:left w:w="15" w:type="dxa"/>
              <w:right w:w="15" w:type="dxa"/>
            </w:tcMar>
            <w:vAlign w:val="center"/>
          </w:tcPr>
          <w:p w14:paraId="2EAF151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r>
      <w:tr w14:paraId="71C196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22678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27</w:t>
            </w:r>
          </w:p>
        </w:tc>
        <w:tc>
          <w:tcPr>
            <w:tcW w:w="515" w:type="pct"/>
            <w:gridSpan w:val="2"/>
            <w:vMerge w:val="restart"/>
            <w:tcMar>
              <w:top w:w="15" w:type="dxa"/>
              <w:left w:w="15" w:type="dxa"/>
              <w:right w:w="15" w:type="dxa"/>
            </w:tcMar>
            <w:vAlign w:val="center"/>
          </w:tcPr>
          <w:p w14:paraId="39FABF9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碘化物</w:t>
            </w:r>
          </w:p>
        </w:tc>
        <w:tc>
          <w:tcPr>
            <w:tcW w:w="929" w:type="pct"/>
            <w:tcMar>
              <w:top w:w="15" w:type="dxa"/>
              <w:left w:w="15" w:type="dxa"/>
              <w:right w:w="15" w:type="dxa"/>
            </w:tcMar>
            <w:vAlign w:val="center"/>
          </w:tcPr>
          <w:p w14:paraId="29F4CBA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1F3D721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1DCE29B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0D8912E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034BAB4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0672E3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5EC74936">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19BB0FA4">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1412209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≤0.08</w:t>
            </w:r>
          </w:p>
        </w:tc>
        <w:tc>
          <w:tcPr>
            <w:tcW w:w="820" w:type="pct"/>
            <w:tcMar>
              <w:top w:w="15" w:type="dxa"/>
              <w:left w:w="15" w:type="dxa"/>
              <w:right w:w="15" w:type="dxa"/>
            </w:tcMar>
            <w:vAlign w:val="center"/>
          </w:tcPr>
          <w:p w14:paraId="6387469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1ECBA84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295475C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1695341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3A5820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1BBA44B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28</w:t>
            </w:r>
          </w:p>
        </w:tc>
        <w:tc>
          <w:tcPr>
            <w:tcW w:w="515" w:type="pct"/>
            <w:gridSpan w:val="2"/>
            <w:vMerge w:val="restart"/>
            <w:tcMar>
              <w:top w:w="15" w:type="dxa"/>
              <w:left w:w="15" w:type="dxa"/>
              <w:right w:w="15" w:type="dxa"/>
            </w:tcMar>
            <w:vAlign w:val="center"/>
          </w:tcPr>
          <w:p w14:paraId="65EE1C7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汞</w:t>
            </w:r>
          </w:p>
        </w:tc>
        <w:tc>
          <w:tcPr>
            <w:tcW w:w="929" w:type="pct"/>
            <w:tcMar>
              <w:top w:w="15" w:type="dxa"/>
              <w:left w:w="15" w:type="dxa"/>
              <w:right w:w="15" w:type="dxa"/>
            </w:tcMar>
            <w:vAlign w:val="center"/>
          </w:tcPr>
          <w:p w14:paraId="3A64EB2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25EF7D7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24AF62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0DE1A8B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46BC7B0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1A8F0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274EC4B3">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34F2432F">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5145C64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≤0.001</w:t>
            </w:r>
          </w:p>
        </w:tc>
        <w:tc>
          <w:tcPr>
            <w:tcW w:w="820" w:type="pct"/>
            <w:tcMar>
              <w:top w:w="15" w:type="dxa"/>
              <w:left w:w="15" w:type="dxa"/>
              <w:right w:w="15" w:type="dxa"/>
            </w:tcMar>
            <w:vAlign w:val="center"/>
          </w:tcPr>
          <w:p w14:paraId="5CAF887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5E5D158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52C09A5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77734A2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3253A9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7413169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29</w:t>
            </w:r>
          </w:p>
        </w:tc>
        <w:tc>
          <w:tcPr>
            <w:tcW w:w="515" w:type="pct"/>
            <w:gridSpan w:val="2"/>
            <w:vMerge w:val="restart"/>
            <w:tcMar>
              <w:top w:w="15" w:type="dxa"/>
              <w:left w:w="15" w:type="dxa"/>
              <w:right w:w="15" w:type="dxa"/>
            </w:tcMar>
            <w:vAlign w:val="center"/>
          </w:tcPr>
          <w:p w14:paraId="5746AE7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砷</w:t>
            </w:r>
          </w:p>
        </w:tc>
        <w:tc>
          <w:tcPr>
            <w:tcW w:w="929" w:type="pct"/>
            <w:tcMar>
              <w:top w:w="15" w:type="dxa"/>
              <w:left w:w="15" w:type="dxa"/>
              <w:right w:w="15" w:type="dxa"/>
            </w:tcMar>
            <w:vAlign w:val="center"/>
          </w:tcPr>
          <w:p w14:paraId="19D2120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334B955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8E5B19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0.0009</w:t>
            </w:r>
          </w:p>
        </w:tc>
        <w:tc>
          <w:tcPr>
            <w:tcW w:w="831" w:type="pct"/>
            <w:tcMar>
              <w:top w:w="15" w:type="dxa"/>
              <w:left w:w="15" w:type="dxa"/>
              <w:right w:w="15" w:type="dxa"/>
            </w:tcMar>
            <w:vAlign w:val="center"/>
          </w:tcPr>
          <w:p w14:paraId="4C1FA12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0.001</w:t>
            </w:r>
          </w:p>
        </w:tc>
        <w:tc>
          <w:tcPr>
            <w:tcW w:w="844" w:type="pct"/>
            <w:tcMar>
              <w:top w:w="15" w:type="dxa"/>
              <w:left w:w="15" w:type="dxa"/>
              <w:right w:w="15" w:type="dxa"/>
            </w:tcMar>
            <w:vAlign w:val="center"/>
          </w:tcPr>
          <w:p w14:paraId="440CB1F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0.001</w:t>
            </w:r>
          </w:p>
        </w:tc>
      </w:tr>
      <w:tr w14:paraId="63285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02F3C26F">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3275A376">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27E9FF8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≤0.01</w:t>
            </w:r>
          </w:p>
        </w:tc>
        <w:tc>
          <w:tcPr>
            <w:tcW w:w="820" w:type="pct"/>
            <w:tcMar>
              <w:top w:w="15" w:type="dxa"/>
              <w:left w:w="15" w:type="dxa"/>
              <w:right w:w="15" w:type="dxa"/>
            </w:tcMar>
            <w:vAlign w:val="center"/>
          </w:tcPr>
          <w:p w14:paraId="44EDB78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593ADA6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0.090</w:t>
            </w:r>
          </w:p>
        </w:tc>
        <w:tc>
          <w:tcPr>
            <w:tcW w:w="831" w:type="pct"/>
            <w:noWrap/>
            <w:tcMar>
              <w:top w:w="15" w:type="dxa"/>
              <w:left w:w="15" w:type="dxa"/>
              <w:right w:w="15" w:type="dxa"/>
            </w:tcMar>
            <w:vAlign w:val="center"/>
          </w:tcPr>
          <w:p w14:paraId="3602EA2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0.100</w:t>
            </w:r>
          </w:p>
        </w:tc>
        <w:tc>
          <w:tcPr>
            <w:tcW w:w="844" w:type="pct"/>
            <w:noWrap/>
            <w:tcMar>
              <w:top w:w="15" w:type="dxa"/>
              <w:left w:w="15" w:type="dxa"/>
              <w:right w:w="15" w:type="dxa"/>
            </w:tcMar>
            <w:vAlign w:val="center"/>
          </w:tcPr>
          <w:p w14:paraId="091896C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0.100</w:t>
            </w:r>
          </w:p>
        </w:tc>
      </w:tr>
      <w:tr w14:paraId="15154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453EA14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30</w:t>
            </w:r>
          </w:p>
        </w:tc>
        <w:tc>
          <w:tcPr>
            <w:tcW w:w="515" w:type="pct"/>
            <w:gridSpan w:val="2"/>
            <w:vMerge w:val="restart"/>
            <w:tcMar>
              <w:top w:w="15" w:type="dxa"/>
              <w:left w:w="15" w:type="dxa"/>
              <w:right w:w="15" w:type="dxa"/>
            </w:tcMar>
            <w:vAlign w:val="center"/>
          </w:tcPr>
          <w:p w14:paraId="1A2EEAD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硒</w:t>
            </w:r>
          </w:p>
        </w:tc>
        <w:tc>
          <w:tcPr>
            <w:tcW w:w="929" w:type="pct"/>
            <w:tcMar>
              <w:top w:w="15" w:type="dxa"/>
              <w:left w:w="15" w:type="dxa"/>
              <w:right w:w="15" w:type="dxa"/>
            </w:tcMar>
            <w:vAlign w:val="center"/>
          </w:tcPr>
          <w:p w14:paraId="16CD801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81FA87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FB4BA0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0.0014</w:t>
            </w:r>
          </w:p>
        </w:tc>
        <w:tc>
          <w:tcPr>
            <w:tcW w:w="831" w:type="pct"/>
            <w:tcMar>
              <w:top w:w="15" w:type="dxa"/>
              <w:left w:w="15" w:type="dxa"/>
              <w:right w:w="15" w:type="dxa"/>
            </w:tcMar>
            <w:vAlign w:val="center"/>
          </w:tcPr>
          <w:p w14:paraId="598CE2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0.0006</w:t>
            </w:r>
          </w:p>
        </w:tc>
        <w:tc>
          <w:tcPr>
            <w:tcW w:w="844" w:type="pct"/>
            <w:tcMar>
              <w:top w:w="15" w:type="dxa"/>
              <w:left w:w="15" w:type="dxa"/>
              <w:right w:w="15" w:type="dxa"/>
            </w:tcMar>
            <w:vAlign w:val="center"/>
          </w:tcPr>
          <w:p w14:paraId="010E986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0.0009</w:t>
            </w:r>
          </w:p>
        </w:tc>
      </w:tr>
      <w:tr w14:paraId="5C2258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13CE0455">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083A108D">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5ECD4ED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≤0.01</w:t>
            </w:r>
          </w:p>
        </w:tc>
        <w:tc>
          <w:tcPr>
            <w:tcW w:w="820" w:type="pct"/>
            <w:tcMar>
              <w:top w:w="15" w:type="dxa"/>
              <w:left w:w="15" w:type="dxa"/>
              <w:right w:w="15" w:type="dxa"/>
            </w:tcMar>
            <w:vAlign w:val="center"/>
          </w:tcPr>
          <w:p w14:paraId="5BA9285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238774C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0.140</w:t>
            </w:r>
          </w:p>
        </w:tc>
        <w:tc>
          <w:tcPr>
            <w:tcW w:w="831" w:type="pct"/>
            <w:noWrap/>
            <w:tcMar>
              <w:top w:w="15" w:type="dxa"/>
              <w:left w:w="15" w:type="dxa"/>
              <w:right w:w="15" w:type="dxa"/>
            </w:tcMar>
            <w:vAlign w:val="center"/>
          </w:tcPr>
          <w:p w14:paraId="5A37698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0.060</w:t>
            </w:r>
          </w:p>
        </w:tc>
        <w:tc>
          <w:tcPr>
            <w:tcW w:w="844" w:type="pct"/>
            <w:noWrap/>
            <w:tcMar>
              <w:top w:w="15" w:type="dxa"/>
              <w:left w:w="15" w:type="dxa"/>
              <w:right w:w="15" w:type="dxa"/>
            </w:tcMar>
            <w:vAlign w:val="center"/>
          </w:tcPr>
          <w:p w14:paraId="5F0CD0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0.090</w:t>
            </w:r>
          </w:p>
        </w:tc>
      </w:tr>
      <w:tr w14:paraId="167DB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555D610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31</w:t>
            </w:r>
          </w:p>
        </w:tc>
        <w:tc>
          <w:tcPr>
            <w:tcW w:w="515" w:type="pct"/>
            <w:gridSpan w:val="2"/>
            <w:vMerge w:val="restart"/>
            <w:tcMar>
              <w:top w:w="15" w:type="dxa"/>
              <w:left w:w="15" w:type="dxa"/>
              <w:right w:w="15" w:type="dxa"/>
            </w:tcMar>
            <w:vAlign w:val="center"/>
          </w:tcPr>
          <w:p w14:paraId="22991B4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镉</w:t>
            </w:r>
          </w:p>
        </w:tc>
        <w:tc>
          <w:tcPr>
            <w:tcW w:w="929" w:type="pct"/>
            <w:tcMar>
              <w:top w:w="15" w:type="dxa"/>
              <w:left w:w="15" w:type="dxa"/>
              <w:right w:w="15" w:type="dxa"/>
            </w:tcMar>
            <w:vAlign w:val="center"/>
          </w:tcPr>
          <w:p w14:paraId="7191410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417668A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10C0E97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6591325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4BF2C64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25C279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089EE559">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65267BED">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079FD5E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≤0.005</w:t>
            </w:r>
          </w:p>
        </w:tc>
        <w:tc>
          <w:tcPr>
            <w:tcW w:w="820" w:type="pct"/>
            <w:tcMar>
              <w:top w:w="15" w:type="dxa"/>
              <w:left w:w="15" w:type="dxa"/>
              <w:right w:w="15" w:type="dxa"/>
            </w:tcMar>
            <w:vAlign w:val="center"/>
          </w:tcPr>
          <w:p w14:paraId="39D40FE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2CDBC4D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52FC209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1314728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0062A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restart"/>
            <w:noWrap/>
            <w:tcMar>
              <w:top w:w="15" w:type="dxa"/>
              <w:left w:w="15" w:type="dxa"/>
              <w:right w:w="15" w:type="dxa"/>
            </w:tcMar>
            <w:vAlign w:val="center"/>
          </w:tcPr>
          <w:p w14:paraId="10BEE05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32</w:t>
            </w:r>
          </w:p>
        </w:tc>
        <w:tc>
          <w:tcPr>
            <w:tcW w:w="515" w:type="pct"/>
            <w:gridSpan w:val="2"/>
            <w:vMerge w:val="restart"/>
            <w:tcMar>
              <w:top w:w="15" w:type="dxa"/>
              <w:left w:w="15" w:type="dxa"/>
              <w:right w:w="15" w:type="dxa"/>
            </w:tcMar>
            <w:vAlign w:val="center"/>
          </w:tcPr>
          <w:p w14:paraId="04F468C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铬(六价)</w:t>
            </w:r>
          </w:p>
        </w:tc>
        <w:tc>
          <w:tcPr>
            <w:tcW w:w="929" w:type="pct"/>
            <w:tcMar>
              <w:top w:w="15" w:type="dxa"/>
              <w:left w:w="15" w:type="dxa"/>
              <w:right w:w="15" w:type="dxa"/>
            </w:tcMar>
            <w:vAlign w:val="center"/>
          </w:tcPr>
          <w:p w14:paraId="6210CAB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5121FC9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4C8A639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7661738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0AAD379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3C202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1" w:type="pct"/>
            <w:vMerge w:val="continue"/>
            <w:noWrap/>
            <w:tcMar>
              <w:top w:w="15" w:type="dxa"/>
              <w:left w:w="15" w:type="dxa"/>
              <w:right w:w="15" w:type="dxa"/>
            </w:tcMar>
            <w:vAlign w:val="center"/>
          </w:tcPr>
          <w:p w14:paraId="49C287BD">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7541B0A7">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5D65F28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≤0.05</w:t>
            </w:r>
          </w:p>
        </w:tc>
        <w:tc>
          <w:tcPr>
            <w:tcW w:w="820" w:type="pct"/>
            <w:tcMar>
              <w:top w:w="15" w:type="dxa"/>
              <w:left w:w="15" w:type="dxa"/>
              <w:right w:w="15" w:type="dxa"/>
            </w:tcMar>
            <w:vAlign w:val="center"/>
          </w:tcPr>
          <w:p w14:paraId="6D3D1C9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2935D49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41CDC18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02AFEDA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211365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2A6F768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33</w:t>
            </w:r>
          </w:p>
        </w:tc>
        <w:tc>
          <w:tcPr>
            <w:tcW w:w="515" w:type="pct"/>
            <w:gridSpan w:val="2"/>
            <w:vMerge w:val="restart"/>
            <w:tcMar>
              <w:top w:w="15" w:type="dxa"/>
              <w:left w:w="15" w:type="dxa"/>
              <w:right w:w="15" w:type="dxa"/>
            </w:tcMar>
            <w:vAlign w:val="center"/>
          </w:tcPr>
          <w:p w14:paraId="3085CDC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铅</w:t>
            </w:r>
          </w:p>
        </w:tc>
        <w:tc>
          <w:tcPr>
            <w:tcW w:w="929" w:type="pct"/>
            <w:tcMar>
              <w:top w:w="15" w:type="dxa"/>
              <w:left w:w="15" w:type="dxa"/>
              <w:right w:w="15" w:type="dxa"/>
            </w:tcMar>
            <w:vAlign w:val="center"/>
          </w:tcPr>
          <w:p w14:paraId="1726B7E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0E5B3C3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50BB2F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57AF8CD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25C7FEB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68035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574593F2">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73068947">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3F112F1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≤0.01</w:t>
            </w:r>
          </w:p>
        </w:tc>
        <w:tc>
          <w:tcPr>
            <w:tcW w:w="820" w:type="pct"/>
            <w:tcMar>
              <w:top w:w="15" w:type="dxa"/>
              <w:left w:w="15" w:type="dxa"/>
              <w:right w:w="15" w:type="dxa"/>
            </w:tcMar>
            <w:vAlign w:val="center"/>
          </w:tcPr>
          <w:p w14:paraId="2D66CE7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F399C9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472D25D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2C2CE7E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2BDE3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4F87AD4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34</w:t>
            </w:r>
          </w:p>
        </w:tc>
        <w:tc>
          <w:tcPr>
            <w:tcW w:w="515" w:type="pct"/>
            <w:gridSpan w:val="2"/>
            <w:vMerge w:val="restart"/>
            <w:tcMar>
              <w:top w:w="15" w:type="dxa"/>
              <w:left w:w="15" w:type="dxa"/>
              <w:right w:w="15" w:type="dxa"/>
            </w:tcMar>
            <w:vAlign w:val="center"/>
          </w:tcPr>
          <w:p w14:paraId="3B1A1E0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三氯甲烷</w:t>
            </w:r>
          </w:p>
        </w:tc>
        <w:tc>
          <w:tcPr>
            <w:tcW w:w="929" w:type="pct"/>
            <w:tcMar>
              <w:top w:w="15" w:type="dxa"/>
              <w:left w:w="15" w:type="dxa"/>
              <w:right w:w="15" w:type="dxa"/>
            </w:tcMar>
            <w:vAlign w:val="center"/>
          </w:tcPr>
          <w:p w14:paraId="1356CF3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19592E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D5B768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31CCEA8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1A65B51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590540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3C56BA96">
            <w:pPr>
              <w:spacing w:line="0" w:lineRule="atLeast"/>
              <w:jc w:val="center"/>
              <w:rPr>
                <w:rFonts w:hint="eastAsia" w:hAnsi="宋体" w:cs="宋体"/>
                <w:color w:val="000000"/>
                <w:spacing w:val="-10"/>
                <w:kern w:val="0"/>
                <w:sz w:val="21"/>
                <w:szCs w:val="21"/>
              </w:rPr>
            </w:pPr>
          </w:p>
        </w:tc>
        <w:tc>
          <w:tcPr>
            <w:tcW w:w="515" w:type="pct"/>
            <w:gridSpan w:val="2"/>
            <w:vMerge w:val="continue"/>
            <w:tcMar>
              <w:top w:w="15" w:type="dxa"/>
              <w:left w:w="15" w:type="dxa"/>
              <w:right w:w="15" w:type="dxa"/>
            </w:tcMar>
            <w:vAlign w:val="center"/>
          </w:tcPr>
          <w:p w14:paraId="4657823C">
            <w:pPr>
              <w:spacing w:line="0" w:lineRule="atLeast"/>
              <w:jc w:val="center"/>
              <w:rPr>
                <w:rFonts w:hint="eastAsia" w:hAnsi="宋体" w:cs="宋体"/>
                <w:color w:val="000000"/>
                <w:spacing w:val="-10"/>
                <w:kern w:val="0"/>
                <w:sz w:val="21"/>
                <w:szCs w:val="21"/>
              </w:rPr>
            </w:pPr>
          </w:p>
        </w:tc>
        <w:tc>
          <w:tcPr>
            <w:tcW w:w="929" w:type="pct"/>
            <w:tcMar>
              <w:top w:w="15" w:type="dxa"/>
              <w:left w:w="15" w:type="dxa"/>
              <w:right w:w="15" w:type="dxa"/>
            </w:tcMar>
            <w:vAlign w:val="center"/>
          </w:tcPr>
          <w:p w14:paraId="1386B26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≤60μg/L</w:t>
            </w:r>
          </w:p>
        </w:tc>
        <w:tc>
          <w:tcPr>
            <w:tcW w:w="820" w:type="pct"/>
            <w:tcMar>
              <w:top w:w="15" w:type="dxa"/>
              <w:left w:w="15" w:type="dxa"/>
              <w:right w:w="15" w:type="dxa"/>
            </w:tcMar>
            <w:vAlign w:val="center"/>
          </w:tcPr>
          <w:p w14:paraId="3482BF0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786ABA6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00B53F8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74CF5A3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CCAA5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799F487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35</w:t>
            </w:r>
          </w:p>
        </w:tc>
        <w:tc>
          <w:tcPr>
            <w:tcW w:w="509" w:type="pct"/>
            <w:vMerge w:val="restart"/>
            <w:tcMar>
              <w:top w:w="15" w:type="dxa"/>
              <w:left w:w="15" w:type="dxa"/>
              <w:right w:w="15" w:type="dxa"/>
            </w:tcMar>
            <w:vAlign w:val="center"/>
          </w:tcPr>
          <w:p w14:paraId="5C37D42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四氯化碳</w:t>
            </w:r>
          </w:p>
        </w:tc>
        <w:tc>
          <w:tcPr>
            <w:tcW w:w="935" w:type="pct"/>
            <w:gridSpan w:val="2"/>
            <w:tcMar>
              <w:top w:w="15" w:type="dxa"/>
              <w:left w:w="15" w:type="dxa"/>
              <w:right w:w="15" w:type="dxa"/>
            </w:tcMar>
            <w:vAlign w:val="center"/>
          </w:tcPr>
          <w:p w14:paraId="0DBC830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60A6E04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3BCCFD8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33A10B4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4BB91C2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752203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37C153DB">
            <w:pPr>
              <w:spacing w:line="0" w:lineRule="atLeast"/>
              <w:jc w:val="center"/>
              <w:rPr>
                <w:rFonts w:hint="eastAsia" w:hAnsi="宋体" w:cs="宋体"/>
                <w:color w:val="000000"/>
                <w:spacing w:val="-10"/>
                <w:kern w:val="0"/>
                <w:sz w:val="21"/>
                <w:szCs w:val="21"/>
              </w:rPr>
            </w:pPr>
          </w:p>
        </w:tc>
        <w:tc>
          <w:tcPr>
            <w:tcW w:w="509" w:type="pct"/>
            <w:vMerge w:val="continue"/>
            <w:tcMar>
              <w:top w:w="15" w:type="dxa"/>
              <w:left w:w="15" w:type="dxa"/>
              <w:right w:w="15" w:type="dxa"/>
            </w:tcMar>
            <w:vAlign w:val="center"/>
          </w:tcPr>
          <w:p w14:paraId="7C35131E">
            <w:pPr>
              <w:spacing w:line="0" w:lineRule="atLeast"/>
              <w:jc w:val="center"/>
              <w:rPr>
                <w:rFonts w:hint="eastAsia" w:hAnsi="宋体" w:cs="宋体"/>
                <w:color w:val="000000"/>
                <w:spacing w:val="-10"/>
                <w:kern w:val="0"/>
                <w:sz w:val="21"/>
                <w:szCs w:val="21"/>
              </w:rPr>
            </w:pPr>
          </w:p>
        </w:tc>
        <w:tc>
          <w:tcPr>
            <w:tcW w:w="935" w:type="pct"/>
            <w:gridSpan w:val="2"/>
            <w:tcMar>
              <w:top w:w="15" w:type="dxa"/>
              <w:left w:w="15" w:type="dxa"/>
              <w:right w:w="15" w:type="dxa"/>
            </w:tcMar>
            <w:vAlign w:val="center"/>
          </w:tcPr>
          <w:p w14:paraId="7444FAC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≤2.0μg/L</w:t>
            </w:r>
          </w:p>
        </w:tc>
        <w:tc>
          <w:tcPr>
            <w:tcW w:w="820" w:type="pct"/>
            <w:tcMar>
              <w:top w:w="15" w:type="dxa"/>
              <w:left w:w="15" w:type="dxa"/>
              <w:right w:w="15" w:type="dxa"/>
            </w:tcMar>
            <w:vAlign w:val="center"/>
          </w:tcPr>
          <w:p w14:paraId="59BAADF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2776327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64B202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13A3C52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C3331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3FEB8D6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36</w:t>
            </w:r>
          </w:p>
        </w:tc>
        <w:tc>
          <w:tcPr>
            <w:tcW w:w="509" w:type="pct"/>
            <w:vMerge w:val="restart"/>
            <w:tcMar>
              <w:top w:w="15" w:type="dxa"/>
              <w:left w:w="15" w:type="dxa"/>
              <w:right w:w="15" w:type="dxa"/>
            </w:tcMar>
            <w:vAlign w:val="center"/>
          </w:tcPr>
          <w:p w14:paraId="6840236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苯</w:t>
            </w:r>
          </w:p>
        </w:tc>
        <w:tc>
          <w:tcPr>
            <w:tcW w:w="935" w:type="pct"/>
            <w:gridSpan w:val="2"/>
            <w:tcMar>
              <w:top w:w="15" w:type="dxa"/>
              <w:left w:w="15" w:type="dxa"/>
              <w:right w:w="15" w:type="dxa"/>
            </w:tcMar>
            <w:vAlign w:val="center"/>
          </w:tcPr>
          <w:p w14:paraId="7CDB6E8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7C60CC7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6C75A3A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603B790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6449AAC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55A2D1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094EF08D">
            <w:pPr>
              <w:spacing w:line="0" w:lineRule="atLeast"/>
              <w:jc w:val="center"/>
              <w:rPr>
                <w:rFonts w:hint="eastAsia" w:hAnsi="宋体" w:cs="宋体"/>
                <w:color w:val="000000"/>
                <w:spacing w:val="-10"/>
                <w:kern w:val="0"/>
                <w:sz w:val="21"/>
                <w:szCs w:val="21"/>
              </w:rPr>
            </w:pPr>
          </w:p>
        </w:tc>
        <w:tc>
          <w:tcPr>
            <w:tcW w:w="509" w:type="pct"/>
            <w:vMerge w:val="continue"/>
            <w:tcMar>
              <w:top w:w="15" w:type="dxa"/>
              <w:left w:w="15" w:type="dxa"/>
              <w:right w:w="15" w:type="dxa"/>
            </w:tcMar>
            <w:vAlign w:val="center"/>
          </w:tcPr>
          <w:p w14:paraId="21BC7414">
            <w:pPr>
              <w:spacing w:line="0" w:lineRule="atLeast"/>
              <w:jc w:val="center"/>
              <w:rPr>
                <w:rFonts w:hint="eastAsia" w:hAnsi="宋体" w:cs="宋体"/>
                <w:color w:val="000000"/>
                <w:spacing w:val="-10"/>
                <w:kern w:val="0"/>
                <w:sz w:val="21"/>
                <w:szCs w:val="21"/>
              </w:rPr>
            </w:pPr>
          </w:p>
        </w:tc>
        <w:tc>
          <w:tcPr>
            <w:tcW w:w="935" w:type="pct"/>
            <w:gridSpan w:val="2"/>
            <w:tcMar>
              <w:top w:w="15" w:type="dxa"/>
              <w:left w:w="15" w:type="dxa"/>
              <w:right w:w="15" w:type="dxa"/>
            </w:tcMar>
            <w:vAlign w:val="center"/>
          </w:tcPr>
          <w:p w14:paraId="30330C3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≤10.0μg/L</w:t>
            </w:r>
          </w:p>
        </w:tc>
        <w:tc>
          <w:tcPr>
            <w:tcW w:w="820" w:type="pct"/>
            <w:tcMar>
              <w:top w:w="15" w:type="dxa"/>
              <w:left w:w="15" w:type="dxa"/>
              <w:right w:w="15" w:type="dxa"/>
            </w:tcMar>
            <w:vAlign w:val="center"/>
          </w:tcPr>
          <w:p w14:paraId="2074F5A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4B64E1E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1C891EA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585D255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6FD324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6C79643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37</w:t>
            </w:r>
          </w:p>
        </w:tc>
        <w:tc>
          <w:tcPr>
            <w:tcW w:w="509" w:type="pct"/>
            <w:vMerge w:val="restart"/>
            <w:tcMar>
              <w:top w:w="15" w:type="dxa"/>
              <w:left w:w="15" w:type="dxa"/>
              <w:right w:w="15" w:type="dxa"/>
            </w:tcMar>
            <w:vAlign w:val="center"/>
          </w:tcPr>
          <w:p w14:paraId="08401B1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甲苯</w:t>
            </w:r>
          </w:p>
        </w:tc>
        <w:tc>
          <w:tcPr>
            <w:tcW w:w="935" w:type="pct"/>
            <w:gridSpan w:val="2"/>
            <w:tcMar>
              <w:top w:w="15" w:type="dxa"/>
              <w:left w:w="15" w:type="dxa"/>
              <w:right w:w="15" w:type="dxa"/>
            </w:tcMar>
            <w:vAlign w:val="center"/>
          </w:tcPr>
          <w:p w14:paraId="09D9EF1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466E5F9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59FD779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17650AE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631B4B4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5C101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358CFEFB">
            <w:pPr>
              <w:spacing w:line="0" w:lineRule="atLeast"/>
              <w:jc w:val="center"/>
              <w:rPr>
                <w:rFonts w:hint="eastAsia" w:hAnsi="宋体" w:cs="宋体"/>
                <w:color w:val="000000"/>
                <w:spacing w:val="-10"/>
                <w:kern w:val="0"/>
                <w:sz w:val="21"/>
                <w:szCs w:val="21"/>
              </w:rPr>
            </w:pPr>
          </w:p>
        </w:tc>
        <w:tc>
          <w:tcPr>
            <w:tcW w:w="509" w:type="pct"/>
            <w:vMerge w:val="continue"/>
            <w:tcMar>
              <w:top w:w="15" w:type="dxa"/>
              <w:left w:w="15" w:type="dxa"/>
              <w:right w:w="15" w:type="dxa"/>
            </w:tcMar>
            <w:vAlign w:val="center"/>
          </w:tcPr>
          <w:p w14:paraId="48F61E4B">
            <w:pPr>
              <w:spacing w:line="0" w:lineRule="atLeast"/>
              <w:jc w:val="center"/>
              <w:rPr>
                <w:rFonts w:hint="eastAsia" w:hAnsi="宋体" w:cs="宋体"/>
                <w:color w:val="000000"/>
                <w:spacing w:val="-10"/>
                <w:kern w:val="0"/>
                <w:sz w:val="21"/>
                <w:szCs w:val="21"/>
              </w:rPr>
            </w:pPr>
          </w:p>
        </w:tc>
        <w:tc>
          <w:tcPr>
            <w:tcW w:w="935" w:type="pct"/>
            <w:gridSpan w:val="2"/>
            <w:tcMar>
              <w:top w:w="15" w:type="dxa"/>
              <w:left w:w="15" w:type="dxa"/>
              <w:right w:w="15" w:type="dxa"/>
            </w:tcMar>
            <w:vAlign w:val="center"/>
          </w:tcPr>
          <w:p w14:paraId="04FFAA5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≤700μg/L</w:t>
            </w:r>
          </w:p>
        </w:tc>
        <w:tc>
          <w:tcPr>
            <w:tcW w:w="820" w:type="pct"/>
            <w:tcMar>
              <w:top w:w="15" w:type="dxa"/>
              <w:left w:w="15" w:type="dxa"/>
              <w:right w:w="15" w:type="dxa"/>
            </w:tcMar>
            <w:vAlign w:val="center"/>
          </w:tcPr>
          <w:p w14:paraId="4F4345A8">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26F3F12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6E7BF72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7932DEF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4E9555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restart"/>
            <w:noWrap/>
            <w:tcMar>
              <w:top w:w="15" w:type="dxa"/>
              <w:left w:w="15" w:type="dxa"/>
              <w:right w:w="15" w:type="dxa"/>
            </w:tcMar>
            <w:vAlign w:val="center"/>
          </w:tcPr>
          <w:p w14:paraId="0D5BA74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38</w:t>
            </w:r>
          </w:p>
        </w:tc>
        <w:tc>
          <w:tcPr>
            <w:tcW w:w="509" w:type="pct"/>
            <w:vMerge w:val="restart"/>
            <w:tcMar>
              <w:top w:w="15" w:type="dxa"/>
              <w:left w:w="15" w:type="dxa"/>
              <w:right w:w="15" w:type="dxa"/>
            </w:tcMar>
            <w:vAlign w:val="center"/>
          </w:tcPr>
          <w:p w14:paraId="0F96F04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石油类</w:t>
            </w:r>
          </w:p>
        </w:tc>
        <w:tc>
          <w:tcPr>
            <w:tcW w:w="935" w:type="pct"/>
            <w:gridSpan w:val="2"/>
            <w:tcMar>
              <w:top w:w="15" w:type="dxa"/>
              <w:left w:w="15" w:type="dxa"/>
              <w:right w:w="15" w:type="dxa"/>
            </w:tcMar>
            <w:vAlign w:val="center"/>
          </w:tcPr>
          <w:p w14:paraId="3B6E6B0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标准值</w:t>
            </w:r>
          </w:p>
        </w:tc>
        <w:tc>
          <w:tcPr>
            <w:tcW w:w="820" w:type="pct"/>
            <w:tcMar>
              <w:top w:w="15" w:type="dxa"/>
              <w:left w:w="15" w:type="dxa"/>
              <w:right w:w="15" w:type="dxa"/>
            </w:tcMar>
            <w:vAlign w:val="center"/>
          </w:tcPr>
          <w:p w14:paraId="3633A40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监测值</w:t>
            </w:r>
          </w:p>
        </w:tc>
        <w:tc>
          <w:tcPr>
            <w:tcW w:w="690" w:type="pct"/>
            <w:tcMar>
              <w:top w:w="15" w:type="dxa"/>
              <w:left w:w="15" w:type="dxa"/>
              <w:right w:w="15" w:type="dxa"/>
            </w:tcMar>
            <w:vAlign w:val="center"/>
          </w:tcPr>
          <w:p w14:paraId="7A0054D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31" w:type="pct"/>
            <w:tcMar>
              <w:top w:w="15" w:type="dxa"/>
              <w:left w:w="15" w:type="dxa"/>
              <w:right w:w="15" w:type="dxa"/>
            </w:tcMar>
            <w:vAlign w:val="center"/>
          </w:tcPr>
          <w:p w14:paraId="48863EF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c>
          <w:tcPr>
            <w:tcW w:w="844" w:type="pct"/>
            <w:tcMar>
              <w:top w:w="15" w:type="dxa"/>
              <w:left w:w="15" w:type="dxa"/>
              <w:right w:w="15" w:type="dxa"/>
            </w:tcMar>
            <w:vAlign w:val="center"/>
          </w:tcPr>
          <w:p w14:paraId="39AE424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未检出</w:t>
            </w:r>
          </w:p>
        </w:tc>
      </w:tr>
      <w:tr w14:paraId="51A696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vMerge w:val="continue"/>
            <w:noWrap/>
            <w:tcMar>
              <w:top w:w="15" w:type="dxa"/>
              <w:left w:w="15" w:type="dxa"/>
              <w:right w:w="15" w:type="dxa"/>
            </w:tcMar>
            <w:vAlign w:val="center"/>
          </w:tcPr>
          <w:p w14:paraId="61B59E25">
            <w:pPr>
              <w:spacing w:line="0" w:lineRule="atLeast"/>
              <w:jc w:val="center"/>
              <w:rPr>
                <w:rFonts w:hint="eastAsia" w:hAnsi="宋体" w:cs="宋体"/>
                <w:color w:val="000000"/>
                <w:spacing w:val="-10"/>
                <w:kern w:val="0"/>
                <w:sz w:val="21"/>
                <w:szCs w:val="21"/>
              </w:rPr>
            </w:pPr>
          </w:p>
        </w:tc>
        <w:tc>
          <w:tcPr>
            <w:tcW w:w="509" w:type="pct"/>
            <w:vMerge w:val="continue"/>
            <w:tcMar>
              <w:top w:w="15" w:type="dxa"/>
              <w:left w:w="15" w:type="dxa"/>
              <w:right w:w="15" w:type="dxa"/>
            </w:tcMar>
            <w:vAlign w:val="center"/>
          </w:tcPr>
          <w:p w14:paraId="30023642">
            <w:pPr>
              <w:spacing w:line="0" w:lineRule="atLeast"/>
              <w:jc w:val="center"/>
              <w:rPr>
                <w:rFonts w:hint="eastAsia" w:hAnsi="宋体" w:cs="宋体"/>
                <w:color w:val="000000"/>
                <w:spacing w:val="-10"/>
                <w:kern w:val="0"/>
                <w:sz w:val="21"/>
                <w:szCs w:val="21"/>
              </w:rPr>
            </w:pPr>
          </w:p>
        </w:tc>
        <w:tc>
          <w:tcPr>
            <w:tcW w:w="935" w:type="pct"/>
            <w:gridSpan w:val="2"/>
            <w:tcMar>
              <w:top w:w="15" w:type="dxa"/>
              <w:left w:w="15" w:type="dxa"/>
              <w:right w:w="15" w:type="dxa"/>
            </w:tcMar>
            <w:vAlign w:val="center"/>
          </w:tcPr>
          <w:p w14:paraId="1BEE681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≤0.05</w:t>
            </w:r>
          </w:p>
        </w:tc>
        <w:tc>
          <w:tcPr>
            <w:tcW w:w="820" w:type="pct"/>
            <w:tcMar>
              <w:top w:w="15" w:type="dxa"/>
              <w:left w:w="15" w:type="dxa"/>
              <w:right w:w="15" w:type="dxa"/>
            </w:tcMar>
            <w:vAlign w:val="center"/>
          </w:tcPr>
          <w:p w14:paraId="3724BE9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标准指数</w:t>
            </w:r>
          </w:p>
        </w:tc>
        <w:tc>
          <w:tcPr>
            <w:tcW w:w="690" w:type="pct"/>
            <w:noWrap/>
            <w:tcMar>
              <w:top w:w="15" w:type="dxa"/>
              <w:left w:w="15" w:type="dxa"/>
              <w:right w:w="15" w:type="dxa"/>
            </w:tcMar>
            <w:vAlign w:val="center"/>
          </w:tcPr>
          <w:p w14:paraId="032AFA1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31" w:type="pct"/>
            <w:noWrap/>
            <w:tcMar>
              <w:top w:w="15" w:type="dxa"/>
              <w:left w:w="15" w:type="dxa"/>
              <w:right w:w="15" w:type="dxa"/>
            </w:tcMar>
            <w:vAlign w:val="center"/>
          </w:tcPr>
          <w:p w14:paraId="312C93A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c>
          <w:tcPr>
            <w:tcW w:w="844" w:type="pct"/>
            <w:noWrap/>
            <w:tcMar>
              <w:top w:w="15" w:type="dxa"/>
              <w:left w:w="15" w:type="dxa"/>
              <w:right w:w="15" w:type="dxa"/>
            </w:tcMar>
            <w:vAlign w:val="center"/>
          </w:tcPr>
          <w:p w14:paraId="57B328D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w:t>
            </w:r>
          </w:p>
        </w:tc>
      </w:tr>
      <w:tr w14:paraId="7B8175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noWrap/>
            <w:tcMar>
              <w:top w:w="15" w:type="dxa"/>
              <w:left w:w="15" w:type="dxa"/>
              <w:right w:w="15" w:type="dxa"/>
            </w:tcMar>
            <w:vAlign w:val="center"/>
          </w:tcPr>
          <w:p w14:paraId="4EB2F67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39</w:t>
            </w:r>
          </w:p>
        </w:tc>
        <w:tc>
          <w:tcPr>
            <w:tcW w:w="509" w:type="pct"/>
            <w:tcMar>
              <w:top w:w="15" w:type="dxa"/>
              <w:left w:w="15" w:type="dxa"/>
              <w:right w:w="15" w:type="dxa"/>
            </w:tcMar>
            <w:vAlign w:val="center"/>
          </w:tcPr>
          <w:p w14:paraId="6D7D1B63">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井深</w:t>
            </w:r>
          </w:p>
        </w:tc>
        <w:tc>
          <w:tcPr>
            <w:tcW w:w="935" w:type="pct"/>
            <w:gridSpan w:val="2"/>
            <w:tcMar>
              <w:top w:w="15" w:type="dxa"/>
              <w:left w:w="15" w:type="dxa"/>
              <w:right w:w="15" w:type="dxa"/>
            </w:tcMar>
            <w:vAlign w:val="center"/>
          </w:tcPr>
          <w:p w14:paraId="72960380">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m</w:t>
            </w:r>
          </w:p>
        </w:tc>
        <w:tc>
          <w:tcPr>
            <w:tcW w:w="820" w:type="pct"/>
            <w:tcMar>
              <w:top w:w="15" w:type="dxa"/>
              <w:left w:w="15" w:type="dxa"/>
              <w:right w:w="15" w:type="dxa"/>
            </w:tcMar>
            <w:vAlign w:val="center"/>
          </w:tcPr>
          <w:p w14:paraId="6C16652D">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w:t>
            </w:r>
          </w:p>
        </w:tc>
        <w:tc>
          <w:tcPr>
            <w:tcW w:w="690" w:type="pct"/>
            <w:noWrap/>
            <w:tcMar>
              <w:top w:w="15" w:type="dxa"/>
              <w:left w:w="15" w:type="dxa"/>
              <w:right w:w="15" w:type="dxa"/>
            </w:tcMar>
            <w:vAlign w:val="center"/>
          </w:tcPr>
          <w:p w14:paraId="392EAC12">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50</w:t>
            </w:r>
          </w:p>
        </w:tc>
        <w:tc>
          <w:tcPr>
            <w:tcW w:w="831" w:type="pct"/>
            <w:noWrap/>
            <w:tcMar>
              <w:top w:w="15" w:type="dxa"/>
              <w:left w:w="15" w:type="dxa"/>
              <w:right w:w="15" w:type="dxa"/>
            </w:tcMar>
            <w:vAlign w:val="center"/>
          </w:tcPr>
          <w:p w14:paraId="2D8B11D3">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50</w:t>
            </w:r>
          </w:p>
        </w:tc>
        <w:tc>
          <w:tcPr>
            <w:tcW w:w="844" w:type="pct"/>
            <w:noWrap/>
            <w:tcMar>
              <w:top w:w="15" w:type="dxa"/>
              <w:left w:w="15" w:type="dxa"/>
              <w:right w:w="15" w:type="dxa"/>
            </w:tcMar>
            <w:vAlign w:val="center"/>
          </w:tcPr>
          <w:p w14:paraId="5C1EAD34">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50</w:t>
            </w:r>
          </w:p>
        </w:tc>
      </w:tr>
      <w:tr w14:paraId="059AEE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noWrap/>
            <w:tcMar>
              <w:top w:w="15" w:type="dxa"/>
              <w:left w:w="15" w:type="dxa"/>
              <w:right w:w="15" w:type="dxa"/>
            </w:tcMar>
            <w:vAlign w:val="center"/>
          </w:tcPr>
          <w:p w14:paraId="1B50A51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40</w:t>
            </w:r>
          </w:p>
        </w:tc>
        <w:tc>
          <w:tcPr>
            <w:tcW w:w="509" w:type="pct"/>
            <w:tcMar>
              <w:top w:w="15" w:type="dxa"/>
              <w:left w:w="15" w:type="dxa"/>
              <w:right w:w="15" w:type="dxa"/>
            </w:tcMar>
            <w:vAlign w:val="center"/>
          </w:tcPr>
          <w:p w14:paraId="44B888AA">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水位</w:t>
            </w:r>
          </w:p>
        </w:tc>
        <w:tc>
          <w:tcPr>
            <w:tcW w:w="935" w:type="pct"/>
            <w:gridSpan w:val="2"/>
            <w:tcMar>
              <w:top w:w="15" w:type="dxa"/>
              <w:left w:w="15" w:type="dxa"/>
              <w:right w:w="15" w:type="dxa"/>
            </w:tcMar>
            <w:vAlign w:val="center"/>
          </w:tcPr>
          <w:p w14:paraId="68C126B0">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m</w:t>
            </w:r>
          </w:p>
        </w:tc>
        <w:tc>
          <w:tcPr>
            <w:tcW w:w="820" w:type="pct"/>
            <w:tcMar>
              <w:top w:w="15" w:type="dxa"/>
              <w:left w:w="15" w:type="dxa"/>
              <w:right w:w="15" w:type="dxa"/>
            </w:tcMar>
            <w:vAlign w:val="center"/>
          </w:tcPr>
          <w:p w14:paraId="1B53EE7F">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w:t>
            </w:r>
          </w:p>
        </w:tc>
        <w:tc>
          <w:tcPr>
            <w:tcW w:w="690" w:type="pct"/>
            <w:noWrap/>
            <w:tcMar>
              <w:top w:w="15" w:type="dxa"/>
              <w:left w:w="15" w:type="dxa"/>
              <w:right w:w="15" w:type="dxa"/>
            </w:tcMar>
            <w:vAlign w:val="center"/>
          </w:tcPr>
          <w:p w14:paraId="6C14BE31">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1069</w:t>
            </w:r>
          </w:p>
        </w:tc>
        <w:tc>
          <w:tcPr>
            <w:tcW w:w="831" w:type="pct"/>
            <w:noWrap/>
            <w:tcMar>
              <w:top w:w="15" w:type="dxa"/>
              <w:left w:w="15" w:type="dxa"/>
              <w:right w:w="15" w:type="dxa"/>
            </w:tcMar>
            <w:vAlign w:val="center"/>
          </w:tcPr>
          <w:p w14:paraId="370BFD1D">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1049</w:t>
            </w:r>
          </w:p>
        </w:tc>
        <w:tc>
          <w:tcPr>
            <w:tcW w:w="844" w:type="pct"/>
            <w:noWrap/>
            <w:tcMar>
              <w:top w:w="15" w:type="dxa"/>
              <w:left w:w="15" w:type="dxa"/>
              <w:right w:w="15" w:type="dxa"/>
            </w:tcMar>
            <w:vAlign w:val="center"/>
          </w:tcPr>
          <w:p w14:paraId="42D0D317">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1057</w:t>
            </w:r>
          </w:p>
        </w:tc>
      </w:tr>
      <w:tr w14:paraId="5AE20A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1" w:type="pct"/>
            <w:noWrap/>
            <w:tcMar>
              <w:top w:w="15" w:type="dxa"/>
              <w:left w:w="15" w:type="dxa"/>
              <w:right w:w="15" w:type="dxa"/>
            </w:tcMar>
            <w:vAlign w:val="center"/>
          </w:tcPr>
          <w:p w14:paraId="4182A82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41</w:t>
            </w:r>
          </w:p>
        </w:tc>
        <w:tc>
          <w:tcPr>
            <w:tcW w:w="509" w:type="pct"/>
            <w:tcMar>
              <w:top w:w="15" w:type="dxa"/>
              <w:left w:w="15" w:type="dxa"/>
              <w:right w:w="15" w:type="dxa"/>
            </w:tcMar>
            <w:vAlign w:val="center"/>
          </w:tcPr>
          <w:p w14:paraId="001B3426">
            <w:pPr>
              <w:spacing w:line="0" w:lineRule="atLeast"/>
              <w:jc w:val="center"/>
              <w:rPr>
                <w:rFonts w:hint="eastAsia" w:hAnsi="宋体" w:cs="宋体"/>
                <w:color w:val="000000"/>
                <w:spacing w:val="-11"/>
                <w:sz w:val="21"/>
                <w:szCs w:val="21"/>
              </w:rPr>
            </w:pPr>
            <w:r>
              <w:rPr>
                <w:rFonts w:hint="eastAsia" w:hAnsi="宋体" w:cs="宋体"/>
                <w:color w:val="000000"/>
                <w:spacing w:val="-11"/>
                <w:sz w:val="21"/>
                <w:szCs w:val="21"/>
              </w:rPr>
              <w:t>地下水</w:t>
            </w:r>
          </w:p>
          <w:p w14:paraId="1D491E64">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埋深</w:t>
            </w:r>
          </w:p>
        </w:tc>
        <w:tc>
          <w:tcPr>
            <w:tcW w:w="935" w:type="pct"/>
            <w:gridSpan w:val="2"/>
            <w:tcMar>
              <w:top w:w="15" w:type="dxa"/>
              <w:left w:w="15" w:type="dxa"/>
              <w:right w:w="15" w:type="dxa"/>
            </w:tcMar>
            <w:vAlign w:val="center"/>
          </w:tcPr>
          <w:p w14:paraId="1EB41B5F">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m</w:t>
            </w:r>
          </w:p>
        </w:tc>
        <w:tc>
          <w:tcPr>
            <w:tcW w:w="820" w:type="pct"/>
            <w:tcMar>
              <w:top w:w="15" w:type="dxa"/>
              <w:left w:w="15" w:type="dxa"/>
              <w:right w:w="15" w:type="dxa"/>
            </w:tcMar>
            <w:vAlign w:val="center"/>
          </w:tcPr>
          <w:p w14:paraId="406E585B">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w:t>
            </w:r>
          </w:p>
        </w:tc>
        <w:tc>
          <w:tcPr>
            <w:tcW w:w="690" w:type="pct"/>
            <w:noWrap/>
            <w:tcMar>
              <w:top w:w="15" w:type="dxa"/>
              <w:left w:w="15" w:type="dxa"/>
              <w:right w:w="15" w:type="dxa"/>
            </w:tcMar>
            <w:vAlign w:val="center"/>
          </w:tcPr>
          <w:p w14:paraId="30BCDCBA">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7</w:t>
            </w:r>
          </w:p>
        </w:tc>
        <w:tc>
          <w:tcPr>
            <w:tcW w:w="831" w:type="pct"/>
            <w:noWrap/>
            <w:tcMar>
              <w:top w:w="15" w:type="dxa"/>
              <w:left w:w="15" w:type="dxa"/>
              <w:right w:w="15" w:type="dxa"/>
            </w:tcMar>
            <w:vAlign w:val="center"/>
          </w:tcPr>
          <w:p w14:paraId="393E4325">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6</w:t>
            </w:r>
          </w:p>
        </w:tc>
        <w:tc>
          <w:tcPr>
            <w:tcW w:w="844" w:type="pct"/>
            <w:noWrap/>
            <w:tcMar>
              <w:top w:w="15" w:type="dxa"/>
              <w:left w:w="15" w:type="dxa"/>
              <w:right w:w="15" w:type="dxa"/>
            </w:tcMar>
            <w:vAlign w:val="center"/>
          </w:tcPr>
          <w:p w14:paraId="7BC8B7F4">
            <w:pPr>
              <w:spacing w:line="0" w:lineRule="atLeast"/>
              <w:jc w:val="center"/>
              <w:rPr>
                <w:rFonts w:hint="eastAsia" w:hAnsi="宋体" w:cs="宋体"/>
                <w:color w:val="000000"/>
                <w:spacing w:val="-10"/>
                <w:kern w:val="0"/>
                <w:sz w:val="21"/>
                <w:szCs w:val="21"/>
              </w:rPr>
            </w:pPr>
            <w:r>
              <w:rPr>
                <w:rFonts w:hint="eastAsia" w:hAnsi="宋体" w:cs="宋体"/>
                <w:color w:val="000000"/>
                <w:spacing w:val="-11"/>
                <w:sz w:val="21"/>
                <w:szCs w:val="21"/>
              </w:rPr>
              <w:t>8</w:t>
            </w:r>
          </w:p>
        </w:tc>
      </w:tr>
    </w:tbl>
    <w:p w14:paraId="391469B2">
      <w:pPr>
        <w:spacing w:before="240"/>
        <w:ind w:firstLine="526" w:firstLineChars="200"/>
        <w:rPr>
          <w:rFonts w:hint="eastAsia" w:hAnsi="宋体" w:cs="宋体"/>
          <w:color w:val="000000"/>
          <w:sz w:val="25"/>
        </w:rPr>
      </w:pPr>
      <w:r>
        <w:rPr>
          <w:rFonts w:hint="eastAsia" w:hAnsi="宋体" w:cs="宋体"/>
          <w:color w:val="000000"/>
          <w:szCs w:val="24"/>
        </w:rPr>
        <w:t>由表4.3-3分析可知，监测期间区域地下水中监测因子除硫酸盐、氯化物、氟化物、钠、溶解性总固体、总硬度外，均满足《地下水质量标准》(GB/T14848-2017)Ⅲ类标准要求；石油类满足《地表水环境质量标准》(GB3838-2002)Ⅲ类标准要求。硫酸盐、氯化物、氟化物、钠、溶解性总固体、总硬度等因子超标与区域水文地质条件有关，区域潜水蒸发量大、补给量小，造成潜水中上述因子日积月累浓度逐渐升高。</w:t>
      </w:r>
    </w:p>
    <w:p w14:paraId="44C3841B">
      <w:pPr>
        <w:spacing w:line="480" w:lineRule="exact"/>
        <w:ind w:firstLine="515" w:firstLineChars="196"/>
        <w:rPr>
          <w:rFonts w:hAnsi="宋体"/>
          <w:color w:val="000000"/>
          <w:szCs w:val="24"/>
        </w:rPr>
      </w:pPr>
      <w:r>
        <w:rPr>
          <w:rFonts w:hint="eastAsia" w:hAnsi="宋体"/>
          <w:color w:val="000000"/>
          <w:szCs w:val="24"/>
        </w:rPr>
        <w:t>（3）地下水</w:t>
      </w:r>
      <w:r>
        <w:rPr>
          <w:rFonts w:hAnsi="宋体"/>
          <w:color w:val="000000"/>
          <w:szCs w:val="24"/>
        </w:rPr>
        <w:t>离子检测结果</w:t>
      </w:r>
      <w:r>
        <w:rPr>
          <w:rFonts w:hint="eastAsia" w:hAnsi="宋体"/>
          <w:color w:val="000000"/>
          <w:szCs w:val="24"/>
        </w:rPr>
        <w:t>与评价</w:t>
      </w:r>
    </w:p>
    <w:p w14:paraId="39B7BF1A">
      <w:pPr>
        <w:spacing w:line="480" w:lineRule="exact"/>
        <w:ind w:firstLine="526" w:firstLineChars="200"/>
        <w:rPr>
          <w:rFonts w:hAnsi="宋体"/>
          <w:color w:val="000000"/>
          <w:szCs w:val="24"/>
        </w:rPr>
      </w:pPr>
      <w:r>
        <w:rPr>
          <w:rFonts w:hint="eastAsia" w:hAnsi="宋体"/>
          <w:color w:val="000000"/>
          <w:szCs w:val="24"/>
        </w:rPr>
        <w:t>地下水</w:t>
      </w:r>
      <w:r>
        <w:rPr>
          <w:rFonts w:hAnsi="宋体"/>
          <w:color w:val="000000"/>
          <w:szCs w:val="24"/>
        </w:rPr>
        <w:t>离子检测结果见表</w:t>
      </w:r>
      <w:r>
        <w:rPr>
          <w:rFonts w:hint="eastAsia" w:hAnsi="宋体"/>
          <w:color w:val="000000"/>
          <w:szCs w:val="24"/>
        </w:rPr>
        <w:t>4.3-4。</w:t>
      </w:r>
    </w:p>
    <w:p w14:paraId="43566328">
      <w:pPr>
        <w:ind w:firstLine="526" w:firstLineChars="200"/>
        <w:rPr>
          <w:rFonts w:hint="eastAsia" w:ascii="黑体" w:hAnsi="黑体" w:eastAsia="黑体" w:cs="宋体"/>
          <w:color w:val="000000"/>
          <w:szCs w:val="24"/>
        </w:rPr>
      </w:pPr>
      <w:r>
        <w:rPr>
          <w:rFonts w:hint="eastAsia" w:ascii="黑体" w:hAnsi="黑体" w:eastAsia="黑体" w:cs="宋体"/>
          <w:color w:val="000000"/>
          <w:szCs w:val="24"/>
        </w:rPr>
        <w:t xml:space="preserve">表4.3-4    </w:t>
      </w:r>
      <w:r>
        <w:rPr>
          <w:rFonts w:hint="eastAsia" w:ascii="黑体" w:hAnsi="黑体" w:eastAsia="黑体" w:cs="黑体"/>
          <w:color w:val="000000"/>
          <w:szCs w:val="24"/>
        </w:rPr>
        <w:t>地下水检测分析因子分析结果一览表</w:t>
      </w:r>
      <w:r>
        <w:rPr>
          <w:rFonts w:hint="eastAsia" w:ascii="黑体" w:hAnsi="黑体" w:eastAsia="黑体" w:cs="宋体"/>
          <w:color w:val="000000"/>
          <w:szCs w:val="24"/>
        </w:rPr>
        <w:t xml:space="preserve">     单位：mg/L</w:t>
      </w:r>
    </w:p>
    <w:tbl>
      <w:tblPr>
        <w:tblStyle w:val="4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483"/>
        <w:gridCol w:w="1237"/>
        <w:gridCol w:w="1857"/>
        <w:gridCol w:w="2105"/>
        <w:gridCol w:w="2329"/>
      </w:tblGrid>
      <w:tr w14:paraId="626BF4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509" w:type="pct"/>
            <w:gridSpan w:val="2"/>
            <w:vAlign w:val="center"/>
          </w:tcPr>
          <w:p w14:paraId="1EADAA02">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1030" w:type="pct"/>
            <w:vAlign w:val="center"/>
          </w:tcPr>
          <w:p w14:paraId="7B10BDD8">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1#</w:t>
            </w:r>
          </w:p>
        </w:tc>
        <w:tc>
          <w:tcPr>
            <w:tcW w:w="1168" w:type="pct"/>
            <w:vAlign w:val="center"/>
          </w:tcPr>
          <w:p w14:paraId="3AA6AEAE">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2#</w:t>
            </w:r>
          </w:p>
        </w:tc>
        <w:tc>
          <w:tcPr>
            <w:tcW w:w="1292" w:type="pct"/>
            <w:vAlign w:val="center"/>
          </w:tcPr>
          <w:p w14:paraId="71DA4EC3">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kern w:val="0"/>
                <w:sz w:val="21"/>
                <w:szCs w:val="21"/>
                <w:lang w:bidi="ar"/>
              </w:rPr>
              <w:t>3#</w:t>
            </w:r>
          </w:p>
        </w:tc>
      </w:tr>
      <w:tr w14:paraId="1B94A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restart"/>
            <w:vAlign w:val="center"/>
          </w:tcPr>
          <w:p w14:paraId="4633F5EB">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r>
              <w:rPr>
                <w:rFonts w:hint="eastAsia" w:hAnsi="宋体" w:cs="宋体"/>
                <w:color w:val="000000"/>
                <w:spacing w:val="-10"/>
                <w:sz w:val="21"/>
                <w:szCs w:val="21"/>
                <w:lang w:bidi="ar"/>
              </w:rPr>
              <w:t>(mg/L)</w:t>
            </w:r>
          </w:p>
        </w:tc>
        <w:tc>
          <w:tcPr>
            <w:tcW w:w="686" w:type="pct"/>
            <w:vAlign w:val="center"/>
          </w:tcPr>
          <w:p w14:paraId="2A934149">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K</w:t>
            </w:r>
            <w:r>
              <w:rPr>
                <w:rFonts w:hint="eastAsia" w:hAnsi="宋体" w:cs="宋体"/>
                <w:color w:val="000000"/>
                <w:spacing w:val="-10"/>
                <w:sz w:val="21"/>
                <w:szCs w:val="21"/>
                <w:vertAlign w:val="superscript"/>
              </w:rPr>
              <w:t>+</w:t>
            </w:r>
          </w:p>
        </w:tc>
        <w:tc>
          <w:tcPr>
            <w:tcW w:w="1030" w:type="pct"/>
            <w:vAlign w:val="center"/>
          </w:tcPr>
          <w:p w14:paraId="257A79CA">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65.4</w:t>
            </w:r>
          </w:p>
        </w:tc>
        <w:tc>
          <w:tcPr>
            <w:tcW w:w="1168" w:type="pct"/>
            <w:vAlign w:val="center"/>
          </w:tcPr>
          <w:p w14:paraId="73B1E9F1">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50.4</w:t>
            </w:r>
          </w:p>
        </w:tc>
        <w:tc>
          <w:tcPr>
            <w:tcW w:w="1292" w:type="pct"/>
            <w:vAlign w:val="center"/>
          </w:tcPr>
          <w:p w14:paraId="1E0F425D">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62.6</w:t>
            </w:r>
          </w:p>
        </w:tc>
      </w:tr>
      <w:tr w14:paraId="28271C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11855B67">
            <w:pPr>
              <w:snapToGrid w:val="0"/>
              <w:spacing w:line="0" w:lineRule="atLeast"/>
              <w:jc w:val="center"/>
              <w:rPr>
                <w:rFonts w:hint="eastAsia" w:hAnsi="宋体" w:cs="宋体"/>
                <w:color w:val="000000"/>
                <w:spacing w:val="-10"/>
                <w:sz w:val="21"/>
                <w:szCs w:val="21"/>
              </w:rPr>
            </w:pPr>
          </w:p>
        </w:tc>
        <w:tc>
          <w:tcPr>
            <w:tcW w:w="686" w:type="pct"/>
            <w:vAlign w:val="center"/>
          </w:tcPr>
          <w:p w14:paraId="002F7475">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Na</w:t>
            </w:r>
            <w:r>
              <w:rPr>
                <w:rFonts w:hint="eastAsia" w:hAnsi="宋体" w:cs="宋体"/>
                <w:color w:val="000000"/>
                <w:spacing w:val="-10"/>
                <w:sz w:val="21"/>
                <w:szCs w:val="21"/>
                <w:vertAlign w:val="superscript"/>
              </w:rPr>
              <w:t>+</w:t>
            </w:r>
          </w:p>
        </w:tc>
        <w:tc>
          <w:tcPr>
            <w:tcW w:w="1030" w:type="pct"/>
            <w:vAlign w:val="center"/>
          </w:tcPr>
          <w:p w14:paraId="31AB4B2F">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1200</w:t>
            </w:r>
          </w:p>
        </w:tc>
        <w:tc>
          <w:tcPr>
            <w:tcW w:w="1168" w:type="pct"/>
            <w:vAlign w:val="center"/>
          </w:tcPr>
          <w:p w14:paraId="41765CDD">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1130</w:t>
            </w:r>
          </w:p>
        </w:tc>
        <w:tc>
          <w:tcPr>
            <w:tcW w:w="1292" w:type="pct"/>
            <w:vAlign w:val="center"/>
          </w:tcPr>
          <w:p w14:paraId="311B0E23">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1420</w:t>
            </w:r>
          </w:p>
        </w:tc>
      </w:tr>
      <w:tr w14:paraId="4E441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510E1EF3">
            <w:pPr>
              <w:snapToGrid w:val="0"/>
              <w:spacing w:line="0" w:lineRule="atLeast"/>
              <w:jc w:val="center"/>
              <w:rPr>
                <w:rFonts w:hint="eastAsia" w:hAnsi="宋体" w:cs="宋体"/>
                <w:color w:val="000000"/>
                <w:spacing w:val="-10"/>
                <w:sz w:val="21"/>
                <w:szCs w:val="21"/>
              </w:rPr>
            </w:pPr>
          </w:p>
        </w:tc>
        <w:tc>
          <w:tcPr>
            <w:tcW w:w="686" w:type="pct"/>
            <w:vAlign w:val="center"/>
          </w:tcPr>
          <w:p w14:paraId="7F4FFF0B">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Ca</w:t>
            </w:r>
            <w:r>
              <w:rPr>
                <w:rFonts w:hint="eastAsia" w:hAnsi="宋体" w:cs="宋体"/>
                <w:color w:val="000000"/>
                <w:spacing w:val="-10"/>
                <w:sz w:val="21"/>
                <w:szCs w:val="21"/>
                <w:vertAlign w:val="superscript"/>
              </w:rPr>
              <w:t>2+</w:t>
            </w:r>
          </w:p>
        </w:tc>
        <w:tc>
          <w:tcPr>
            <w:tcW w:w="1030" w:type="pct"/>
            <w:vAlign w:val="center"/>
          </w:tcPr>
          <w:p w14:paraId="6EFEE618">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164</w:t>
            </w:r>
          </w:p>
        </w:tc>
        <w:tc>
          <w:tcPr>
            <w:tcW w:w="1168" w:type="pct"/>
            <w:vAlign w:val="center"/>
          </w:tcPr>
          <w:p w14:paraId="42F31ADF">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501</w:t>
            </w:r>
          </w:p>
        </w:tc>
        <w:tc>
          <w:tcPr>
            <w:tcW w:w="1292" w:type="pct"/>
            <w:vAlign w:val="center"/>
          </w:tcPr>
          <w:p w14:paraId="08B5F079">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16.4</w:t>
            </w:r>
          </w:p>
        </w:tc>
      </w:tr>
      <w:tr w14:paraId="78EDE9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5F3E53F0">
            <w:pPr>
              <w:snapToGrid w:val="0"/>
              <w:spacing w:line="0" w:lineRule="atLeast"/>
              <w:jc w:val="center"/>
              <w:rPr>
                <w:rFonts w:hint="eastAsia" w:hAnsi="宋体" w:cs="宋体"/>
                <w:color w:val="000000"/>
                <w:spacing w:val="-10"/>
                <w:sz w:val="21"/>
                <w:szCs w:val="21"/>
              </w:rPr>
            </w:pPr>
          </w:p>
        </w:tc>
        <w:tc>
          <w:tcPr>
            <w:tcW w:w="686" w:type="pct"/>
            <w:vAlign w:val="center"/>
          </w:tcPr>
          <w:p w14:paraId="234126AA">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Mg</w:t>
            </w:r>
            <w:r>
              <w:rPr>
                <w:rFonts w:hint="eastAsia" w:hAnsi="宋体" w:cs="宋体"/>
                <w:color w:val="000000"/>
                <w:spacing w:val="-10"/>
                <w:sz w:val="21"/>
                <w:szCs w:val="21"/>
                <w:vertAlign w:val="superscript"/>
              </w:rPr>
              <w:t>2+</w:t>
            </w:r>
          </w:p>
        </w:tc>
        <w:tc>
          <w:tcPr>
            <w:tcW w:w="1030" w:type="pct"/>
            <w:vAlign w:val="center"/>
          </w:tcPr>
          <w:p w14:paraId="33FC0852">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200</w:t>
            </w:r>
          </w:p>
        </w:tc>
        <w:tc>
          <w:tcPr>
            <w:tcW w:w="1168" w:type="pct"/>
            <w:vAlign w:val="center"/>
          </w:tcPr>
          <w:p w14:paraId="4E0D99E0">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123</w:t>
            </w:r>
          </w:p>
        </w:tc>
        <w:tc>
          <w:tcPr>
            <w:tcW w:w="1292" w:type="pct"/>
            <w:vAlign w:val="center"/>
          </w:tcPr>
          <w:p w14:paraId="51826EA2">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145</w:t>
            </w:r>
          </w:p>
        </w:tc>
      </w:tr>
      <w:tr w14:paraId="0393B4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0AE2F150">
            <w:pPr>
              <w:snapToGrid w:val="0"/>
              <w:spacing w:line="0" w:lineRule="atLeast"/>
              <w:jc w:val="center"/>
              <w:rPr>
                <w:rFonts w:hint="eastAsia" w:hAnsi="宋体" w:cs="宋体"/>
                <w:color w:val="000000"/>
                <w:spacing w:val="-10"/>
                <w:sz w:val="21"/>
                <w:szCs w:val="21"/>
              </w:rPr>
            </w:pPr>
          </w:p>
        </w:tc>
        <w:tc>
          <w:tcPr>
            <w:tcW w:w="686" w:type="pct"/>
            <w:vAlign w:val="center"/>
          </w:tcPr>
          <w:p w14:paraId="5F08F716">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2-</w:t>
            </w:r>
          </w:p>
        </w:tc>
        <w:tc>
          <w:tcPr>
            <w:tcW w:w="1030" w:type="pct"/>
            <w:vAlign w:val="center"/>
          </w:tcPr>
          <w:p w14:paraId="5388E6AF">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1168" w:type="pct"/>
            <w:vAlign w:val="center"/>
          </w:tcPr>
          <w:p w14:paraId="6F975675">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c>
          <w:tcPr>
            <w:tcW w:w="1292" w:type="pct"/>
            <w:vAlign w:val="center"/>
          </w:tcPr>
          <w:p w14:paraId="0ACEE068">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0</w:t>
            </w:r>
          </w:p>
        </w:tc>
      </w:tr>
      <w:tr w14:paraId="796248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3034C55F">
            <w:pPr>
              <w:snapToGrid w:val="0"/>
              <w:spacing w:line="0" w:lineRule="atLeast"/>
              <w:jc w:val="center"/>
              <w:rPr>
                <w:rFonts w:hint="eastAsia" w:hAnsi="宋体" w:cs="宋体"/>
                <w:color w:val="000000"/>
                <w:spacing w:val="-10"/>
                <w:sz w:val="21"/>
                <w:szCs w:val="21"/>
              </w:rPr>
            </w:pPr>
          </w:p>
        </w:tc>
        <w:tc>
          <w:tcPr>
            <w:tcW w:w="686" w:type="pct"/>
            <w:vAlign w:val="center"/>
          </w:tcPr>
          <w:p w14:paraId="1F08A28F">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w:t>
            </w:r>
          </w:p>
        </w:tc>
        <w:tc>
          <w:tcPr>
            <w:tcW w:w="1030" w:type="pct"/>
            <w:vAlign w:val="center"/>
          </w:tcPr>
          <w:p w14:paraId="2E18E8EC">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312</w:t>
            </w:r>
          </w:p>
        </w:tc>
        <w:tc>
          <w:tcPr>
            <w:tcW w:w="1168" w:type="pct"/>
            <w:vAlign w:val="center"/>
          </w:tcPr>
          <w:p w14:paraId="3135D3F3">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271</w:t>
            </w:r>
          </w:p>
        </w:tc>
        <w:tc>
          <w:tcPr>
            <w:tcW w:w="1292" w:type="pct"/>
            <w:vAlign w:val="center"/>
          </w:tcPr>
          <w:p w14:paraId="3FB2FD63">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300</w:t>
            </w:r>
          </w:p>
        </w:tc>
      </w:tr>
      <w:tr w14:paraId="4A15B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65A2AA5C">
            <w:pPr>
              <w:snapToGrid w:val="0"/>
              <w:spacing w:line="0" w:lineRule="atLeast"/>
              <w:jc w:val="center"/>
              <w:rPr>
                <w:rFonts w:hint="eastAsia" w:hAnsi="宋体" w:cs="宋体"/>
                <w:color w:val="000000"/>
                <w:spacing w:val="-10"/>
                <w:sz w:val="21"/>
                <w:szCs w:val="21"/>
              </w:rPr>
            </w:pPr>
          </w:p>
        </w:tc>
        <w:tc>
          <w:tcPr>
            <w:tcW w:w="686" w:type="pct"/>
            <w:vAlign w:val="center"/>
          </w:tcPr>
          <w:p w14:paraId="7FE56E87">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Cl</w:t>
            </w:r>
            <w:r>
              <w:rPr>
                <w:rFonts w:hint="eastAsia" w:hAnsi="宋体" w:cs="宋体"/>
                <w:color w:val="000000"/>
                <w:spacing w:val="-10"/>
                <w:sz w:val="21"/>
                <w:szCs w:val="21"/>
                <w:vertAlign w:val="superscript"/>
              </w:rPr>
              <w:t>-</w:t>
            </w:r>
          </w:p>
        </w:tc>
        <w:tc>
          <w:tcPr>
            <w:tcW w:w="1030" w:type="pct"/>
            <w:vAlign w:val="center"/>
          </w:tcPr>
          <w:p w14:paraId="3B440111">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1870</w:t>
            </w:r>
          </w:p>
        </w:tc>
        <w:tc>
          <w:tcPr>
            <w:tcW w:w="1168" w:type="pct"/>
            <w:vAlign w:val="center"/>
          </w:tcPr>
          <w:p w14:paraId="35C72E89">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1510</w:t>
            </w:r>
          </w:p>
        </w:tc>
        <w:tc>
          <w:tcPr>
            <w:tcW w:w="1292" w:type="pct"/>
            <w:vAlign w:val="center"/>
          </w:tcPr>
          <w:p w14:paraId="7B372BB2">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1720</w:t>
            </w:r>
          </w:p>
        </w:tc>
      </w:tr>
      <w:tr w14:paraId="4FC6F8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59594E71">
            <w:pPr>
              <w:snapToGrid w:val="0"/>
              <w:spacing w:line="0" w:lineRule="atLeast"/>
              <w:jc w:val="center"/>
              <w:rPr>
                <w:rFonts w:hint="eastAsia" w:hAnsi="宋体" w:cs="宋体"/>
                <w:color w:val="000000"/>
                <w:spacing w:val="-10"/>
                <w:sz w:val="21"/>
                <w:szCs w:val="21"/>
              </w:rPr>
            </w:pPr>
          </w:p>
        </w:tc>
        <w:tc>
          <w:tcPr>
            <w:tcW w:w="686" w:type="pct"/>
            <w:vAlign w:val="center"/>
          </w:tcPr>
          <w:p w14:paraId="330D3C36">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2-</w:t>
            </w:r>
          </w:p>
        </w:tc>
        <w:tc>
          <w:tcPr>
            <w:tcW w:w="1030" w:type="pct"/>
            <w:vAlign w:val="center"/>
          </w:tcPr>
          <w:p w14:paraId="4D61CB86">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1550</w:t>
            </w:r>
          </w:p>
        </w:tc>
        <w:tc>
          <w:tcPr>
            <w:tcW w:w="1168" w:type="pct"/>
            <w:vAlign w:val="center"/>
          </w:tcPr>
          <w:p w14:paraId="545820B5">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1780</w:t>
            </w:r>
          </w:p>
        </w:tc>
        <w:tc>
          <w:tcPr>
            <w:tcW w:w="1292" w:type="pct"/>
            <w:vAlign w:val="center"/>
          </w:tcPr>
          <w:p w14:paraId="6E7C1A53">
            <w:pPr>
              <w:widowControl/>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1020</w:t>
            </w:r>
          </w:p>
        </w:tc>
      </w:tr>
      <w:tr w14:paraId="264427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restart"/>
            <w:vAlign w:val="center"/>
          </w:tcPr>
          <w:p w14:paraId="708004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毫克当量</w:t>
            </w:r>
            <w:r>
              <w:rPr>
                <w:rFonts w:hint="eastAsia" w:hAnsi="宋体" w:cs="宋体"/>
                <w:color w:val="000000"/>
                <w:spacing w:val="-10"/>
                <w:sz w:val="21"/>
                <w:szCs w:val="21"/>
                <w:lang w:bidi="ar"/>
              </w:rPr>
              <w:t>百分比(%)</w:t>
            </w:r>
          </w:p>
        </w:tc>
        <w:tc>
          <w:tcPr>
            <w:tcW w:w="686" w:type="pct"/>
            <w:vAlign w:val="center"/>
          </w:tcPr>
          <w:p w14:paraId="562039B8">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K</w:t>
            </w:r>
            <w:r>
              <w:rPr>
                <w:rFonts w:hint="eastAsia" w:hAnsi="宋体" w:cs="宋体"/>
                <w:color w:val="000000"/>
                <w:spacing w:val="-10"/>
                <w:sz w:val="21"/>
                <w:szCs w:val="21"/>
                <w:vertAlign w:val="superscript"/>
              </w:rPr>
              <w:t>+</w:t>
            </w:r>
            <w:r>
              <w:rPr>
                <w:rFonts w:hint="eastAsia" w:hAnsi="宋体" w:cs="宋体"/>
                <w:color w:val="000000"/>
                <w:spacing w:val="-10"/>
                <w:sz w:val="21"/>
                <w:szCs w:val="21"/>
              </w:rPr>
              <w:t>+Na</w:t>
            </w:r>
            <w:r>
              <w:rPr>
                <w:rFonts w:hint="eastAsia" w:hAnsi="宋体" w:cs="宋体"/>
                <w:color w:val="000000"/>
                <w:spacing w:val="-10"/>
                <w:sz w:val="21"/>
                <w:szCs w:val="21"/>
                <w:vertAlign w:val="superscript"/>
              </w:rPr>
              <w:t>+</w:t>
            </w:r>
          </w:p>
        </w:tc>
        <w:tc>
          <w:tcPr>
            <w:tcW w:w="1030" w:type="pct"/>
            <w:vAlign w:val="center"/>
          </w:tcPr>
          <w:p w14:paraId="6B434E5F">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68.87</w:t>
            </w:r>
          </w:p>
        </w:tc>
        <w:tc>
          <w:tcPr>
            <w:tcW w:w="1168" w:type="pct"/>
            <w:vAlign w:val="center"/>
          </w:tcPr>
          <w:p w14:paraId="7C8F7429">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59.25</w:t>
            </w:r>
          </w:p>
        </w:tc>
        <w:tc>
          <w:tcPr>
            <w:tcW w:w="1292" w:type="pct"/>
            <w:vAlign w:val="center"/>
          </w:tcPr>
          <w:p w14:paraId="35693631">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83.32</w:t>
            </w:r>
          </w:p>
        </w:tc>
      </w:tr>
      <w:tr w14:paraId="26C16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3E82BEC1">
            <w:pPr>
              <w:snapToGrid w:val="0"/>
              <w:spacing w:line="0" w:lineRule="atLeast"/>
              <w:jc w:val="center"/>
              <w:rPr>
                <w:rFonts w:hint="eastAsia" w:hAnsi="宋体" w:cs="宋体"/>
                <w:color w:val="000000"/>
                <w:spacing w:val="-10"/>
                <w:sz w:val="21"/>
                <w:szCs w:val="21"/>
              </w:rPr>
            </w:pPr>
          </w:p>
        </w:tc>
        <w:tc>
          <w:tcPr>
            <w:tcW w:w="686" w:type="pct"/>
            <w:vAlign w:val="center"/>
          </w:tcPr>
          <w:p w14:paraId="2CDB7B29">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Ca</w:t>
            </w:r>
            <w:r>
              <w:rPr>
                <w:rFonts w:hint="eastAsia" w:hAnsi="宋体" w:cs="宋体"/>
                <w:color w:val="000000"/>
                <w:spacing w:val="-10"/>
                <w:sz w:val="21"/>
                <w:szCs w:val="21"/>
                <w:vertAlign w:val="superscript"/>
              </w:rPr>
              <w:t>2+</w:t>
            </w:r>
          </w:p>
        </w:tc>
        <w:tc>
          <w:tcPr>
            <w:tcW w:w="1030" w:type="pct"/>
            <w:vAlign w:val="center"/>
          </w:tcPr>
          <w:p w14:paraId="0A754AFD">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10.26</w:t>
            </w:r>
          </w:p>
        </w:tc>
        <w:tc>
          <w:tcPr>
            <w:tcW w:w="1168" w:type="pct"/>
            <w:vAlign w:val="center"/>
          </w:tcPr>
          <w:p w14:paraId="1F6AD7BB">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28.92</w:t>
            </w:r>
          </w:p>
        </w:tc>
        <w:tc>
          <w:tcPr>
            <w:tcW w:w="1292" w:type="pct"/>
            <w:vAlign w:val="center"/>
          </w:tcPr>
          <w:p w14:paraId="4A5C63A7">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1.06</w:t>
            </w:r>
          </w:p>
        </w:tc>
      </w:tr>
      <w:tr w14:paraId="29504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12FC5D4D">
            <w:pPr>
              <w:snapToGrid w:val="0"/>
              <w:spacing w:line="0" w:lineRule="atLeast"/>
              <w:jc w:val="center"/>
              <w:rPr>
                <w:rFonts w:hint="eastAsia" w:hAnsi="宋体" w:cs="宋体"/>
                <w:color w:val="000000"/>
                <w:spacing w:val="-10"/>
                <w:sz w:val="21"/>
                <w:szCs w:val="21"/>
              </w:rPr>
            </w:pPr>
          </w:p>
        </w:tc>
        <w:tc>
          <w:tcPr>
            <w:tcW w:w="686" w:type="pct"/>
            <w:vAlign w:val="center"/>
          </w:tcPr>
          <w:p w14:paraId="760E2AFC">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Mg</w:t>
            </w:r>
            <w:r>
              <w:rPr>
                <w:rFonts w:hint="eastAsia" w:hAnsi="宋体" w:cs="宋体"/>
                <w:color w:val="000000"/>
                <w:spacing w:val="-10"/>
                <w:sz w:val="21"/>
                <w:szCs w:val="21"/>
                <w:vertAlign w:val="superscript"/>
              </w:rPr>
              <w:t>2+</w:t>
            </w:r>
          </w:p>
        </w:tc>
        <w:tc>
          <w:tcPr>
            <w:tcW w:w="1030" w:type="pct"/>
            <w:vAlign w:val="center"/>
          </w:tcPr>
          <w:p w14:paraId="45FA49D5">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20.86</w:t>
            </w:r>
          </w:p>
        </w:tc>
        <w:tc>
          <w:tcPr>
            <w:tcW w:w="1168" w:type="pct"/>
            <w:vAlign w:val="center"/>
          </w:tcPr>
          <w:p w14:paraId="50B173D4">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11.83</w:t>
            </w:r>
          </w:p>
        </w:tc>
        <w:tc>
          <w:tcPr>
            <w:tcW w:w="1292" w:type="pct"/>
            <w:vAlign w:val="center"/>
          </w:tcPr>
          <w:p w14:paraId="3DADE4AA">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15.62</w:t>
            </w:r>
          </w:p>
        </w:tc>
      </w:tr>
      <w:tr w14:paraId="643CB9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452708F4">
            <w:pPr>
              <w:spacing w:line="0" w:lineRule="atLeast"/>
              <w:jc w:val="center"/>
              <w:rPr>
                <w:rFonts w:hint="eastAsia" w:hAnsi="宋体" w:cs="宋体"/>
                <w:color w:val="000000"/>
                <w:spacing w:val="-10"/>
                <w:sz w:val="21"/>
                <w:szCs w:val="21"/>
              </w:rPr>
            </w:pPr>
          </w:p>
        </w:tc>
        <w:tc>
          <w:tcPr>
            <w:tcW w:w="686" w:type="pct"/>
            <w:vAlign w:val="center"/>
          </w:tcPr>
          <w:p w14:paraId="506BBA2A">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2-</w:t>
            </w:r>
          </w:p>
        </w:tc>
        <w:tc>
          <w:tcPr>
            <w:tcW w:w="1030" w:type="pct"/>
            <w:vAlign w:val="center"/>
          </w:tcPr>
          <w:p w14:paraId="1246825A">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1168" w:type="pct"/>
            <w:vAlign w:val="center"/>
          </w:tcPr>
          <w:p w14:paraId="13C5D6EF">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1292" w:type="pct"/>
            <w:vAlign w:val="center"/>
          </w:tcPr>
          <w:p w14:paraId="73338052">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r>
      <w:tr w14:paraId="613D86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38BD1ED4">
            <w:pPr>
              <w:snapToGrid w:val="0"/>
              <w:spacing w:line="0" w:lineRule="atLeast"/>
              <w:jc w:val="center"/>
              <w:rPr>
                <w:rFonts w:hint="eastAsia" w:hAnsi="宋体" w:cs="宋体"/>
                <w:color w:val="000000"/>
                <w:spacing w:val="-10"/>
                <w:sz w:val="21"/>
                <w:szCs w:val="21"/>
              </w:rPr>
            </w:pPr>
          </w:p>
        </w:tc>
        <w:tc>
          <w:tcPr>
            <w:tcW w:w="686" w:type="pct"/>
            <w:vAlign w:val="center"/>
          </w:tcPr>
          <w:p w14:paraId="3533751B">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HCO</w:t>
            </w:r>
            <w:r>
              <w:rPr>
                <w:rFonts w:hint="eastAsia" w:hAnsi="宋体" w:cs="宋体"/>
                <w:color w:val="000000"/>
                <w:spacing w:val="-10"/>
                <w:sz w:val="21"/>
                <w:szCs w:val="21"/>
                <w:vertAlign w:val="subscript"/>
              </w:rPr>
              <w:t>3</w:t>
            </w:r>
            <w:r>
              <w:rPr>
                <w:rFonts w:hint="eastAsia" w:hAnsi="宋体" w:cs="宋体"/>
                <w:color w:val="000000"/>
                <w:spacing w:val="-10"/>
                <w:sz w:val="21"/>
                <w:szCs w:val="21"/>
                <w:vertAlign w:val="superscript"/>
              </w:rPr>
              <w:t>-</w:t>
            </w:r>
          </w:p>
        </w:tc>
        <w:tc>
          <w:tcPr>
            <w:tcW w:w="1030" w:type="pct"/>
            <w:vAlign w:val="center"/>
          </w:tcPr>
          <w:p w14:paraId="39715C86">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5.68</w:t>
            </w:r>
          </w:p>
        </w:tc>
        <w:tc>
          <w:tcPr>
            <w:tcW w:w="1168" w:type="pct"/>
            <w:vAlign w:val="center"/>
          </w:tcPr>
          <w:p w14:paraId="5E1FA131">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5.28</w:t>
            </w:r>
          </w:p>
        </w:tc>
        <w:tc>
          <w:tcPr>
            <w:tcW w:w="1292" w:type="pct"/>
            <w:vAlign w:val="center"/>
          </w:tcPr>
          <w:p w14:paraId="0AE91C50">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6.59</w:t>
            </w:r>
          </w:p>
        </w:tc>
      </w:tr>
      <w:tr w14:paraId="09BFE3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3FD72EE9">
            <w:pPr>
              <w:snapToGrid w:val="0"/>
              <w:spacing w:line="0" w:lineRule="atLeast"/>
              <w:jc w:val="center"/>
              <w:rPr>
                <w:rFonts w:hint="eastAsia" w:hAnsi="宋体" w:cs="宋体"/>
                <w:color w:val="000000"/>
                <w:spacing w:val="-10"/>
                <w:sz w:val="21"/>
                <w:szCs w:val="21"/>
              </w:rPr>
            </w:pPr>
          </w:p>
        </w:tc>
        <w:tc>
          <w:tcPr>
            <w:tcW w:w="686" w:type="pct"/>
            <w:vAlign w:val="center"/>
          </w:tcPr>
          <w:p w14:paraId="363D5B90">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Cl</w:t>
            </w:r>
            <w:r>
              <w:rPr>
                <w:rFonts w:hint="eastAsia" w:hAnsi="宋体" w:cs="宋体"/>
                <w:color w:val="000000"/>
                <w:spacing w:val="-10"/>
                <w:sz w:val="21"/>
                <w:szCs w:val="21"/>
                <w:vertAlign w:val="superscript"/>
              </w:rPr>
              <w:t>-</w:t>
            </w:r>
          </w:p>
        </w:tc>
        <w:tc>
          <w:tcPr>
            <w:tcW w:w="1030" w:type="pct"/>
            <w:vAlign w:val="center"/>
          </w:tcPr>
          <w:p w14:paraId="1BA4FDBC">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58.48</w:t>
            </w:r>
          </w:p>
        </w:tc>
        <w:tc>
          <w:tcPr>
            <w:tcW w:w="1168" w:type="pct"/>
            <w:vAlign w:val="center"/>
          </w:tcPr>
          <w:p w14:paraId="384739AE">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50.60</w:t>
            </w:r>
          </w:p>
        </w:tc>
        <w:tc>
          <w:tcPr>
            <w:tcW w:w="1292" w:type="pct"/>
            <w:vAlign w:val="center"/>
          </w:tcPr>
          <w:p w14:paraId="12790B7A">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64.93</w:t>
            </w:r>
          </w:p>
        </w:tc>
      </w:tr>
      <w:tr w14:paraId="106871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3" w:type="pct"/>
            <w:vMerge w:val="continue"/>
            <w:vAlign w:val="center"/>
          </w:tcPr>
          <w:p w14:paraId="15D0B47A">
            <w:pPr>
              <w:snapToGrid w:val="0"/>
              <w:spacing w:line="0" w:lineRule="atLeast"/>
              <w:jc w:val="center"/>
              <w:rPr>
                <w:rFonts w:hint="eastAsia" w:hAnsi="宋体" w:cs="宋体"/>
                <w:color w:val="000000"/>
                <w:spacing w:val="-10"/>
                <w:sz w:val="21"/>
                <w:szCs w:val="21"/>
              </w:rPr>
            </w:pPr>
          </w:p>
        </w:tc>
        <w:tc>
          <w:tcPr>
            <w:tcW w:w="686" w:type="pct"/>
            <w:vAlign w:val="center"/>
          </w:tcPr>
          <w:p w14:paraId="0249E0D5">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4</w:t>
            </w:r>
            <w:r>
              <w:rPr>
                <w:rFonts w:hint="eastAsia" w:hAnsi="宋体" w:cs="宋体"/>
                <w:color w:val="000000"/>
                <w:spacing w:val="-10"/>
                <w:sz w:val="21"/>
                <w:szCs w:val="21"/>
                <w:vertAlign w:val="superscript"/>
              </w:rPr>
              <w:t>2-</w:t>
            </w:r>
          </w:p>
        </w:tc>
        <w:tc>
          <w:tcPr>
            <w:tcW w:w="1030" w:type="pct"/>
            <w:vAlign w:val="center"/>
          </w:tcPr>
          <w:p w14:paraId="7535223F">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35.85</w:t>
            </w:r>
          </w:p>
        </w:tc>
        <w:tc>
          <w:tcPr>
            <w:tcW w:w="1168" w:type="pct"/>
            <w:vAlign w:val="center"/>
          </w:tcPr>
          <w:p w14:paraId="6B0DECC3">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44.11</w:t>
            </w:r>
          </w:p>
        </w:tc>
        <w:tc>
          <w:tcPr>
            <w:tcW w:w="1292" w:type="pct"/>
            <w:vAlign w:val="center"/>
          </w:tcPr>
          <w:p w14:paraId="4E64B5A7">
            <w:pPr>
              <w:snapToGri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28.48</w:t>
            </w:r>
          </w:p>
        </w:tc>
      </w:tr>
    </w:tbl>
    <w:p w14:paraId="66C7DDAB">
      <w:pPr>
        <w:spacing w:before="240"/>
        <w:ind w:firstLine="526" w:firstLineChars="200"/>
        <w:rPr>
          <w:rFonts w:hint="eastAsia" w:hAnsi="宋体" w:cs="宋体"/>
          <w:color w:val="000000"/>
        </w:rPr>
      </w:pPr>
      <w:r>
        <w:rPr>
          <w:rFonts w:hint="eastAsia"/>
          <w:color w:val="000000"/>
        </w:rPr>
        <w:t>根据地下水离子检测结果，评价区潜水地下水中阴离子以Cl</w:t>
      </w:r>
      <w:r>
        <w:rPr>
          <w:rFonts w:hint="eastAsia"/>
          <w:color w:val="000000"/>
          <w:vertAlign w:val="superscript"/>
        </w:rPr>
        <w:t>-</w:t>
      </w:r>
      <w:r>
        <w:rPr>
          <w:rFonts w:hint="eastAsia"/>
          <w:color w:val="000000"/>
        </w:rPr>
        <w:t>、SO</w:t>
      </w:r>
      <w:r>
        <w:rPr>
          <w:rFonts w:hint="eastAsia"/>
          <w:color w:val="000000"/>
          <w:vertAlign w:val="subscript"/>
        </w:rPr>
        <w:t>4</w:t>
      </w:r>
      <w:r>
        <w:rPr>
          <w:rFonts w:hint="eastAsia"/>
          <w:color w:val="000000"/>
          <w:vertAlign w:val="superscript"/>
        </w:rPr>
        <w:t>2-</w:t>
      </w:r>
      <w:r>
        <w:rPr>
          <w:rFonts w:hint="eastAsia"/>
          <w:color w:val="000000"/>
        </w:rPr>
        <w:t>为主，阳离子以Na</w:t>
      </w:r>
      <w:r>
        <w:rPr>
          <w:rFonts w:hint="eastAsia"/>
          <w:color w:val="000000"/>
          <w:vertAlign w:val="superscript"/>
        </w:rPr>
        <w:t>+</w:t>
      </w:r>
      <w:r>
        <w:rPr>
          <w:rFonts w:hint="eastAsia"/>
          <w:color w:val="000000"/>
        </w:rPr>
        <w:t>为主，水化学类型主要以Cl·SO</w:t>
      </w:r>
      <w:r>
        <w:rPr>
          <w:rFonts w:hint="eastAsia"/>
          <w:color w:val="000000"/>
          <w:vertAlign w:val="subscript"/>
        </w:rPr>
        <w:t>4</w:t>
      </w:r>
      <w:r>
        <w:rPr>
          <w:rFonts w:hint="eastAsia"/>
          <w:color w:val="000000"/>
        </w:rPr>
        <w:t>-Na型为主</w:t>
      </w:r>
      <w:r>
        <w:rPr>
          <w:rFonts w:hint="eastAsia" w:hAnsi="宋体" w:cs="宋体"/>
          <w:color w:val="000000"/>
          <w:lang w:bidi="ar"/>
        </w:rPr>
        <w:t>。</w:t>
      </w:r>
    </w:p>
    <w:p w14:paraId="54890494">
      <w:pPr>
        <w:spacing w:line="480" w:lineRule="exact"/>
        <w:ind w:firstLine="526" w:firstLineChars="200"/>
        <w:rPr>
          <w:rFonts w:hAnsi="宋体"/>
          <w:color w:val="000000"/>
          <w:szCs w:val="24"/>
        </w:rPr>
      </w:pPr>
      <w:r>
        <w:rPr>
          <w:rFonts w:hint="eastAsia" w:hAnsi="宋体"/>
          <w:color w:val="000000"/>
          <w:szCs w:val="24"/>
        </w:rPr>
        <w:t>（4）地下水质量现状监测结果统计分析</w:t>
      </w:r>
    </w:p>
    <w:p w14:paraId="2BFF35F0">
      <w:pPr>
        <w:ind w:firstLine="520" w:firstLineChars="198"/>
        <w:rPr>
          <w:rFonts w:hint="eastAsia" w:ascii="黑体" w:hAnsi="黑体" w:eastAsia="黑体" w:cs="宋体"/>
          <w:color w:val="000000"/>
          <w:szCs w:val="24"/>
        </w:rPr>
      </w:pPr>
      <w:r>
        <w:rPr>
          <w:rFonts w:hint="eastAsia" w:ascii="黑体" w:hAnsi="黑体" w:eastAsia="黑体" w:cs="宋体"/>
          <w:color w:val="000000"/>
          <w:szCs w:val="24"/>
        </w:rPr>
        <w:t xml:space="preserve">表4.3-5    </w:t>
      </w:r>
      <w:r>
        <w:rPr>
          <w:rFonts w:hint="eastAsia" w:ascii="黑体" w:hAnsi="黑体" w:eastAsia="黑体" w:cs="宋体"/>
          <w:color w:val="000000"/>
          <w:szCs w:val="24"/>
          <w:lang w:val="zh-CN"/>
        </w:rPr>
        <w:t xml:space="preserve"> </w:t>
      </w:r>
      <w:r>
        <w:rPr>
          <w:rFonts w:hint="eastAsia" w:ascii="黑体" w:hAnsi="黑体" w:eastAsia="黑体"/>
          <w:color w:val="000000"/>
          <w:szCs w:val="24"/>
        </w:rPr>
        <w:t>潜水监测井</w:t>
      </w:r>
      <w:r>
        <w:rPr>
          <w:rFonts w:hint="eastAsia" w:ascii="黑体" w:hAnsi="黑体" w:eastAsia="黑体" w:cs="黑体"/>
          <w:color w:val="000000"/>
          <w:szCs w:val="24"/>
          <w:lang w:val="zh-CN"/>
        </w:rPr>
        <w:t>监测统计分析结果一览表</w:t>
      </w:r>
      <w:r>
        <w:rPr>
          <w:rFonts w:hint="eastAsia" w:ascii="黑体" w:hAnsi="黑体" w:eastAsia="黑体" w:cs="宋体"/>
          <w:color w:val="000000"/>
          <w:szCs w:val="24"/>
          <w:lang w:val="zh-CN"/>
        </w:rPr>
        <w:t xml:space="preserve"> </w:t>
      </w:r>
      <w:r>
        <w:rPr>
          <w:rFonts w:hint="eastAsia" w:ascii="黑体" w:hAnsi="黑体" w:eastAsia="黑体" w:cs="宋体"/>
          <w:color w:val="000000"/>
          <w:szCs w:val="24"/>
        </w:rPr>
        <w:t xml:space="preserve">  mg/L  pH（无量纲）</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542"/>
        <w:gridCol w:w="1177"/>
        <w:gridCol w:w="1284"/>
        <w:gridCol w:w="1287"/>
        <w:gridCol w:w="1217"/>
        <w:gridCol w:w="1278"/>
        <w:gridCol w:w="1230"/>
      </w:tblGrid>
      <w:tr w14:paraId="03E378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1FD1D7F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653" w:type="pct"/>
            <w:vAlign w:val="center"/>
          </w:tcPr>
          <w:p w14:paraId="77E11C6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最大值</w:t>
            </w:r>
          </w:p>
        </w:tc>
        <w:tc>
          <w:tcPr>
            <w:tcW w:w="712" w:type="pct"/>
            <w:vAlign w:val="center"/>
          </w:tcPr>
          <w:p w14:paraId="5D503C4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最小值</w:t>
            </w:r>
          </w:p>
        </w:tc>
        <w:tc>
          <w:tcPr>
            <w:tcW w:w="714" w:type="pct"/>
            <w:vAlign w:val="center"/>
          </w:tcPr>
          <w:p w14:paraId="2DD642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均值</w:t>
            </w:r>
          </w:p>
        </w:tc>
        <w:tc>
          <w:tcPr>
            <w:tcW w:w="675" w:type="pct"/>
            <w:vAlign w:val="center"/>
          </w:tcPr>
          <w:p w14:paraId="43B27FC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标准差</w:t>
            </w:r>
          </w:p>
        </w:tc>
        <w:tc>
          <w:tcPr>
            <w:tcW w:w="709" w:type="pct"/>
            <w:vAlign w:val="center"/>
          </w:tcPr>
          <w:p w14:paraId="34C9711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检出率(%)</w:t>
            </w:r>
          </w:p>
        </w:tc>
        <w:tc>
          <w:tcPr>
            <w:tcW w:w="682" w:type="pct"/>
            <w:vAlign w:val="center"/>
          </w:tcPr>
          <w:p w14:paraId="42AD7B3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超标率(%)</w:t>
            </w:r>
          </w:p>
        </w:tc>
      </w:tr>
      <w:tr w14:paraId="2C74D8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2F31AE78">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pH</w:t>
            </w:r>
          </w:p>
        </w:tc>
        <w:tc>
          <w:tcPr>
            <w:tcW w:w="653" w:type="pct"/>
            <w:vAlign w:val="center"/>
          </w:tcPr>
          <w:p w14:paraId="7D96C40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7.6</w:t>
            </w:r>
          </w:p>
        </w:tc>
        <w:tc>
          <w:tcPr>
            <w:tcW w:w="712" w:type="pct"/>
            <w:vAlign w:val="center"/>
          </w:tcPr>
          <w:p w14:paraId="1C3E9D0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7.4</w:t>
            </w:r>
          </w:p>
        </w:tc>
        <w:tc>
          <w:tcPr>
            <w:tcW w:w="714" w:type="pct"/>
            <w:vAlign w:val="center"/>
          </w:tcPr>
          <w:p w14:paraId="02F6ED6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7.500 </w:t>
            </w:r>
          </w:p>
        </w:tc>
        <w:tc>
          <w:tcPr>
            <w:tcW w:w="675" w:type="pct"/>
            <w:vAlign w:val="center"/>
          </w:tcPr>
          <w:p w14:paraId="33B16E6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0.082 </w:t>
            </w:r>
          </w:p>
        </w:tc>
        <w:tc>
          <w:tcPr>
            <w:tcW w:w="709" w:type="pct"/>
            <w:vAlign w:val="center"/>
          </w:tcPr>
          <w:p w14:paraId="25DCFE3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2B391436">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0E183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3AA4DBC9">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总硬度</w:t>
            </w:r>
          </w:p>
        </w:tc>
        <w:tc>
          <w:tcPr>
            <w:tcW w:w="653" w:type="pct"/>
            <w:vAlign w:val="center"/>
          </w:tcPr>
          <w:p w14:paraId="32ED174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1780</w:t>
            </w:r>
          </w:p>
        </w:tc>
        <w:tc>
          <w:tcPr>
            <w:tcW w:w="712" w:type="pct"/>
            <w:vAlign w:val="center"/>
          </w:tcPr>
          <w:p w14:paraId="45674D2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612</w:t>
            </w:r>
          </w:p>
        </w:tc>
        <w:tc>
          <w:tcPr>
            <w:tcW w:w="714" w:type="pct"/>
            <w:vAlign w:val="center"/>
          </w:tcPr>
          <w:p w14:paraId="370191D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1190.667 </w:t>
            </w:r>
          </w:p>
        </w:tc>
        <w:tc>
          <w:tcPr>
            <w:tcW w:w="675" w:type="pct"/>
            <w:vAlign w:val="center"/>
          </w:tcPr>
          <w:p w14:paraId="289DB7F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476.894 </w:t>
            </w:r>
          </w:p>
        </w:tc>
        <w:tc>
          <w:tcPr>
            <w:tcW w:w="709" w:type="pct"/>
            <w:vAlign w:val="center"/>
          </w:tcPr>
          <w:p w14:paraId="4416F5E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5C2B3B9A">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100</w:t>
            </w:r>
          </w:p>
        </w:tc>
      </w:tr>
      <w:tr w14:paraId="4B0584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49D74091">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溶解性总固体</w:t>
            </w:r>
          </w:p>
        </w:tc>
        <w:tc>
          <w:tcPr>
            <w:tcW w:w="653" w:type="pct"/>
            <w:vAlign w:val="center"/>
          </w:tcPr>
          <w:p w14:paraId="166E996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5350</w:t>
            </w:r>
          </w:p>
        </w:tc>
        <w:tc>
          <w:tcPr>
            <w:tcW w:w="712" w:type="pct"/>
            <w:vAlign w:val="center"/>
          </w:tcPr>
          <w:p w14:paraId="559108B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4820</w:t>
            </w:r>
          </w:p>
        </w:tc>
        <w:tc>
          <w:tcPr>
            <w:tcW w:w="714" w:type="pct"/>
            <w:vAlign w:val="center"/>
          </w:tcPr>
          <w:p w14:paraId="781A48C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5123.333 </w:t>
            </w:r>
          </w:p>
        </w:tc>
        <w:tc>
          <w:tcPr>
            <w:tcW w:w="675" w:type="pct"/>
            <w:vAlign w:val="center"/>
          </w:tcPr>
          <w:p w14:paraId="2DBBD8C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223.060 </w:t>
            </w:r>
          </w:p>
        </w:tc>
        <w:tc>
          <w:tcPr>
            <w:tcW w:w="709" w:type="pct"/>
            <w:vAlign w:val="center"/>
          </w:tcPr>
          <w:p w14:paraId="1A4F503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70E7CE01">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100</w:t>
            </w:r>
          </w:p>
        </w:tc>
      </w:tr>
      <w:tr w14:paraId="74BC7B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55C45B6E">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硫酸盐</w:t>
            </w:r>
          </w:p>
        </w:tc>
        <w:tc>
          <w:tcPr>
            <w:tcW w:w="653" w:type="pct"/>
            <w:vAlign w:val="center"/>
          </w:tcPr>
          <w:p w14:paraId="1EBE94A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1780</w:t>
            </w:r>
          </w:p>
        </w:tc>
        <w:tc>
          <w:tcPr>
            <w:tcW w:w="712" w:type="pct"/>
            <w:vAlign w:val="center"/>
          </w:tcPr>
          <w:p w14:paraId="080A867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1020</w:t>
            </w:r>
          </w:p>
        </w:tc>
        <w:tc>
          <w:tcPr>
            <w:tcW w:w="714" w:type="pct"/>
            <w:vAlign w:val="center"/>
          </w:tcPr>
          <w:p w14:paraId="6097354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1450.000 </w:t>
            </w:r>
          </w:p>
        </w:tc>
        <w:tc>
          <w:tcPr>
            <w:tcW w:w="675" w:type="pct"/>
            <w:vAlign w:val="center"/>
          </w:tcPr>
          <w:p w14:paraId="3826EC7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318.224 </w:t>
            </w:r>
          </w:p>
        </w:tc>
        <w:tc>
          <w:tcPr>
            <w:tcW w:w="709" w:type="pct"/>
            <w:vAlign w:val="center"/>
          </w:tcPr>
          <w:p w14:paraId="18F5F4C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260DCC08">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100</w:t>
            </w:r>
          </w:p>
        </w:tc>
      </w:tr>
      <w:tr w14:paraId="16DE5B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75E35B24">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氯化物</w:t>
            </w:r>
          </w:p>
        </w:tc>
        <w:tc>
          <w:tcPr>
            <w:tcW w:w="653" w:type="pct"/>
            <w:vAlign w:val="center"/>
          </w:tcPr>
          <w:p w14:paraId="02B0F80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1870</w:t>
            </w:r>
          </w:p>
        </w:tc>
        <w:tc>
          <w:tcPr>
            <w:tcW w:w="712" w:type="pct"/>
            <w:vAlign w:val="center"/>
          </w:tcPr>
          <w:p w14:paraId="605F668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1510</w:t>
            </w:r>
          </w:p>
        </w:tc>
        <w:tc>
          <w:tcPr>
            <w:tcW w:w="714" w:type="pct"/>
            <w:vAlign w:val="center"/>
          </w:tcPr>
          <w:p w14:paraId="1AC576A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1700.000 </w:t>
            </w:r>
          </w:p>
        </w:tc>
        <w:tc>
          <w:tcPr>
            <w:tcW w:w="675" w:type="pct"/>
            <w:vAlign w:val="center"/>
          </w:tcPr>
          <w:p w14:paraId="15D985F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147.648 </w:t>
            </w:r>
          </w:p>
        </w:tc>
        <w:tc>
          <w:tcPr>
            <w:tcW w:w="709" w:type="pct"/>
            <w:vAlign w:val="center"/>
          </w:tcPr>
          <w:p w14:paraId="448C871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5D106E15">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100</w:t>
            </w:r>
          </w:p>
        </w:tc>
      </w:tr>
      <w:tr w14:paraId="7A140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0F44A339">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铁</w:t>
            </w:r>
          </w:p>
        </w:tc>
        <w:tc>
          <w:tcPr>
            <w:tcW w:w="653" w:type="pct"/>
            <w:vAlign w:val="center"/>
          </w:tcPr>
          <w:p w14:paraId="7C6447A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051F9DE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520EE82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6571F7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032AF07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0D3BF26D">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3F394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233B8EF2">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锰</w:t>
            </w:r>
          </w:p>
        </w:tc>
        <w:tc>
          <w:tcPr>
            <w:tcW w:w="653" w:type="pct"/>
            <w:vAlign w:val="center"/>
          </w:tcPr>
          <w:p w14:paraId="6F68DAF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3C8A78A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434F12A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654C12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14D473F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11165160">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7753D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2C4B7543">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铜</w:t>
            </w:r>
          </w:p>
        </w:tc>
        <w:tc>
          <w:tcPr>
            <w:tcW w:w="653" w:type="pct"/>
            <w:vAlign w:val="center"/>
          </w:tcPr>
          <w:p w14:paraId="2020542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69E4FF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7C441C6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0C949A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3D16C10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4EAC484B">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3C0046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34804E54">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锌</w:t>
            </w:r>
          </w:p>
        </w:tc>
        <w:tc>
          <w:tcPr>
            <w:tcW w:w="653" w:type="pct"/>
            <w:vAlign w:val="center"/>
          </w:tcPr>
          <w:p w14:paraId="0BD9869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2C1C361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510C503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0EA880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3820522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05D1E86C">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3ADDE1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11340281">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铝</w:t>
            </w:r>
          </w:p>
        </w:tc>
        <w:tc>
          <w:tcPr>
            <w:tcW w:w="653" w:type="pct"/>
            <w:vAlign w:val="center"/>
          </w:tcPr>
          <w:p w14:paraId="5EC5B3B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7FCE23D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69232F8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642A286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2B21864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411AF3D9">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01307C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62CBF4F7">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挥发性酚类</w:t>
            </w:r>
          </w:p>
        </w:tc>
        <w:tc>
          <w:tcPr>
            <w:tcW w:w="653" w:type="pct"/>
            <w:vAlign w:val="center"/>
          </w:tcPr>
          <w:p w14:paraId="0FAB651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3EF0031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37D3BD1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520608B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72E0D4D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6AFC15AA">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263F6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23AB6001">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阴离子表面活性剂</w:t>
            </w:r>
          </w:p>
        </w:tc>
        <w:tc>
          <w:tcPr>
            <w:tcW w:w="653" w:type="pct"/>
            <w:vAlign w:val="center"/>
          </w:tcPr>
          <w:p w14:paraId="31B8AD7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164366F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26E7097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6F4587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4D5490B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24747FCC">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6E79DB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35A9893D">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耗氧量</w:t>
            </w:r>
          </w:p>
        </w:tc>
        <w:tc>
          <w:tcPr>
            <w:tcW w:w="653" w:type="pct"/>
            <w:vAlign w:val="center"/>
          </w:tcPr>
          <w:p w14:paraId="2A135EB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0.57</w:t>
            </w:r>
          </w:p>
        </w:tc>
        <w:tc>
          <w:tcPr>
            <w:tcW w:w="712" w:type="pct"/>
            <w:vAlign w:val="center"/>
          </w:tcPr>
          <w:p w14:paraId="18F157D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0.5</w:t>
            </w:r>
          </w:p>
        </w:tc>
        <w:tc>
          <w:tcPr>
            <w:tcW w:w="714" w:type="pct"/>
            <w:vAlign w:val="center"/>
          </w:tcPr>
          <w:p w14:paraId="671BAE3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0.530 </w:t>
            </w:r>
          </w:p>
        </w:tc>
        <w:tc>
          <w:tcPr>
            <w:tcW w:w="675" w:type="pct"/>
            <w:vAlign w:val="center"/>
          </w:tcPr>
          <w:p w14:paraId="0CF67ED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0.029 </w:t>
            </w:r>
          </w:p>
        </w:tc>
        <w:tc>
          <w:tcPr>
            <w:tcW w:w="709" w:type="pct"/>
            <w:vAlign w:val="center"/>
          </w:tcPr>
          <w:p w14:paraId="54455DE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3652BCC3">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0B8E6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6DAD52C6">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氨氮</w:t>
            </w:r>
          </w:p>
        </w:tc>
        <w:tc>
          <w:tcPr>
            <w:tcW w:w="653" w:type="pct"/>
            <w:vAlign w:val="center"/>
          </w:tcPr>
          <w:p w14:paraId="114EC36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0.222</w:t>
            </w:r>
          </w:p>
        </w:tc>
        <w:tc>
          <w:tcPr>
            <w:tcW w:w="712" w:type="pct"/>
            <w:vAlign w:val="center"/>
          </w:tcPr>
          <w:p w14:paraId="2B76552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0.206</w:t>
            </w:r>
          </w:p>
        </w:tc>
        <w:tc>
          <w:tcPr>
            <w:tcW w:w="714" w:type="pct"/>
            <w:vAlign w:val="center"/>
          </w:tcPr>
          <w:p w14:paraId="538AA89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0.214 </w:t>
            </w:r>
          </w:p>
        </w:tc>
        <w:tc>
          <w:tcPr>
            <w:tcW w:w="675" w:type="pct"/>
            <w:vAlign w:val="center"/>
          </w:tcPr>
          <w:p w14:paraId="1C0B9D5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0.007 </w:t>
            </w:r>
          </w:p>
        </w:tc>
        <w:tc>
          <w:tcPr>
            <w:tcW w:w="709" w:type="pct"/>
            <w:vAlign w:val="center"/>
          </w:tcPr>
          <w:p w14:paraId="683941E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5C4BC86E">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12943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38F9954D">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硫化物</w:t>
            </w:r>
          </w:p>
        </w:tc>
        <w:tc>
          <w:tcPr>
            <w:tcW w:w="653" w:type="pct"/>
            <w:vAlign w:val="center"/>
          </w:tcPr>
          <w:p w14:paraId="069071C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5850E2A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161322D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1E05027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53684BA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79062F95">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240C73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008750C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钠</w:t>
            </w:r>
          </w:p>
        </w:tc>
        <w:tc>
          <w:tcPr>
            <w:tcW w:w="653" w:type="pct"/>
            <w:vAlign w:val="center"/>
          </w:tcPr>
          <w:p w14:paraId="031BB71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1420</w:t>
            </w:r>
          </w:p>
        </w:tc>
        <w:tc>
          <w:tcPr>
            <w:tcW w:w="712" w:type="pct"/>
            <w:vAlign w:val="center"/>
          </w:tcPr>
          <w:p w14:paraId="6E72F87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1130</w:t>
            </w:r>
          </w:p>
        </w:tc>
        <w:tc>
          <w:tcPr>
            <w:tcW w:w="714" w:type="pct"/>
            <w:vAlign w:val="center"/>
          </w:tcPr>
          <w:p w14:paraId="5340B5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1250.000 </w:t>
            </w:r>
          </w:p>
        </w:tc>
        <w:tc>
          <w:tcPr>
            <w:tcW w:w="675" w:type="pct"/>
            <w:vAlign w:val="center"/>
          </w:tcPr>
          <w:p w14:paraId="023E311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123.558 </w:t>
            </w:r>
          </w:p>
        </w:tc>
        <w:tc>
          <w:tcPr>
            <w:tcW w:w="709" w:type="pct"/>
            <w:vAlign w:val="center"/>
          </w:tcPr>
          <w:p w14:paraId="4C85E21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4E0E611A">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100</w:t>
            </w:r>
          </w:p>
        </w:tc>
      </w:tr>
      <w:tr w14:paraId="5973B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6E322F90">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总大肠菌群</w:t>
            </w:r>
          </w:p>
        </w:tc>
        <w:tc>
          <w:tcPr>
            <w:tcW w:w="653" w:type="pct"/>
            <w:vAlign w:val="center"/>
          </w:tcPr>
          <w:p w14:paraId="07F386F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44C6F02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212C874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50B0EC9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2AC273E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4FFBB11C">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508647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708EBC93">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菌落总数</w:t>
            </w:r>
          </w:p>
        </w:tc>
        <w:tc>
          <w:tcPr>
            <w:tcW w:w="653" w:type="pct"/>
            <w:vAlign w:val="center"/>
          </w:tcPr>
          <w:p w14:paraId="5AA1459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64</w:t>
            </w:r>
          </w:p>
        </w:tc>
        <w:tc>
          <w:tcPr>
            <w:tcW w:w="712" w:type="pct"/>
            <w:vAlign w:val="center"/>
          </w:tcPr>
          <w:p w14:paraId="4737847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62</w:t>
            </w:r>
          </w:p>
        </w:tc>
        <w:tc>
          <w:tcPr>
            <w:tcW w:w="714" w:type="pct"/>
            <w:vAlign w:val="center"/>
          </w:tcPr>
          <w:p w14:paraId="77E2708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62.667 </w:t>
            </w:r>
          </w:p>
        </w:tc>
        <w:tc>
          <w:tcPr>
            <w:tcW w:w="675" w:type="pct"/>
            <w:vAlign w:val="center"/>
          </w:tcPr>
          <w:p w14:paraId="69FF859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0.943 </w:t>
            </w:r>
          </w:p>
        </w:tc>
        <w:tc>
          <w:tcPr>
            <w:tcW w:w="709" w:type="pct"/>
            <w:vAlign w:val="center"/>
          </w:tcPr>
          <w:p w14:paraId="6517C91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4BEE91BA">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11059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1AD2CE5D">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亚硝酸盐氮</w:t>
            </w:r>
          </w:p>
        </w:tc>
        <w:tc>
          <w:tcPr>
            <w:tcW w:w="653" w:type="pct"/>
            <w:vAlign w:val="center"/>
          </w:tcPr>
          <w:p w14:paraId="3C0909D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11DE1A2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624CD8C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577CE49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6038869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144B3F37">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3189A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1EF3F2EC">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硝酸盐氮</w:t>
            </w:r>
          </w:p>
        </w:tc>
        <w:tc>
          <w:tcPr>
            <w:tcW w:w="653" w:type="pct"/>
            <w:vAlign w:val="center"/>
          </w:tcPr>
          <w:p w14:paraId="2F82778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712" w:type="pct"/>
            <w:vAlign w:val="center"/>
          </w:tcPr>
          <w:p w14:paraId="09FD86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0.15</w:t>
            </w:r>
          </w:p>
        </w:tc>
        <w:tc>
          <w:tcPr>
            <w:tcW w:w="714" w:type="pct"/>
            <w:vAlign w:val="center"/>
          </w:tcPr>
          <w:p w14:paraId="19F8A55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3.100 </w:t>
            </w:r>
          </w:p>
        </w:tc>
        <w:tc>
          <w:tcPr>
            <w:tcW w:w="675" w:type="pct"/>
            <w:vAlign w:val="center"/>
          </w:tcPr>
          <w:p w14:paraId="44604FF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2.115 </w:t>
            </w:r>
          </w:p>
        </w:tc>
        <w:tc>
          <w:tcPr>
            <w:tcW w:w="709" w:type="pct"/>
            <w:vAlign w:val="center"/>
          </w:tcPr>
          <w:p w14:paraId="69C43D9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2EA07302">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4AFBDF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42267E23">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氰化物</w:t>
            </w:r>
          </w:p>
        </w:tc>
        <w:tc>
          <w:tcPr>
            <w:tcW w:w="653" w:type="pct"/>
            <w:vAlign w:val="center"/>
          </w:tcPr>
          <w:p w14:paraId="6FCD5DB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074AA63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028E0BC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C5D304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593C2D3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32515B6A">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1307D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4EFBE0AC">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氟化物</w:t>
            </w:r>
          </w:p>
        </w:tc>
        <w:tc>
          <w:tcPr>
            <w:tcW w:w="653" w:type="pct"/>
            <w:vAlign w:val="center"/>
          </w:tcPr>
          <w:p w14:paraId="2D2F25C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2.05</w:t>
            </w:r>
          </w:p>
        </w:tc>
        <w:tc>
          <w:tcPr>
            <w:tcW w:w="712" w:type="pct"/>
            <w:vAlign w:val="center"/>
          </w:tcPr>
          <w:p w14:paraId="67DA788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w:t>
            </w:r>
          </w:p>
        </w:tc>
        <w:tc>
          <w:tcPr>
            <w:tcW w:w="714" w:type="pct"/>
            <w:vAlign w:val="center"/>
          </w:tcPr>
          <w:p w14:paraId="6D4604F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1.580 </w:t>
            </w:r>
          </w:p>
        </w:tc>
        <w:tc>
          <w:tcPr>
            <w:tcW w:w="675" w:type="pct"/>
            <w:vAlign w:val="center"/>
          </w:tcPr>
          <w:p w14:paraId="7BF7E92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0.353 </w:t>
            </w:r>
          </w:p>
        </w:tc>
        <w:tc>
          <w:tcPr>
            <w:tcW w:w="709" w:type="pct"/>
            <w:vAlign w:val="center"/>
          </w:tcPr>
          <w:p w14:paraId="1B7A3D1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7691977E">
            <w:pPr>
              <w:widowControl/>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100</w:t>
            </w:r>
          </w:p>
        </w:tc>
      </w:tr>
      <w:tr w14:paraId="23615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42DD679A">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碘化物</w:t>
            </w:r>
          </w:p>
        </w:tc>
        <w:tc>
          <w:tcPr>
            <w:tcW w:w="653" w:type="pct"/>
            <w:vAlign w:val="center"/>
          </w:tcPr>
          <w:p w14:paraId="53915B4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1AF44E5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30D36D2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19E063B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67CC185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012C87D2">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4496A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685E6E70">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汞</w:t>
            </w:r>
          </w:p>
        </w:tc>
        <w:tc>
          <w:tcPr>
            <w:tcW w:w="653" w:type="pct"/>
            <w:vAlign w:val="center"/>
          </w:tcPr>
          <w:p w14:paraId="675E363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72569DE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4189EA7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504727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7F318C2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5235C800">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722D40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508FEDD3">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砷</w:t>
            </w:r>
          </w:p>
        </w:tc>
        <w:tc>
          <w:tcPr>
            <w:tcW w:w="653" w:type="pct"/>
            <w:vAlign w:val="center"/>
          </w:tcPr>
          <w:p w14:paraId="0CD0497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0.001</w:t>
            </w:r>
          </w:p>
        </w:tc>
        <w:tc>
          <w:tcPr>
            <w:tcW w:w="712" w:type="pct"/>
            <w:vAlign w:val="center"/>
          </w:tcPr>
          <w:p w14:paraId="7C269B7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0.0009</w:t>
            </w:r>
          </w:p>
        </w:tc>
        <w:tc>
          <w:tcPr>
            <w:tcW w:w="714" w:type="pct"/>
            <w:vAlign w:val="center"/>
          </w:tcPr>
          <w:p w14:paraId="32074370">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0.001 </w:t>
            </w:r>
          </w:p>
        </w:tc>
        <w:tc>
          <w:tcPr>
            <w:tcW w:w="675" w:type="pct"/>
            <w:vAlign w:val="center"/>
          </w:tcPr>
          <w:p w14:paraId="0BCC500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0.000047 </w:t>
            </w:r>
          </w:p>
        </w:tc>
        <w:tc>
          <w:tcPr>
            <w:tcW w:w="709" w:type="pct"/>
            <w:vAlign w:val="center"/>
          </w:tcPr>
          <w:p w14:paraId="1F59EAC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76D33528">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75E2DE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3C8438AB">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硒</w:t>
            </w:r>
          </w:p>
        </w:tc>
        <w:tc>
          <w:tcPr>
            <w:tcW w:w="653" w:type="pct"/>
            <w:vAlign w:val="center"/>
          </w:tcPr>
          <w:p w14:paraId="3FB461A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0.0014</w:t>
            </w:r>
          </w:p>
        </w:tc>
        <w:tc>
          <w:tcPr>
            <w:tcW w:w="712" w:type="pct"/>
            <w:vAlign w:val="center"/>
          </w:tcPr>
          <w:p w14:paraId="19C652C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0.0006</w:t>
            </w:r>
          </w:p>
        </w:tc>
        <w:tc>
          <w:tcPr>
            <w:tcW w:w="714" w:type="pct"/>
            <w:vAlign w:val="center"/>
          </w:tcPr>
          <w:p w14:paraId="5E841D5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0.001 </w:t>
            </w:r>
          </w:p>
        </w:tc>
        <w:tc>
          <w:tcPr>
            <w:tcW w:w="675" w:type="pct"/>
            <w:vAlign w:val="center"/>
          </w:tcPr>
          <w:p w14:paraId="17197AB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0.000330 </w:t>
            </w:r>
          </w:p>
        </w:tc>
        <w:tc>
          <w:tcPr>
            <w:tcW w:w="709" w:type="pct"/>
            <w:vAlign w:val="center"/>
          </w:tcPr>
          <w:p w14:paraId="24FDFBB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w:t>
            </w:r>
          </w:p>
        </w:tc>
        <w:tc>
          <w:tcPr>
            <w:tcW w:w="682" w:type="pct"/>
            <w:vAlign w:val="center"/>
          </w:tcPr>
          <w:p w14:paraId="62A8D39B">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5B9517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55" w:type="pct"/>
            <w:vAlign w:val="center"/>
          </w:tcPr>
          <w:p w14:paraId="59C24D76">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镉</w:t>
            </w:r>
          </w:p>
        </w:tc>
        <w:tc>
          <w:tcPr>
            <w:tcW w:w="653" w:type="pct"/>
            <w:vAlign w:val="center"/>
          </w:tcPr>
          <w:p w14:paraId="148C414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6BF40E3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2B14E0A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13F7A00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41B7A99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6E5646B4">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0D137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855" w:type="pct"/>
            <w:vAlign w:val="center"/>
          </w:tcPr>
          <w:p w14:paraId="3C2DCC02">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铬(六价)</w:t>
            </w:r>
          </w:p>
        </w:tc>
        <w:tc>
          <w:tcPr>
            <w:tcW w:w="653" w:type="pct"/>
            <w:vAlign w:val="center"/>
          </w:tcPr>
          <w:p w14:paraId="1108B8B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58ADFBB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06FDD5F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03B27B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4861C36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2FA1DD49">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bl>
    <w:p w14:paraId="34C9F27B">
      <w:pPr>
        <w:ind w:firstLine="520" w:firstLineChars="198"/>
        <w:rPr>
          <w:rFonts w:hint="eastAsia" w:ascii="黑体" w:hAnsi="黑体" w:eastAsia="黑体" w:cs="宋体"/>
          <w:color w:val="000000"/>
          <w:szCs w:val="24"/>
        </w:rPr>
      </w:pPr>
      <w:r>
        <w:br w:type="page"/>
      </w:r>
      <w:r>
        <w:rPr>
          <w:rFonts w:hint="eastAsia" w:ascii="黑体" w:hAnsi="黑体" w:eastAsia="黑体"/>
        </w:rPr>
        <w:t>续</w:t>
      </w:r>
      <w:r>
        <w:rPr>
          <w:rFonts w:hint="eastAsia" w:ascii="黑体" w:hAnsi="黑体" w:eastAsia="黑体" w:cs="宋体"/>
          <w:color w:val="000000"/>
          <w:szCs w:val="24"/>
        </w:rPr>
        <w:t xml:space="preserve">表4.3-5  </w:t>
      </w:r>
      <w:r>
        <w:rPr>
          <w:rFonts w:hint="eastAsia" w:ascii="黑体" w:hAnsi="黑体" w:eastAsia="黑体" w:cs="宋体"/>
          <w:color w:val="000000"/>
          <w:szCs w:val="24"/>
          <w:lang w:val="zh-CN"/>
        </w:rPr>
        <w:t xml:space="preserve"> </w:t>
      </w:r>
      <w:r>
        <w:rPr>
          <w:rFonts w:hint="eastAsia" w:ascii="黑体" w:hAnsi="黑体" w:eastAsia="黑体"/>
          <w:color w:val="000000"/>
          <w:szCs w:val="24"/>
        </w:rPr>
        <w:t>潜水监测井</w:t>
      </w:r>
      <w:r>
        <w:rPr>
          <w:rFonts w:hint="eastAsia" w:ascii="黑体" w:hAnsi="黑体" w:eastAsia="黑体" w:cs="黑体"/>
          <w:color w:val="000000"/>
          <w:szCs w:val="24"/>
          <w:lang w:val="zh-CN"/>
        </w:rPr>
        <w:t>监测统计分析结果一览表</w:t>
      </w:r>
      <w:r>
        <w:rPr>
          <w:rFonts w:hint="eastAsia" w:ascii="黑体" w:hAnsi="黑体" w:eastAsia="黑体" w:cs="宋体"/>
          <w:color w:val="000000"/>
          <w:szCs w:val="24"/>
          <w:lang w:val="zh-CN"/>
        </w:rPr>
        <w:t xml:space="preserve"> </w:t>
      </w:r>
      <w:r>
        <w:rPr>
          <w:rFonts w:hint="eastAsia" w:ascii="黑体" w:hAnsi="黑体" w:eastAsia="黑体" w:cs="宋体"/>
          <w:color w:val="000000"/>
          <w:szCs w:val="24"/>
        </w:rPr>
        <w:t xml:space="preserve">  mg/L  pH（无量纲）</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542"/>
        <w:gridCol w:w="1177"/>
        <w:gridCol w:w="1284"/>
        <w:gridCol w:w="1287"/>
        <w:gridCol w:w="1217"/>
        <w:gridCol w:w="1278"/>
        <w:gridCol w:w="1230"/>
      </w:tblGrid>
      <w:tr w14:paraId="698E3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07F74AA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653" w:type="pct"/>
            <w:vAlign w:val="center"/>
          </w:tcPr>
          <w:p w14:paraId="2CA01D1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最大值</w:t>
            </w:r>
          </w:p>
        </w:tc>
        <w:tc>
          <w:tcPr>
            <w:tcW w:w="712" w:type="pct"/>
            <w:vAlign w:val="center"/>
          </w:tcPr>
          <w:p w14:paraId="6B75B0E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最小值</w:t>
            </w:r>
          </w:p>
        </w:tc>
        <w:tc>
          <w:tcPr>
            <w:tcW w:w="714" w:type="pct"/>
            <w:vAlign w:val="center"/>
          </w:tcPr>
          <w:p w14:paraId="7AF72E9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均值</w:t>
            </w:r>
          </w:p>
        </w:tc>
        <w:tc>
          <w:tcPr>
            <w:tcW w:w="675" w:type="pct"/>
            <w:vAlign w:val="center"/>
          </w:tcPr>
          <w:p w14:paraId="2BF5768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标准差</w:t>
            </w:r>
          </w:p>
        </w:tc>
        <w:tc>
          <w:tcPr>
            <w:tcW w:w="709" w:type="pct"/>
            <w:vAlign w:val="center"/>
          </w:tcPr>
          <w:p w14:paraId="039A40B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检出率(%)</w:t>
            </w:r>
          </w:p>
        </w:tc>
        <w:tc>
          <w:tcPr>
            <w:tcW w:w="682" w:type="pct"/>
            <w:vAlign w:val="center"/>
          </w:tcPr>
          <w:p w14:paraId="5E5D3DBB">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超标率(%)</w:t>
            </w:r>
          </w:p>
        </w:tc>
      </w:tr>
      <w:tr w14:paraId="23E0F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63736C6B">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铅</w:t>
            </w:r>
          </w:p>
        </w:tc>
        <w:tc>
          <w:tcPr>
            <w:tcW w:w="653" w:type="pct"/>
            <w:vAlign w:val="center"/>
          </w:tcPr>
          <w:p w14:paraId="3BD25B6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5A6C639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47B8600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69086F6">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088BE9B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6F2AFE37">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11BF3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7D156F3B">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三氯甲烷</w:t>
            </w:r>
          </w:p>
        </w:tc>
        <w:tc>
          <w:tcPr>
            <w:tcW w:w="653" w:type="pct"/>
            <w:vAlign w:val="center"/>
          </w:tcPr>
          <w:p w14:paraId="6995D00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3A4DDB6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471E6C1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D2D3C4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281FE1A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22883946">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38232B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23F6B555">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四氯化碳</w:t>
            </w:r>
          </w:p>
        </w:tc>
        <w:tc>
          <w:tcPr>
            <w:tcW w:w="653" w:type="pct"/>
            <w:vAlign w:val="center"/>
          </w:tcPr>
          <w:p w14:paraId="7A520A0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465CA2F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085FCBC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0933948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3FCA3E0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080E45AC">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579237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7CE2EB01">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苯</w:t>
            </w:r>
          </w:p>
        </w:tc>
        <w:tc>
          <w:tcPr>
            <w:tcW w:w="653" w:type="pct"/>
            <w:vAlign w:val="center"/>
          </w:tcPr>
          <w:p w14:paraId="1EBDCECD">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4363AC1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672C727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7813DF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24AFD81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42EC7AEF">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40887A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0102270E">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甲苯</w:t>
            </w:r>
          </w:p>
        </w:tc>
        <w:tc>
          <w:tcPr>
            <w:tcW w:w="653" w:type="pct"/>
            <w:vAlign w:val="center"/>
          </w:tcPr>
          <w:p w14:paraId="2BFF82B9">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0B00D675">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2BEC6E57">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29145CA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7C0AA9A4">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1EF1BC9B">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r w14:paraId="40EC5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55" w:type="pct"/>
            <w:vAlign w:val="center"/>
          </w:tcPr>
          <w:p w14:paraId="0DE4CE52">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石油类</w:t>
            </w:r>
          </w:p>
        </w:tc>
        <w:tc>
          <w:tcPr>
            <w:tcW w:w="653" w:type="pct"/>
            <w:vAlign w:val="center"/>
          </w:tcPr>
          <w:p w14:paraId="2857F2D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2" w:type="pct"/>
            <w:vAlign w:val="center"/>
          </w:tcPr>
          <w:p w14:paraId="11130A8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14" w:type="pct"/>
            <w:vAlign w:val="center"/>
          </w:tcPr>
          <w:p w14:paraId="1D4213C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75" w:type="pct"/>
            <w:vAlign w:val="center"/>
          </w:tcPr>
          <w:p w14:paraId="33983BA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709" w:type="pct"/>
            <w:vAlign w:val="center"/>
          </w:tcPr>
          <w:p w14:paraId="7BF5DA4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w:t>
            </w:r>
          </w:p>
        </w:tc>
        <w:tc>
          <w:tcPr>
            <w:tcW w:w="682" w:type="pct"/>
            <w:vAlign w:val="center"/>
          </w:tcPr>
          <w:p w14:paraId="1B0D3C90">
            <w:pPr>
              <w:widowControl/>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w:t>
            </w:r>
          </w:p>
        </w:tc>
      </w:tr>
    </w:tbl>
    <w:p w14:paraId="64E56DE4">
      <w:pPr>
        <w:spacing w:before="240" w:line="498" w:lineRule="exact"/>
        <w:outlineLvl w:val="1"/>
        <w:rPr>
          <w:rFonts w:hint="eastAsia" w:ascii="黑体" w:hAnsi="黑体" w:eastAsia="黑体" w:cs="黑体"/>
          <w:color w:val="000000"/>
          <w:sz w:val="28"/>
          <w:szCs w:val="28"/>
          <w:lang w:bidi="ar"/>
        </w:rPr>
      </w:pPr>
      <w:bookmarkStart w:id="181" w:name="_Toc230178794"/>
      <w:bookmarkStart w:id="182" w:name="_Toc208474678"/>
      <w:bookmarkStart w:id="183" w:name="_Toc198040184"/>
      <w:bookmarkStart w:id="184" w:name="_Toc198040328"/>
      <w:r>
        <w:rPr>
          <w:rFonts w:hint="eastAsia" w:ascii="黑体" w:hAnsi="黑体" w:eastAsia="黑体" w:cs="黑体"/>
          <w:color w:val="000000"/>
          <w:sz w:val="28"/>
          <w:szCs w:val="28"/>
          <w:lang w:bidi="ar"/>
        </w:rPr>
        <w:t>4.4 地表水环境现状调查与评价</w:t>
      </w:r>
      <w:bookmarkEnd w:id="181"/>
      <w:bookmarkEnd w:id="182"/>
      <w:bookmarkEnd w:id="183"/>
      <w:bookmarkEnd w:id="184"/>
    </w:p>
    <w:p w14:paraId="75E497A4">
      <w:pPr>
        <w:pStyle w:val="191"/>
        <w:widowControl w:val="0"/>
        <w:tabs>
          <w:tab w:val="right" w:leader="dot" w:pos="8959"/>
        </w:tabs>
        <w:spacing w:line="498" w:lineRule="exact"/>
        <w:ind w:leftChars="0" w:firstLine="526" w:firstLineChars="200"/>
        <w:jc w:val="both"/>
        <w:rPr>
          <w:rFonts w:hint="eastAsia" w:ascii="宋体" w:hAnsi="宋体" w:cs="宋体"/>
          <w:color w:val="000000"/>
          <w:spacing w:val="5"/>
          <w:sz w:val="24"/>
          <w:szCs w:val="24"/>
        </w:rPr>
      </w:pPr>
      <w:r>
        <w:rPr>
          <w:rFonts w:hint="eastAsia" w:ascii="宋体" w:hAnsi="宋体" w:cs="宋体"/>
          <w:color w:val="000000"/>
          <w:spacing w:val="5"/>
          <w:sz w:val="24"/>
          <w:szCs w:val="24"/>
        </w:rPr>
        <w:t>拟建工程废水不外排，不涉及穿（跨）越地表水水域功能Ⅲ类及以上水体，项目周边无地表水体，故不再开展地表水环境现状监测。</w:t>
      </w:r>
    </w:p>
    <w:p w14:paraId="3687B07F">
      <w:pPr>
        <w:spacing w:line="498" w:lineRule="exact"/>
        <w:outlineLvl w:val="1"/>
        <w:rPr>
          <w:rFonts w:hint="eastAsia" w:ascii="黑体" w:hAnsi="黑体" w:eastAsia="黑体" w:cs="黑体"/>
          <w:color w:val="000000"/>
          <w:sz w:val="28"/>
          <w:szCs w:val="28"/>
          <w:lang w:bidi="ar"/>
        </w:rPr>
      </w:pPr>
      <w:bookmarkStart w:id="185" w:name="_Toc230178795"/>
      <w:bookmarkStart w:id="186" w:name="_Toc198040329"/>
      <w:bookmarkStart w:id="187" w:name="_Toc198040185"/>
      <w:bookmarkStart w:id="188" w:name="_Toc208474679"/>
      <w:r>
        <w:rPr>
          <w:rFonts w:hint="eastAsia" w:ascii="黑体" w:hAnsi="黑体" w:eastAsia="黑体" w:cs="黑体"/>
          <w:color w:val="000000"/>
          <w:sz w:val="28"/>
          <w:szCs w:val="28"/>
          <w:lang w:bidi="ar"/>
        </w:rPr>
        <w:t>4.5 土壤环境现状调查与评价</w:t>
      </w:r>
      <w:bookmarkEnd w:id="185"/>
      <w:bookmarkEnd w:id="186"/>
      <w:bookmarkEnd w:id="187"/>
      <w:bookmarkEnd w:id="188"/>
    </w:p>
    <w:p w14:paraId="0DE621DE">
      <w:pPr>
        <w:pStyle w:val="191"/>
        <w:widowControl w:val="0"/>
        <w:tabs>
          <w:tab w:val="right" w:leader="dot" w:pos="8959"/>
        </w:tabs>
        <w:spacing w:line="498" w:lineRule="exact"/>
        <w:ind w:leftChars="0"/>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4.5.1土壤环境现状调查</w:t>
      </w:r>
    </w:p>
    <w:p w14:paraId="44EC2F31">
      <w:pPr>
        <w:spacing w:line="498" w:lineRule="exact"/>
        <w:ind w:firstLine="526" w:firstLineChars="200"/>
        <w:rPr>
          <w:rFonts w:hAnsi="宋体"/>
          <w:color w:val="000000"/>
          <w:szCs w:val="24"/>
        </w:rPr>
      </w:pPr>
      <w:r>
        <w:rPr>
          <w:rFonts w:hint="eastAsia" w:hAnsi="宋体"/>
          <w:color w:val="000000"/>
          <w:szCs w:val="24"/>
        </w:rPr>
        <w:t>（1）调查范围</w:t>
      </w:r>
    </w:p>
    <w:p w14:paraId="7AC2B9A8">
      <w:pPr>
        <w:spacing w:line="498" w:lineRule="exact"/>
        <w:ind w:firstLine="526" w:firstLineChars="200"/>
        <w:rPr>
          <w:rFonts w:hAnsi="宋体"/>
          <w:color w:val="000000"/>
          <w:szCs w:val="24"/>
        </w:rPr>
      </w:pPr>
      <w:r>
        <w:rPr>
          <w:rFonts w:hint="eastAsia" w:hAnsi="宋体"/>
          <w:color w:val="000000"/>
          <w:szCs w:val="24"/>
        </w:rPr>
        <w:t>根据《环境影响评价技术导则 土壤环境（试行）》（HJ964-2018），土壤污染影响型现状调查范围为</w:t>
      </w:r>
      <w:r>
        <w:rPr>
          <w:rFonts w:hint="eastAsia" w:hAnsi="宋体"/>
          <w:color w:val="000000"/>
          <w:spacing w:val="0"/>
          <w:szCs w:val="24"/>
        </w:rPr>
        <w:t>管线边界两侧向外延200m范围</w:t>
      </w:r>
      <w:r>
        <w:rPr>
          <w:rFonts w:hint="eastAsia" w:hAnsi="宋体"/>
          <w:color w:val="000000"/>
          <w:szCs w:val="24"/>
        </w:rPr>
        <w:t>。</w:t>
      </w:r>
    </w:p>
    <w:p w14:paraId="1B36B3F1">
      <w:pPr>
        <w:spacing w:line="498" w:lineRule="exact"/>
        <w:ind w:firstLine="526" w:firstLineChars="200"/>
        <w:rPr>
          <w:rFonts w:hAnsi="宋体"/>
          <w:color w:val="000000"/>
          <w:szCs w:val="24"/>
        </w:rPr>
      </w:pPr>
      <w:r>
        <w:rPr>
          <w:rFonts w:hint="eastAsia" w:hAnsi="宋体"/>
          <w:color w:val="000000"/>
          <w:szCs w:val="24"/>
        </w:rPr>
        <w:t>（2）敏感目标</w:t>
      </w:r>
    </w:p>
    <w:p w14:paraId="142B0F66">
      <w:pPr>
        <w:spacing w:line="498" w:lineRule="exact"/>
        <w:ind w:firstLine="526" w:firstLineChars="200"/>
        <w:rPr>
          <w:rFonts w:hAnsi="宋体"/>
          <w:color w:val="000000"/>
          <w:szCs w:val="24"/>
        </w:rPr>
      </w:pPr>
      <w:r>
        <w:rPr>
          <w:rFonts w:hint="eastAsia" w:hAnsi="宋体" w:cs="宋体"/>
          <w:color w:val="000000"/>
          <w:lang w:bidi="ar"/>
        </w:rPr>
        <w:t>土壤</w:t>
      </w:r>
      <w:r>
        <w:rPr>
          <w:rFonts w:hint="eastAsia"/>
          <w:color w:val="000000"/>
        </w:rPr>
        <w:t>评价范围内不涉及耕地、园地、牧草地、饮用水水源地或村庄、学校等敏感点及其他土壤环境敏感目标，</w:t>
      </w:r>
      <w:r>
        <w:rPr>
          <w:rFonts w:hint="eastAsia" w:hAnsi="宋体" w:cs="宋体"/>
          <w:color w:val="000000"/>
          <w:lang w:bidi="ar"/>
        </w:rPr>
        <w:t>不设置</w:t>
      </w:r>
      <w:r>
        <w:rPr>
          <w:rFonts w:hint="eastAsia"/>
          <w:color w:val="000000"/>
        </w:rPr>
        <w:t>土壤环境保护目标</w:t>
      </w:r>
      <w:r>
        <w:rPr>
          <w:rFonts w:hint="eastAsia" w:hAnsi="宋体"/>
          <w:color w:val="000000"/>
          <w:szCs w:val="24"/>
        </w:rPr>
        <w:t>。</w:t>
      </w:r>
    </w:p>
    <w:p w14:paraId="66E0D2FB">
      <w:pPr>
        <w:spacing w:line="498" w:lineRule="exact"/>
        <w:ind w:firstLine="526" w:firstLineChars="200"/>
        <w:rPr>
          <w:rFonts w:hAnsi="宋体"/>
          <w:color w:val="000000"/>
          <w:szCs w:val="24"/>
        </w:rPr>
      </w:pPr>
      <w:r>
        <w:rPr>
          <w:rFonts w:hint="eastAsia" w:hAnsi="宋体"/>
          <w:color w:val="000000"/>
          <w:szCs w:val="24"/>
        </w:rPr>
        <w:t>（3）土地利用类型调查</w:t>
      </w:r>
    </w:p>
    <w:p w14:paraId="2D1FAA36">
      <w:pPr>
        <w:tabs>
          <w:tab w:val="center" w:pos="4479"/>
        </w:tabs>
        <w:spacing w:line="498" w:lineRule="exact"/>
        <w:ind w:firstLine="526" w:firstLineChars="200"/>
        <w:rPr>
          <w:rFonts w:hAnsi="宋体" w:cs="宋体"/>
          <w:color w:val="000000"/>
          <w:szCs w:val="24"/>
        </w:rPr>
      </w:pPr>
      <w:r>
        <w:rPr>
          <w:rFonts w:hint="eastAsia" w:hAnsi="宋体"/>
          <w:color w:val="000000"/>
          <w:szCs w:val="24"/>
        </w:rPr>
        <w:t>①</w:t>
      </w:r>
      <w:r>
        <w:rPr>
          <w:rFonts w:hint="eastAsia" w:hAnsi="宋体" w:cs="宋体"/>
          <w:color w:val="000000"/>
          <w:szCs w:val="24"/>
        </w:rPr>
        <w:t>土地利用现状</w:t>
      </w:r>
    </w:p>
    <w:p w14:paraId="3FE875CF">
      <w:pPr>
        <w:pStyle w:val="13"/>
        <w:adjustRightInd w:val="0"/>
        <w:spacing w:after="0" w:line="498" w:lineRule="exact"/>
        <w:ind w:firstLine="526" w:firstLineChars="200"/>
        <w:rPr>
          <w:rFonts w:hAnsi="宋体" w:eastAsia="宋体" w:cs="宋体"/>
          <w:color w:val="000000"/>
          <w:sz w:val="24"/>
          <w:szCs w:val="24"/>
        </w:rPr>
      </w:pPr>
      <w:r>
        <w:rPr>
          <w:rFonts w:hint="eastAsia" w:hAnsi="宋体" w:eastAsia="宋体" w:cs="宋体"/>
          <w:color w:val="000000"/>
          <w:sz w:val="24"/>
          <w:szCs w:val="24"/>
        </w:rPr>
        <w:t>根据现场调查结果，管道等占地现状为沙地。</w:t>
      </w:r>
    </w:p>
    <w:p w14:paraId="7F635C64">
      <w:pPr>
        <w:tabs>
          <w:tab w:val="center" w:pos="4479"/>
        </w:tabs>
        <w:spacing w:line="498" w:lineRule="exact"/>
        <w:ind w:firstLine="526" w:firstLineChars="200"/>
        <w:rPr>
          <w:rFonts w:hAnsi="宋体" w:cs="宋体"/>
          <w:color w:val="000000"/>
          <w:szCs w:val="24"/>
        </w:rPr>
      </w:pPr>
      <w:r>
        <w:rPr>
          <w:rFonts w:hint="eastAsia" w:hAnsi="宋体"/>
          <w:color w:val="000000"/>
          <w:szCs w:val="24"/>
        </w:rPr>
        <w:t>②</w:t>
      </w:r>
      <w:r>
        <w:rPr>
          <w:rFonts w:hint="eastAsia" w:hAnsi="宋体" w:cs="宋体"/>
          <w:color w:val="000000"/>
          <w:szCs w:val="24"/>
        </w:rPr>
        <w:t>土地利用历史</w:t>
      </w:r>
    </w:p>
    <w:p w14:paraId="1EFF2FC2">
      <w:pPr>
        <w:tabs>
          <w:tab w:val="left" w:pos="1620"/>
        </w:tabs>
        <w:spacing w:line="498" w:lineRule="exact"/>
        <w:ind w:firstLine="526" w:firstLineChars="200"/>
        <w:rPr>
          <w:rFonts w:hAnsi="宋体" w:cs="宋体"/>
          <w:color w:val="000000"/>
          <w:szCs w:val="24"/>
        </w:rPr>
      </w:pPr>
      <w:r>
        <w:rPr>
          <w:rFonts w:hint="eastAsia" w:hAnsi="宋体" w:cs="宋体"/>
          <w:color w:val="000000"/>
          <w:szCs w:val="24"/>
        </w:rPr>
        <w:t>根据调查，项目区域建设之前为沙地，局部区域已受到油田开发的扰动和影响。</w:t>
      </w:r>
    </w:p>
    <w:p w14:paraId="7FF47DA3">
      <w:pPr>
        <w:spacing w:line="498" w:lineRule="exact"/>
        <w:ind w:firstLine="520" w:firstLineChars="198"/>
        <w:rPr>
          <w:rFonts w:hAnsi="宋体"/>
          <w:color w:val="000000"/>
          <w:szCs w:val="24"/>
        </w:rPr>
      </w:pPr>
      <w:r>
        <w:rPr>
          <w:rFonts w:hint="eastAsia" w:hAnsi="宋体"/>
          <w:color w:val="000000"/>
          <w:szCs w:val="24"/>
        </w:rPr>
        <w:t>③土地利用规划</w:t>
      </w:r>
    </w:p>
    <w:p w14:paraId="253400D3">
      <w:pPr>
        <w:tabs>
          <w:tab w:val="center" w:pos="4479"/>
        </w:tabs>
        <w:spacing w:line="498" w:lineRule="exact"/>
        <w:ind w:firstLine="526" w:firstLineChars="200"/>
        <w:rPr>
          <w:rFonts w:hAnsi="宋体"/>
          <w:color w:val="000000"/>
          <w:szCs w:val="24"/>
        </w:rPr>
      </w:pPr>
      <w:r>
        <w:rPr>
          <w:rFonts w:hint="eastAsia" w:hAnsi="宋体"/>
          <w:color w:val="000000"/>
          <w:szCs w:val="24"/>
        </w:rPr>
        <w:t>拟建工程占地范围暂无规划。</w:t>
      </w:r>
    </w:p>
    <w:p w14:paraId="73297816">
      <w:pPr>
        <w:spacing w:line="480" w:lineRule="exact"/>
        <w:ind w:firstLine="526" w:firstLineChars="200"/>
        <w:rPr>
          <w:rFonts w:hint="eastAsia" w:hAnsi="宋体" w:cs="宋体"/>
          <w:color w:val="000000"/>
          <w:szCs w:val="24"/>
        </w:rPr>
      </w:pPr>
      <w:r>
        <w:rPr>
          <w:rFonts w:hint="eastAsia" w:hAnsi="宋体"/>
          <w:color w:val="000000"/>
          <w:szCs w:val="24"/>
        </w:rPr>
        <w:t>（3）土地利用类型调查</w:t>
      </w:r>
    </w:p>
    <w:p w14:paraId="647C2124">
      <w:pPr>
        <w:pStyle w:val="191"/>
        <w:widowControl w:val="0"/>
        <w:tabs>
          <w:tab w:val="right" w:leader="dot" w:pos="8959"/>
        </w:tabs>
        <w:spacing w:line="480" w:lineRule="exact"/>
        <w:ind w:leftChars="0" w:firstLine="526" w:firstLineChars="200"/>
        <w:rPr>
          <w:rFonts w:hint="eastAsia" w:ascii="宋体" w:hAnsi="宋体" w:cs="宋体"/>
          <w:color w:val="000000"/>
          <w:spacing w:val="5"/>
          <w:sz w:val="24"/>
          <w:szCs w:val="24"/>
        </w:rPr>
      </w:pPr>
      <w:r>
        <w:rPr>
          <w:rFonts w:hint="eastAsia" w:ascii="宋体" w:hAnsi="宋体" w:cs="宋体"/>
          <w:color w:val="000000"/>
          <w:spacing w:val="5"/>
          <w:sz w:val="24"/>
          <w:szCs w:val="24"/>
        </w:rPr>
        <w:t>根据国家土壤信息服务平台发布的中国1公里发生分类土壤图（数据来源：二普调查，2016年），《中国土壤分类与代码》（GB/T17296-2009）中土壤分类，土壤评价范围内土壤类型均为风沙土。区域土壤类型分布见附图6。</w:t>
      </w:r>
    </w:p>
    <w:p w14:paraId="6D7AE7C6">
      <w:pPr>
        <w:pStyle w:val="191"/>
        <w:widowControl w:val="0"/>
        <w:tabs>
          <w:tab w:val="right" w:leader="dot" w:pos="8959"/>
        </w:tabs>
        <w:spacing w:line="480" w:lineRule="exact"/>
        <w:ind w:leftChars="0"/>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4.5.2 土壤理化性质调查</w:t>
      </w:r>
    </w:p>
    <w:p w14:paraId="28CCBF31">
      <w:pPr>
        <w:spacing w:line="480" w:lineRule="exact"/>
        <w:ind w:firstLine="526" w:firstLineChars="200"/>
        <w:rPr>
          <w:rFonts w:hAnsi="宋体"/>
          <w:color w:val="000000"/>
          <w:szCs w:val="24"/>
        </w:rPr>
      </w:pPr>
      <w:r>
        <w:rPr>
          <w:rFonts w:hint="eastAsia" w:hAnsi="宋体"/>
          <w:color w:val="000000"/>
          <w:szCs w:val="24"/>
        </w:rPr>
        <w:t>土壤理化性质见表4.5-1。</w:t>
      </w:r>
    </w:p>
    <w:p w14:paraId="0ED8907C">
      <w:pPr>
        <w:ind w:firstLine="526" w:firstLineChars="200"/>
        <w:rPr>
          <w:rFonts w:hint="eastAsia" w:ascii="黑体" w:hAnsi="黑体" w:eastAsia="黑体"/>
          <w:color w:val="000000"/>
        </w:rPr>
      </w:pPr>
      <w:r>
        <w:rPr>
          <w:rFonts w:hint="eastAsia" w:ascii="黑体" w:hAnsi="黑体" w:eastAsia="黑体"/>
          <w:color w:val="000000"/>
        </w:rPr>
        <w:t xml:space="preserve">表4.5-1  </w:t>
      </w:r>
      <w:r>
        <w:rPr>
          <w:rFonts w:ascii="黑体" w:hAnsi="黑体" w:eastAsia="黑体"/>
          <w:color w:val="000000"/>
        </w:rPr>
        <w:t xml:space="preserve"> </w:t>
      </w:r>
      <w:r>
        <w:rPr>
          <w:rFonts w:hint="eastAsia" w:ascii="黑体" w:hAnsi="黑体" w:eastAsia="黑体"/>
          <w:color w:val="000000"/>
        </w:rPr>
        <w:t xml:space="preserve">   </w:t>
      </w:r>
      <w:r>
        <w:rPr>
          <w:rFonts w:ascii="黑体" w:hAnsi="黑体" w:eastAsia="黑体"/>
          <w:color w:val="000000"/>
        </w:rPr>
        <w:t xml:space="preserve"> </w:t>
      </w:r>
      <w:r>
        <w:rPr>
          <w:rFonts w:hint="eastAsia" w:ascii="黑体" w:hAnsi="黑体" w:eastAsia="黑体"/>
          <w:color w:val="000000"/>
        </w:rPr>
        <w:t xml:space="preserve"> 土壤理化性质调查结果一览表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17"/>
        <w:gridCol w:w="9"/>
        <w:gridCol w:w="2287"/>
        <w:gridCol w:w="2182"/>
        <w:gridCol w:w="1688"/>
        <w:gridCol w:w="2032"/>
      </w:tblGrid>
      <w:tr w14:paraId="1CC45D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26" w:type="pct"/>
            <w:gridSpan w:val="3"/>
            <w:vAlign w:val="center"/>
          </w:tcPr>
          <w:p w14:paraId="208EB6C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点号</w:t>
            </w:r>
          </w:p>
        </w:tc>
        <w:tc>
          <w:tcPr>
            <w:tcW w:w="1210" w:type="pct"/>
            <w:vAlign w:val="center"/>
          </w:tcPr>
          <w:p w14:paraId="49F0516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塔三联北侧</w:t>
            </w:r>
          </w:p>
        </w:tc>
        <w:tc>
          <w:tcPr>
            <w:tcW w:w="936" w:type="pct"/>
            <w:vAlign w:val="center"/>
          </w:tcPr>
          <w:p w14:paraId="0FE12CF2">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时间</w:t>
            </w:r>
          </w:p>
        </w:tc>
        <w:tc>
          <w:tcPr>
            <w:tcW w:w="1127" w:type="pct"/>
            <w:vAlign w:val="center"/>
          </w:tcPr>
          <w:p w14:paraId="0084F5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2026年5月</w:t>
            </w:r>
          </w:p>
        </w:tc>
      </w:tr>
      <w:tr w14:paraId="157610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26" w:type="pct"/>
            <w:gridSpan w:val="3"/>
            <w:vAlign w:val="center"/>
          </w:tcPr>
          <w:p w14:paraId="1B82850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深度</w:t>
            </w:r>
          </w:p>
        </w:tc>
        <w:tc>
          <w:tcPr>
            <w:tcW w:w="1210" w:type="pct"/>
            <w:vAlign w:val="center"/>
          </w:tcPr>
          <w:p w14:paraId="3D1AC3F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0.5</w:t>
            </w:r>
          </w:p>
        </w:tc>
        <w:tc>
          <w:tcPr>
            <w:tcW w:w="936" w:type="pct"/>
            <w:vAlign w:val="center"/>
          </w:tcPr>
          <w:p w14:paraId="2924F2C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1.5</w:t>
            </w:r>
          </w:p>
        </w:tc>
        <w:tc>
          <w:tcPr>
            <w:tcW w:w="1127" w:type="pct"/>
            <w:vAlign w:val="center"/>
          </w:tcPr>
          <w:p w14:paraId="6A0A7E4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3.0</w:t>
            </w:r>
          </w:p>
        </w:tc>
      </w:tr>
      <w:tr w14:paraId="3C21A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3" w:type="pct"/>
            <w:vMerge w:val="restart"/>
            <w:vAlign w:val="center"/>
          </w:tcPr>
          <w:p w14:paraId="4A85792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现场</w:t>
            </w:r>
          </w:p>
          <w:p w14:paraId="342BAAF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记录</w:t>
            </w:r>
          </w:p>
        </w:tc>
        <w:tc>
          <w:tcPr>
            <w:tcW w:w="1273" w:type="pct"/>
            <w:gridSpan w:val="2"/>
            <w:vAlign w:val="center"/>
          </w:tcPr>
          <w:p w14:paraId="045FDD8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颜色</w:t>
            </w:r>
          </w:p>
        </w:tc>
        <w:tc>
          <w:tcPr>
            <w:tcW w:w="1210" w:type="pct"/>
            <w:vAlign w:val="center"/>
          </w:tcPr>
          <w:p w14:paraId="065A3E3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灰色</w:t>
            </w:r>
          </w:p>
        </w:tc>
        <w:tc>
          <w:tcPr>
            <w:tcW w:w="936" w:type="pct"/>
            <w:vAlign w:val="center"/>
          </w:tcPr>
          <w:p w14:paraId="5B407FF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灰色</w:t>
            </w:r>
          </w:p>
        </w:tc>
        <w:tc>
          <w:tcPr>
            <w:tcW w:w="1127" w:type="pct"/>
            <w:vAlign w:val="center"/>
          </w:tcPr>
          <w:p w14:paraId="174BEDB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灰色</w:t>
            </w:r>
          </w:p>
        </w:tc>
      </w:tr>
      <w:tr w14:paraId="3E5D1F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3" w:type="pct"/>
            <w:vMerge w:val="continue"/>
            <w:vAlign w:val="center"/>
          </w:tcPr>
          <w:p w14:paraId="21F9F02F">
            <w:pPr>
              <w:spacing w:line="0" w:lineRule="atLeast"/>
              <w:jc w:val="center"/>
              <w:rPr>
                <w:rFonts w:hint="eastAsia" w:hAnsi="宋体" w:cs="宋体"/>
                <w:color w:val="000000"/>
                <w:spacing w:val="-10"/>
                <w:kern w:val="0"/>
                <w:sz w:val="21"/>
                <w:szCs w:val="21"/>
              </w:rPr>
            </w:pPr>
          </w:p>
        </w:tc>
        <w:tc>
          <w:tcPr>
            <w:tcW w:w="1273" w:type="pct"/>
            <w:gridSpan w:val="2"/>
            <w:vAlign w:val="center"/>
          </w:tcPr>
          <w:p w14:paraId="6221A4E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结构</w:t>
            </w:r>
          </w:p>
        </w:tc>
        <w:tc>
          <w:tcPr>
            <w:tcW w:w="1210" w:type="pct"/>
            <w:vAlign w:val="center"/>
          </w:tcPr>
          <w:p w14:paraId="23CF2BB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疏粒状</w:t>
            </w:r>
          </w:p>
        </w:tc>
        <w:tc>
          <w:tcPr>
            <w:tcW w:w="936" w:type="pct"/>
            <w:vAlign w:val="center"/>
          </w:tcPr>
          <w:p w14:paraId="79DD943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疏粒状</w:t>
            </w:r>
          </w:p>
        </w:tc>
        <w:tc>
          <w:tcPr>
            <w:tcW w:w="1127" w:type="pct"/>
            <w:vAlign w:val="center"/>
          </w:tcPr>
          <w:p w14:paraId="5D5EAFA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疏粒状</w:t>
            </w:r>
          </w:p>
        </w:tc>
      </w:tr>
      <w:tr w14:paraId="0150DF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3" w:type="pct"/>
            <w:vMerge w:val="continue"/>
            <w:vAlign w:val="center"/>
          </w:tcPr>
          <w:p w14:paraId="7D151EDC">
            <w:pPr>
              <w:spacing w:line="0" w:lineRule="atLeast"/>
              <w:jc w:val="center"/>
              <w:rPr>
                <w:rFonts w:hint="eastAsia" w:hAnsi="宋体" w:cs="宋体"/>
                <w:color w:val="000000"/>
                <w:spacing w:val="-10"/>
                <w:kern w:val="0"/>
                <w:sz w:val="21"/>
                <w:szCs w:val="21"/>
              </w:rPr>
            </w:pPr>
          </w:p>
        </w:tc>
        <w:tc>
          <w:tcPr>
            <w:tcW w:w="1273" w:type="pct"/>
            <w:gridSpan w:val="2"/>
            <w:vAlign w:val="center"/>
          </w:tcPr>
          <w:p w14:paraId="00B3375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质地</w:t>
            </w:r>
          </w:p>
        </w:tc>
        <w:tc>
          <w:tcPr>
            <w:tcW w:w="1210" w:type="pct"/>
            <w:vAlign w:val="center"/>
          </w:tcPr>
          <w:p w14:paraId="4C9FCBF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沙土</w:t>
            </w:r>
          </w:p>
        </w:tc>
        <w:tc>
          <w:tcPr>
            <w:tcW w:w="936" w:type="pct"/>
            <w:vAlign w:val="center"/>
          </w:tcPr>
          <w:p w14:paraId="436EEC9A">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沙土</w:t>
            </w:r>
          </w:p>
        </w:tc>
        <w:tc>
          <w:tcPr>
            <w:tcW w:w="1127" w:type="pct"/>
            <w:vAlign w:val="center"/>
          </w:tcPr>
          <w:p w14:paraId="4E8960A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沙土</w:t>
            </w:r>
          </w:p>
        </w:tc>
      </w:tr>
      <w:tr w14:paraId="628002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3" w:type="pct"/>
            <w:vMerge w:val="continue"/>
            <w:vAlign w:val="center"/>
          </w:tcPr>
          <w:p w14:paraId="1597FCAF">
            <w:pPr>
              <w:spacing w:line="0" w:lineRule="atLeast"/>
              <w:jc w:val="center"/>
              <w:rPr>
                <w:rFonts w:hint="eastAsia" w:hAnsi="宋体" w:cs="宋体"/>
                <w:color w:val="000000"/>
                <w:spacing w:val="-10"/>
                <w:kern w:val="0"/>
                <w:sz w:val="21"/>
                <w:szCs w:val="21"/>
              </w:rPr>
            </w:pPr>
          </w:p>
        </w:tc>
        <w:tc>
          <w:tcPr>
            <w:tcW w:w="1273" w:type="pct"/>
            <w:gridSpan w:val="2"/>
            <w:vAlign w:val="center"/>
          </w:tcPr>
          <w:p w14:paraId="1EEAE6A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砂砾含量</w:t>
            </w:r>
          </w:p>
        </w:tc>
        <w:tc>
          <w:tcPr>
            <w:tcW w:w="1210" w:type="pct"/>
            <w:vAlign w:val="center"/>
          </w:tcPr>
          <w:p w14:paraId="33F9EE7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c>
          <w:tcPr>
            <w:tcW w:w="936" w:type="pct"/>
            <w:vAlign w:val="center"/>
          </w:tcPr>
          <w:p w14:paraId="2473291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c>
          <w:tcPr>
            <w:tcW w:w="1127" w:type="pct"/>
            <w:vAlign w:val="center"/>
          </w:tcPr>
          <w:p w14:paraId="39A84A7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0</w:t>
            </w:r>
          </w:p>
        </w:tc>
      </w:tr>
      <w:tr w14:paraId="72F368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3" w:type="pct"/>
            <w:vMerge w:val="continue"/>
            <w:vAlign w:val="center"/>
          </w:tcPr>
          <w:p w14:paraId="47DA8A07">
            <w:pPr>
              <w:spacing w:line="0" w:lineRule="atLeast"/>
              <w:jc w:val="center"/>
              <w:rPr>
                <w:rFonts w:hint="eastAsia" w:hAnsi="宋体" w:cs="宋体"/>
                <w:color w:val="000000"/>
                <w:spacing w:val="-10"/>
                <w:kern w:val="0"/>
                <w:sz w:val="21"/>
                <w:szCs w:val="21"/>
              </w:rPr>
            </w:pPr>
          </w:p>
        </w:tc>
        <w:tc>
          <w:tcPr>
            <w:tcW w:w="1273" w:type="pct"/>
            <w:gridSpan w:val="2"/>
            <w:vAlign w:val="center"/>
          </w:tcPr>
          <w:p w14:paraId="5A5285A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其他异物</w:t>
            </w:r>
          </w:p>
        </w:tc>
        <w:tc>
          <w:tcPr>
            <w:tcW w:w="1210" w:type="pct"/>
            <w:vAlign w:val="center"/>
          </w:tcPr>
          <w:p w14:paraId="7ABD62D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936" w:type="pct"/>
            <w:vAlign w:val="center"/>
          </w:tcPr>
          <w:p w14:paraId="5FB6B72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c>
          <w:tcPr>
            <w:tcW w:w="1127" w:type="pct"/>
            <w:vAlign w:val="center"/>
          </w:tcPr>
          <w:p w14:paraId="790BDC5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无</w:t>
            </w:r>
          </w:p>
        </w:tc>
      </w:tr>
      <w:tr w14:paraId="187B0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8" w:type="pct"/>
            <w:gridSpan w:val="2"/>
            <w:vMerge w:val="restart"/>
            <w:vAlign w:val="center"/>
          </w:tcPr>
          <w:p w14:paraId="6FECD206">
            <w:pPr>
              <w:spacing w:line="0" w:lineRule="atLeast"/>
              <w:jc w:val="center"/>
              <w:rPr>
                <w:rFonts w:hint="eastAsia" w:hAnsi="宋体" w:cs="宋体"/>
                <w:color w:val="000000"/>
                <w:spacing w:val="-10"/>
                <w:kern w:val="0"/>
                <w:sz w:val="21"/>
                <w:szCs w:val="21"/>
              </w:rPr>
            </w:pPr>
            <w:r>
              <w:rPr>
                <w:rFonts w:hint="eastAsia" w:hAnsi="宋体" w:cs="宋体"/>
                <w:color w:val="000000"/>
                <w:sz w:val="21"/>
                <w:szCs w:val="21"/>
              </w:rPr>
              <w:br w:type="page"/>
            </w:r>
            <w:r>
              <w:rPr>
                <w:rFonts w:hint="eastAsia" w:hAnsi="宋体" w:cs="宋体"/>
                <w:color w:val="000000"/>
                <w:spacing w:val="-10"/>
                <w:kern w:val="0"/>
                <w:sz w:val="21"/>
                <w:szCs w:val="21"/>
              </w:rPr>
              <w:t>实验室</w:t>
            </w:r>
          </w:p>
          <w:p w14:paraId="7C91856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测定</w:t>
            </w:r>
          </w:p>
        </w:tc>
        <w:tc>
          <w:tcPr>
            <w:tcW w:w="1268" w:type="pct"/>
            <w:vAlign w:val="center"/>
          </w:tcPr>
          <w:p w14:paraId="5B66228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pH值</w:t>
            </w:r>
          </w:p>
        </w:tc>
        <w:tc>
          <w:tcPr>
            <w:tcW w:w="1210" w:type="pct"/>
            <w:vAlign w:val="center"/>
          </w:tcPr>
          <w:p w14:paraId="1A1AD2D1">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8.15</w:t>
            </w:r>
          </w:p>
        </w:tc>
        <w:tc>
          <w:tcPr>
            <w:tcW w:w="936" w:type="pct"/>
            <w:vAlign w:val="center"/>
          </w:tcPr>
          <w:p w14:paraId="51240C39">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8.26</w:t>
            </w:r>
          </w:p>
        </w:tc>
        <w:tc>
          <w:tcPr>
            <w:tcW w:w="1127" w:type="pct"/>
            <w:vAlign w:val="center"/>
          </w:tcPr>
          <w:p w14:paraId="494C4AC6">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8.33</w:t>
            </w:r>
          </w:p>
        </w:tc>
      </w:tr>
      <w:tr w14:paraId="7AE71E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58" w:type="pct"/>
            <w:gridSpan w:val="2"/>
            <w:vMerge w:val="continue"/>
            <w:vAlign w:val="center"/>
          </w:tcPr>
          <w:p w14:paraId="4F1DB221">
            <w:pPr>
              <w:spacing w:line="0" w:lineRule="atLeast"/>
              <w:jc w:val="center"/>
              <w:rPr>
                <w:rFonts w:hint="eastAsia" w:hAnsi="宋体" w:cs="宋体"/>
                <w:color w:val="000000"/>
                <w:spacing w:val="-10"/>
                <w:kern w:val="0"/>
                <w:sz w:val="21"/>
                <w:szCs w:val="21"/>
              </w:rPr>
            </w:pPr>
          </w:p>
        </w:tc>
        <w:tc>
          <w:tcPr>
            <w:tcW w:w="1268" w:type="pct"/>
            <w:vAlign w:val="center"/>
          </w:tcPr>
          <w:p w14:paraId="0733CD4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阳离子交换量cmol</w:t>
            </w:r>
            <w:r>
              <w:rPr>
                <w:rFonts w:hint="eastAsia" w:hAnsi="宋体" w:cs="宋体"/>
                <w:color w:val="000000"/>
                <w:spacing w:val="-10"/>
                <w:kern w:val="0"/>
                <w:sz w:val="21"/>
                <w:szCs w:val="21"/>
                <w:vertAlign w:val="superscript"/>
              </w:rPr>
              <w:t>+</w:t>
            </w:r>
            <w:r>
              <w:rPr>
                <w:rFonts w:hint="eastAsia" w:hAnsi="宋体" w:cs="宋体"/>
                <w:color w:val="000000"/>
                <w:spacing w:val="-10"/>
                <w:kern w:val="0"/>
                <w:sz w:val="21"/>
                <w:szCs w:val="21"/>
              </w:rPr>
              <w:t>/kg</w:t>
            </w:r>
          </w:p>
        </w:tc>
        <w:tc>
          <w:tcPr>
            <w:tcW w:w="1210" w:type="pct"/>
            <w:vAlign w:val="center"/>
          </w:tcPr>
          <w:p w14:paraId="56C7595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1.8</w:t>
            </w:r>
          </w:p>
        </w:tc>
        <w:tc>
          <w:tcPr>
            <w:tcW w:w="936" w:type="pct"/>
            <w:vAlign w:val="center"/>
          </w:tcPr>
          <w:p w14:paraId="1D4CFCB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1.9</w:t>
            </w:r>
          </w:p>
        </w:tc>
        <w:tc>
          <w:tcPr>
            <w:tcW w:w="1127" w:type="pct"/>
            <w:vAlign w:val="center"/>
          </w:tcPr>
          <w:p w14:paraId="3EADD97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1.7</w:t>
            </w:r>
          </w:p>
        </w:tc>
      </w:tr>
      <w:tr w14:paraId="64EF72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58" w:type="pct"/>
            <w:gridSpan w:val="2"/>
            <w:vMerge w:val="continue"/>
            <w:vAlign w:val="center"/>
          </w:tcPr>
          <w:p w14:paraId="011C065A">
            <w:pPr>
              <w:spacing w:line="0" w:lineRule="atLeast"/>
              <w:jc w:val="center"/>
              <w:rPr>
                <w:rFonts w:hint="eastAsia" w:hAnsi="宋体" w:cs="宋体"/>
                <w:color w:val="000000"/>
                <w:spacing w:val="-10"/>
                <w:kern w:val="0"/>
                <w:sz w:val="21"/>
                <w:szCs w:val="21"/>
              </w:rPr>
            </w:pPr>
          </w:p>
        </w:tc>
        <w:tc>
          <w:tcPr>
            <w:tcW w:w="1268" w:type="pct"/>
            <w:vAlign w:val="center"/>
          </w:tcPr>
          <w:p w14:paraId="1F1E172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氧化还原电位mV</w:t>
            </w:r>
          </w:p>
        </w:tc>
        <w:tc>
          <w:tcPr>
            <w:tcW w:w="1210" w:type="pct"/>
            <w:vAlign w:val="center"/>
          </w:tcPr>
          <w:p w14:paraId="58A69C3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225</w:t>
            </w:r>
          </w:p>
        </w:tc>
        <w:tc>
          <w:tcPr>
            <w:tcW w:w="936" w:type="pct"/>
            <w:vAlign w:val="center"/>
          </w:tcPr>
          <w:p w14:paraId="40941E9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222</w:t>
            </w:r>
          </w:p>
        </w:tc>
        <w:tc>
          <w:tcPr>
            <w:tcW w:w="1127" w:type="pct"/>
            <w:vAlign w:val="center"/>
          </w:tcPr>
          <w:p w14:paraId="483796F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221</w:t>
            </w:r>
          </w:p>
        </w:tc>
      </w:tr>
      <w:tr w14:paraId="0BD89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58" w:type="pct"/>
            <w:gridSpan w:val="2"/>
            <w:vMerge w:val="continue"/>
            <w:vAlign w:val="center"/>
          </w:tcPr>
          <w:p w14:paraId="139CA266">
            <w:pPr>
              <w:spacing w:line="0" w:lineRule="atLeast"/>
              <w:jc w:val="center"/>
              <w:rPr>
                <w:rFonts w:hint="eastAsia" w:hAnsi="宋体" w:cs="宋体"/>
                <w:color w:val="000000"/>
                <w:spacing w:val="-10"/>
                <w:kern w:val="0"/>
                <w:sz w:val="21"/>
                <w:szCs w:val="21"/>
              </w:rPr>
            </w:pPr>
          </w:p>
        </w:tc>
        <w:tc>
          <w:tcPr>
            <w:tcW w:w="1268" w:type="pct"/>
            <w:vAlign w:val="center"/>
          </w:tcPr>
          <w:p w14:paraId="4813087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饱和导水率mm/h</w:t>
            </w:r>
          </w:p>
        </w:tc>
        <w:tc>
          <w:tcPr>
            <w:tcW w:w="1210" w:type="pct"/>
            <w:vAlign w:val="center"/>
          </w:tcPr>
          <w:p w14:paraId="35D9172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5.09</w:t>
            </w:r>
          </w:p>
        </w:tc>
        <w:tc>
          <w:tcPr>
            <w:tcW w:w="936" w:type="pct"/>
            <w:vAlign w:val="center"/>
          </w:tcPr>
          <w:p w14:paraId="731D043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5.11</w:t>
            </w:r>
          </w:p>
        </w:tc>
        <w:tc>
          <w:tcPr>
            <w:tcW w:w="1127" w:type="pct"/>
            <w:vAlign w:val="center"/>
          </w:tcPr>
          <w:p w14:paraId="67C68BD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5.05</w:t>
            </w:r>
          </w:p>
        </w:tc>
      </w:tr>
      <w:tr w14:paraId="70C233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58" w:type="pct"/>
            <w:gridSpan w:val="2"/>
            <w:vMerge w:val="continue"/>
            <w:vAlign w:val="center"/>
          </w:tcPr>
          <w:p w14:paraId="03917851">
            <w:pPr>
              <w:spacing w:line="0" w:lineRule="atLeast"/>
              <w:jc w:val="center"/>
              <w:rPr>
                <w:rFonts w:hint="eastAsia" w:hAnsi="宋体" w:cs="宋体"/>
                <w:color w:val="000000"/>
                <w:spacing w:val="-10"/>
                <w:kern w:val="0"/>
                <w:sz w:val="21"/>
                <w:szCs w:val="21"/>
              </w:rPr>
            </w:pPr>
          </w:p>
        </w:tc>
        <w:tc>
          <w:tcPr>
            <w:tcW w:w="1268" w:type="pct"/>
            <w:vAlign w:val="center"/>
          </w:tcPr>
          <w:p w14:paraId="23454F8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土壤容重g/cm</w:t>
            </w:r>
            <w:r>
              <w:rPr>
                <w:rFonts w:hint="eastAsia" w:hAnsi="宋体" w:cs="宋体"/>
                <w:color w:val="000000"/>
                <w:spacing w:val="-10"/>
                <w:kern w:val="0"/>
                <w:sz w:val="21"/>
                <w:szCs w:val="21"/>
                <w:vertAlign w:val="superscript"/>
              </w:rPr>
              <w:t>3</w:t>
            </w:r>
          </w:p>
        </w:tc>
        <w:tc>
          <w:tcPr>
            <w:tcW w:w="1210" w:type="pct"/>
            <w:vAlign w:val="center"/>
          </w:tcPr>
          <w:p w14:paraId="20622C2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1.25</w:t>
            </w:r>
          </w:p>
        </w:tc>
        <w:tc>
          <w:tcPr>
            <w:tcW w:w="936" w:type="pct"/>
            <w:vAlign w:val="center"/>
          </w:tcPr>
          <w:p w14:paraId="4F230F2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1.20</w:t>
            </w:r>
          </w:p>
        </w:tc>
        <w:tc>
          <w:tcPr>
            <w:tcW w:w="1127" w:type="pct"/>
            <w:vAlign w:val="center"/>
          </w:tcPr>
          <w:p w14:paraId="586CFC8C">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1.21</w:t>
            </w:r>
          </w:p>
        </w:tc>
      </w:tr>
      <w:tr w14:paraId="2D9ECD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58" w:type="pct"/>
            <w:gridSpan w:val="2"/>
            <w:vMerge w:val="continue"/>
            <w:vAlign w:val="center"/>
          </w:tcPr>
          <w:p w14:paraId="32B56108">
            <w:pPr>
              <w:spacing w:line="0" w:lineRule="atLeast"/>
              <w:jc w:val="center"/>
              <w:rPr>
                <w:rFonts w:hint="eastAsia" w:hAnsi="宋体" w:cs="宋体"/>
                <w:color w:val="000000"/>
                <w:spacing w:val="-10"/>
                <w:kern w:val="0"/>
                <w:sz w:val="21"/>
                <w:szCs w:val="21"/>
              </w:rPr>
            </w:pPr>
          </w:p>
        </w:tc>
        <w:tc>
          <w:tcPr>
            <w:tcW w:w="1268" w:type="pct"/>
            <w:vAlign w:val="center"/>
          </w:tcPr>
          <w:p w14:paraId="67509C3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孔隙度%</w:t>
            </w:r>
          </w:p>
        </w:tc>
        <w:tc>
          <w:tcPr>
            <w:tcW w:w="1210" w:type="pct"/>
            <w:vAlign w:val="center"/>
          </w:tcPr>
          <w:p w14:paraId="1336203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55</w:t>
            </w:r>
          </w:p>
        </w:tc>
        <w:tc>
          <w:tcPr>
            <w:tcW w:w="936" w:type="pct"/>
            <w:vAlign w:val="center"/>
          </w:tcPr>
          <w:p w14:paraId="36D5A89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54</w:t>
            </w:r>
          </w:p>
        </w:tc>
        <w:tc>
          <w:tcPr>
            <w:tcW w:w="1127" w:type="pct"/>
            <w:vAlign w:val="center"/>
          </w:tcPr>
          <w:p w14:paraId="2FA5932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55</w:t>
            </w:r>
          </w:p>
        </w:tc>
      </w:tr>
    </w:tbl>
    <w:p w14:paraId="3A57C54E">
      <w:pPr>
        <w:pStyle w:val="191"/>
        <w:widowControl w:val="0"/>
        <w:tabs>
          <w:tab w:val="right" w:leader="dot" w:pos="8959"/>
        </w:tabs>
        <w:spacing w:before="240" w:line="480" w:lineRule="exact"/>
        <w:ind w:leftChars="0"/>
        <w:outlineLvl w:val="2"/>
        <w:rPr>
          <w:rFonts w:hint="eastAsia" w:ascii="宋体" w:hAnsi="宋体" w:cs="宋体"/>
          <w:color w:val="000000"/>
          <w:spacing w:val="5"/>
          <w:sz w:val="24"/>
          <w:szCs w:val="24"/>
        </w:rPr>
      </w:pPr>
      <w:r>
        <w:rPr>
          <w:rFonts w:hint="eastAsia" w:ascii="宋体" w:hAnsi="宋体" w:cs="宋体"/>
          <w:color w:val="000000"/>
          <w:spacing w:val="5"/>
          <w:sz w:val="24"/>
          <w:szCs w:val="24"/>
        </w:rPr>
        <w:t>4.5.3 土壤环境现状监测</w:t>
      </w:r>
    </w:p>
    <w:p w14:paraId="7972F160">
      <w:pPr>
        <w:spacing w:line="480" w:lineRule="exact"/>
        <w:ind w:firstLine="526" w:firstLineChars="200"/>
        <w:rPr>
          <w:rFonts w:hAnsi="宋体"/>
          <w:color w:val="000000"/>
          <w:szCs w:val="24"/>
        </w:rPr>
      </w:pPr>
      <w:r>
        <w:rPr>
          <w:rFonts w:hint="eastAsia" w:hAnsi="宋体"/>
          <w:color w:val="000000"/>
          <w:szCs w:val="24"/>
        </w:rPr>
        <w:t>（1）监测点位</w:t>
      </w:r>
    </w:p>
    <w:p w14:paraId="4AB81C2A">
      <w:pPr>
        <w:spacing w:line="480" w:lineRule="exact"/>
        <w:ind w:firstLine="526" w:firstLineChars="200"/>
        <w:rPr>
          <w:rFonts w:hAnsi="宋体"/>
          <w:color w:val="000000"/>
          <w:szCs w:val="24"/>
        </w:rPr>
      </w:pPr>
      <w:r>
        <w:rPr>
          <w:rFonts w:hint="eastAsia" w:hAnsi="宋体"/>
          <w:color w:val="000000"/>
          <w:szCs w:val="24"/>
        </w:rPr>
        <w:t>根据《环境影响评价技术导则 土壤环境（试行）》（HJ964-2018）和《环境影响评价技术导则 陆地石油天然气开发建设项目》（</w:t>
      </w:r>
      <w:r>
        <w:rPr>
          <w:rFonts w:hAnsi="宋体"/>
          <w:color w:val="000000"/>
          <w:szCs w:val="24"/>
        </w:rPr>
        <w:t>HJ349-20</w:t>
      </w:r>
      <w:r>
        <w:rPr>
          <w:rFonts w:hint="eastAsia" w:hAnsi="宋体"/>
          <w:color w:val="000000"/>
          <w:szCs w:val="24"/>
        </w:rPr>
        <w:t>23）以及区域历史监测数据，项目所在区域土壤盐分含量≤2</w:t>
      </w:r>
      <w:r>
        <w:rPr>
          <w:rFonts w:hint="eastAsia" w:hAnsi="宋体" w:cs="宋体"/>
          <w:color w:val="000000"/>
          <w:szCs w:val="24"/>
        </w:rPr>
        <w:t>g/kg，区域5.5＜pH＜8.5，</w:t>
      </w:r>
      <w:r>
        <w:rPr>
          <w:rFonts w:hint="eastAsia" w:hAnsi="宋体" w:cs="宋体"/>
          <w:color w:val="000000"/>
        </w:rPr>
        <w:t>不属于土壤盐化、酸化和碱化地区，</w:t>
      </w:r>
      <w:r>
        <w:rPr>
          <w:rFonts w:hint="eastAsia" w:hAnsi="宋体"/>
          <w:color w:val="000000"/>
          <w:szCs w:val="24"/>
        </w:rPr>
        <w:t>拟建工程类别按照污染影响型项目考虑</w:t>
      </w:r>
      <w:r>
        <w:rPr>
          <w:rFonts w:hint="eastAsia" w:hAnsi="宋体" w:cs="宋体"/>
          <w:color w:val="000000"/>
          <w:szCs w:val="24"/>
        </w:rPr>
        <w:t>。</w:t>
      </w:r>
    </w:p>
    <w:p w14:paraId="567FE936">
      <w:pPr>
        <w:spacing w:line="480" w:lineRule="exact"/>
        <w:ind w:firstLine="526" w:firstLineChars="200"/>
        <w:rPr>
          <w:rFonts w:hAnsi="宋体"/>
          <w:color w:val="000000"/>
          <w:szCs w:val="24"/>
        </w:rPr>
      </w:pPr>
      <w:r>
        <w:rPr>
          <w:rFonts w:hint="eastAsia" w:hAnsi="宋体"/>
          <w:color w:val="000000"/>
          <w:szCs w:val="24"/>
        </w:rPr>
        <w:t>（2）监测项目</w:t>
      </w:r>
    </w:p>
    <w:p w14:paraId="3D6C328A">
      <w:pPr>
        <w:spacing w:line="480" w:lineRule="exact"/>
        <w:ind w:firstLine="526" w:firstLineChars="200"/>
        <w:rPr>
          <w:rFonts w:hAnsi="宋体"/>
          <w:color w:val="000000"/>
          <w:szCs w:val="24"/>
        </w:rPr>
      </w:pPr>
      <w:r>
        <w:rPr>
          <w:rFonts w:hint="eastAsia" w:hAnsi="宋体"/>
          <w:color w:val="000000"/>
          <w:szCs w:val="24"/>
        </w:rPr>
        <w:t>各监测点主要监测因子见表4.5-2。</w:t>
      </w:r>
    </w:p>
    <w:p w14:paraId="0A1ACAF5">
      <w:pPr>
        <w:spacing w:line="480" w:lineRule="exact"/>
        <w:ind w:firstLine="526" w:firstLineChars="200"/>
        <w:rPr>
          <w:rFonts w:hint="eastAsia" w:ascii="黑体" w:hAnsi="宋体" w:eastAsia="黑体" w:cs="黑体"/>
          <w:color w:val="000000"/>
          <w:szCs w:val="24"/>
          <w:lang w:val="zh-CN"/>
        </w:rPr>
      </w:pPr>
      <w:r>
        <w:rPr>
          <w:rFonts w:hint="eastAsia" w:ascii="黑体" w:hAnsi="宋体" w:eastAsia="黑体" w:cs="宋体"/>
          <w:color w:val="000000"/>
          <w:szCs w:val="24"/>
        </w:rPr>
        <w:t xml:space="preserve">表4.5-2        </w:t>
      </w:r>
      <w:r>
        <w:rPr>
          <w:rFonts w:hint="eastAsia" w:ascii="黑体" w:hAnsi="宋体" w:eastAsia="黑体" w:cs="黑体"/>
          <w:color w:val="000000"/>
          <w:szCs w:val="24"/>
          <w:lang w:val="zh-CN"/>
        </w:rPr>
        <w:t>监测点位及监测因子一览表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79"/>
        <w:gridCol w:w="460"/>
        <w:gridCol w:w="2188"/>
        <w:gridCol w:w="1077"/>
        <w:gridCol w:w="4811"/>
      </w:tblGrid>
      <w:tr w14:paraId="47C64F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7" w:hRule="atLeast"/>
          <w:jc w:val="center"/>
        </w:trPr>
        <w:tc>
          <w:tcPr>
            <w:tcW w:w="266" w:type="pct"/>
            <w:vAlign w:val="center"/>
          </w:tcPr>
          <w:p w14:paraId="24FE7195">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分类</w:t>
            </w:r>
          </w:p>
        </w:tc>
        <w:tc>
          <w:tcPr>
            <w:tcW w:w="255" w:type="pct"/>
            <w:vAlign w:val="center"/>
          </w:tcPr>
          <w:p w14:paraId="3FC98F13">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序号</w:t>
            </w:r>
          </w:p>
        </w:tc>
        <w:tc>
          <w:tcPr>
            <w:tcW w:w="1213" w:type="pct"/>
            <w:vAlign w:val="center"/>
          </w:tcPr>
          <w:p w14:paraId="237ADAC4">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采样区名称</w:t>
            </w:r>
          </w:p>
        </w:tc>
        <w:tc>
          <w:tcPr>
            <w:tcW w:w="597" w:type="pct"/>
            <w:vAlign w:val="center"/>
          </w:tcPr>
          <w:p w14:paraId="0542338C">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采样层位</w:t>
            </w:r>
          </w:p>
        </w:tc>
        <w:tc>
          <w:tcPr>
            <w:tcW w:w="2667" w:type="pct"/>
            <w:vAlign w:val="center"/>
          </w:tcPr>
          <w:p w14:paraId="124907FA">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监测因子</w:t>
            </w:r>
          </w:p>
        </w:tc>
      </w:tr>
      <w:tr w14:paraId="6923AC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55" w:hRule="atLeast"/>
          <w:jc w:val="center"/>
        </w:trPr>
        <w:tc>
          <w:tcPr>
            <w:tcW w:w="266" w:type="pct"/>
            <w:vMerge w:val="restart"/>
            <w:vAlign w:val="center"/>
          </w:tcPr>
          <w:p w14:paraId="27DD2D6F">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占地范围内</w:t>
            </w:r>
          </w:p>
        </w:tc>
        <w:tc>
          <w:tcPr>
            <w:tcW w:w="255" w:type="pct"/>
            <w:vAlign w:val="center"/>
          </w:tcPr>
          <w:p w14:paraId="638EF565">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1</w:t>
            </w:r>
          </w:p>
        </w:tc>
        <w:tc>
          <w:tcPr>
            <w:tcW w:w="1213" w:type="pct"/>
            <w:vAlign w:val="center"/>
          </w:tcPr>
          <w:p w14:paraId="7078C47F">
            <w:pPr>
              <w:spacing w:line="0" w:lineRule="atLeast"/>
              <w:jc w:val="center"/>
              <w:rPr>
                <w:rFonts w:hAnsi="宋体" w:cs="宋体"/>
                <w:color w:val="000000"/>
                <w:spacing w:val="-20"/>
                <w:sz w:val="21"/>
                <w:szCs w:val="21"/>
              </w:rPr>
            </w:pPr>
            <w:r>
              <w:rPr>
                <w:rFonts w:hAnsi="宋体" w:cs="宋体"/>
                <w:color w:val="000000"/>
                <w:spacing w:val="-20"/>
                <w:sz w:val="21"/>
                <w:szCs w:val="21"/>
              </w:rPr>
              <w:t>塔三联管线接口处</w:t>
            </w:r>
          </w:p>
        </w:tc>
        <w:tc>
          <w:tcPr>
            <w:tcW w:w="597" w:type="pct"/>
            <w:vAlign w:val="center"/>
          </w:tcPr>
          <w:p w14:paraId="0906A94D">
            <w:pPr>
              <w:spacing w:line="300" w:lineRule="exact"/>
              <w:jc w:val="center"/>
              <w:rPr>
                <w:rFonts w:hint="eastAsia" w:hAnsi="宋体" w:cs="宋体"/>
                <w:color w:val="000000"/>
                <w:spacing w:val="-20"/>
                <w:sz w:val="21"/>
                <w:szCs w:val="21"/>
              </w:rPr>
            </w:pPr>
            <w:r>
              <w:rPr>
                <w:rFonts w:hint="eastAsia" w:hAnsi="宋体" w:cs="宋体"/>
                <w:color w:val="000000"/>
                <w:spacing w:val="-10"/>
                <w:sz w:val="21"/>
                <w:szCs w:val="21"/>
              </w:rPr>
              <w:t>表层样</w:t>
            </w:r>
          </w:p>
        </w:tc>
        <w:tc>
          <w:tcPr>
            <w:tcW w:w="2667" w:type="pct"/>
            <w:vAlign w:val="center"/>
          </w:tcPr>
          <w:p w14:paraId="562238A8">
            <w:pPr>
              <w:spacing w:line="300" w:lineRule="exact"/>
              <w:jc w:val="center"/>
              <w:rPr>
                <w:rFonts w:hint="eastAsia" w:hAnsi="宋体" w:cs="宋体"/>
                <w:color w:val="000000"/>
                <w:spacing w:val="-20"/>
                <w:sz w:val="21"/>
                <w:szCs w:val="21"/>
              </w:rPr>
            </w:pPr>
            <w:r>
              <w:rPr>
                <w:rFonts w:hint="eastAsia" w:hAnsi="宋体" w:cs="宋体"/>
                <w:color w:val="000000"/>
                <w:spacing w:val="-10"/>
                <w:sz w:val="21"/>
                <w:szCs w:val="21"/>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pH、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）、全盐量</w:t>
            </w:r>
          </w:p>
        </w:tc>
      </w:tr>
      <w:tr w14:paraId="21C08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vAlign w:val="center"/>
          </w:tcPr>
          <w:p w14:paraId="0BDD2E35">
            <w:pPr>
              <w:spacing w:line="0" w:lineRule="atLeast"/>
              <w:jc w:val="center"/>
              <w:rPr>
                <w:rFonts w:hint="eastAsia" w:hAnsi="宋体" w:cs="宋体"/>
                <w:color w:val="000000"/>
                <w:spacing w:val="-20"/>
                <w:sz w:val="21"/>
                <w:szCs w:val="21"/>
              </w:rPr>
            </w:pPr>
          </w:p>
        </w:tc>
        <w:tc>
          <w:tcPr>
            <w:tcW w:w="255" w:type="pct"/>
            <w:vAlign w:val="center"/>
          </w:tcPr>
          <w:p w14:paraId="66E2A2D9">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2</w:t>
            </w:r>
          </w:p>
        </w:tc>
        <w:tc>
          <w:tcPr>
            <w:tcW w:w="1213" w:type="pct"/>
            <w:vAlign w:val="center"/>
          </w:tcPr>
          <w:p w14:paraId="1F096673">
            <w:pPr>
              <w:spacing w:line="0" w:lineRule="atLeast"/>
              <w:jc w:val="center"/>
              <w:rPr>
                <w:rFonts w:hAnsi="宋体" w:cs="宋体"/>
                <w:color w:val="000000"/>
                <w:spacing w:val="-20"/>
                <w:sz w:val="21"/>
                <w:szCs w:val="21"/>
              </w:rPr>
            </w:pPr>
            <w:r>
              <w:rPr>
                <w:rFonts w:hAnsi="宋体" w:cs="宋体"/>
                <w:color w:val="000000"/>
                <w:spacing w:val="-20"/>
                <w:sz w:val="21"/>
                <w:szCs w:val="21"/>
              </w:rPr>
              <w:t>2#集气站管线接口处</w:t>
            </w:r>
          </w:p>
        </w:tc>
        <w:tc>
          <w:tcPr>
            <w:tcW w:w="597" w:type="pct"/>
            <w:vAlign w:val="center"/>
          </w:tcPr>
          <w:p w14:paraId="4E82A8C6">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表层样</w:t>
            </w:r>
          </w:p>
        </w:tc>
        <w:tc>
          <w:tcPr>
            <w:tcW w:w="2667" w:type="pct"/>
            <w:vAlign w:val="center"/>
          </w:tcPr>
          <w:p w14:paraId="5DD2C404">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r>
      <w:tr w14:paraId="7F52F0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vAlign w:val="center"/>
          </w:tcPr>
          <w:p w14:paraId="61401E9E">
            <w:pPr>
              <w:spacing w:line="0" w:lineRule="atLeast"/>
              <w:jc w:val="center"/>
              <w:rPr>
                <w:rFonts w:hint="eastAsia" w:hAnsi="宋体" w:cs="宋体"/>
                <w:color w:val="000000"/>
                <w:spacing w:val="-20"/>
                <w:sz w:val="21"/>
                <w:szCs w:val="21"/>
              </w:rPr>
            </w:pPr>
          </w:p>
        </w:tc>
        <w:tc>
          <w:tcPr>
            <w:tcW w:w="255" w:type="pct"/>
            <w:vAlign w:val="center"/>
          </w:tcPr>
          <w:p w14:paraId="70C865DE">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3</w:t>
            </w:r>
          </w:p>
        </w:tc>
        <w:tc>
          <w:tcPr>
            <w:tcW w:w="1213" w:type="pct"/>
            <w:vAlign w:val="center"/>
          </w:tcPr>
          <w:p w14:paraId="58DFA857">
            <w:pPr>
              <w:spacing w:line="0" w:lineRule="atLeast"/>
              <w:jc w:val="center"/>
              <w:rPr>
                <w:rFonts w:hAnsi="宋体" w:cs="宋体"/>
                <w:color w:val="000000"/>
                <w:spacing w:val="-10"/>
                <w:kern w:val="0"/>
                <w:sz w:val="21"/>
                <w:szCs w:val="21"/>
              </w:rPr>
            </w:pPr>
            <w:r>
              <w:rPr>
                <w:rFonts w:hAnsi="宋体" w:cs="宋体"/>
                <w:color w:val="000000"/>
                <w:spacing w:val="-10"/>
                <w:kern w:val="0"/>
                <w:sz w:val="21"/>
                <w:szCs w:val="21"/>
              </w:rPr>
              <w:t>5#集气站管线接口处</w:t>
            </w:r>
          </w:p>
        </w:tc>
        <w:tc>
          <w:tcPr>
            <w:tcW w:w="597" w:type="pct"/>
            <w:vAlign w:val="center"/>
          </w:tcPr>
          <w:p w14:paraId="48E02AF5">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表层样</w:t>
            </w:r>
          </w:p>
        </w:tc>
        <w:tc>
          <w:tcPr>
            <w:tcW w:w="2667" w:type="pct"/>
            <w:vAlign w:val="center"/>
          </w:tcPr>
          <w:p w14:paraId="7166243C">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r>
      <w:tr w14:paraId="4802DA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vAlign w:val="center"/>
          </w:tcPr>
          <w:p w14:paraId="0985F142">
            <w:pPr>
              <w:spacing w:line="0" w:lineRule="atLeast"/>
              <w:jc w:val="center"/>
              <w:rPr>
                <w:rFonts w:hint="eastAsia" w:hAnsi="宋体" w:cs="宋体"/>
                <w:color w:val="000000"/>
                <w:spacing w:val="-20"/>
                <w:sz w:val="21"/>
                <w:szCs w:val="21"/>
              </w:rPr>
            </w:pPr>
          </w:p>
        </w:tc>
        <w:tc>
          <w:tcPr>
            <w:tcW w:w="255" w:type="pct"/>
            <w:vAlign w:val="center"/>
          </w:tcPr>
          <w:p w14:paraId="21E6C51F">
            <w:pPr>
              <w:spacing w:line="0" w:lineRule="atLeast"/>
              <w:jc w:val="center"/>
              <w:rPr>
                <w:rFonts w:hint="eastAsia" w:hAnsi="宋体" w:cs="宋体"/>
                <w:color w:val="000000"/>
                <w:spacing w:val="-20"/>
                <w:sz w:val="21"/>
                <w:szCs w:val="21"/>
              </w:rPr>
            </w:pPr>
            <w:r>
              <w:rPr>
                <w:rFonts w:hint="eastAsia" w:hAnsi="宋体" w:cs="宋体"/>
                <w:color w:val="000000"/>
                <w:spacing w:val="-20"/>
                <w:sz w:val="21"/>
                <w:szCs w:val="21"/>
              </w:rPr>
              <w:t>4</w:t>
            </w:r>
          </w:p>
        </w:tc>
        <w:tc>
          <w:tcPr>
            <w:tcW w:w="1213" w:type="pct"/>
            <w:vAlign w:val="center"/>
          </w:tcPr>
          <w:p w14:paraId="3730985B">
            <w:pPr>
              <w:spacing w:line="0" w:lineRule="atLeast"/>
              <w:jc w:val="center"/>
              <w:rPr>
                <w:rFonts w:hAnsi="宋体" w:cs="宋体"/>
                <w:color w:val="000000"/>
                <w:spacing w:val="-10"/>
                <w:kern w:val="0"/>
                <w:sz w:val="21"/>
                <w:szCs w:val="21"/>
              </w:rPr>
            </w:pPr>
            <w:r>
              <w:rPr>
                <w:rFonts w:hAnsi="宋体" w:cs="宋体"/>
                <w:color w:val="000000"/>
                <w:spacing w:val="-10"/>
                <w:kern w:val="0"/>
                <w:sz w:val="21"/>
                <w:szCs w:val="21"/>
              </w:rPr>
              <w:t>ZG8-9井管线接口处</w:t>
            </w:r>
          </w:p>
        </w:tc>
        <w:tc>
          <w:tcPr>
            <w:tcW w:w="597" w:type="pct"/>
            <w:vAlign w:val="center"/>
          </w:tcPr>
          <w:p w14:paraId="3FAC3555">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表层样</w:t>
            </w:r>
          </w:p>
        </w:tc>
        <w:tc>
          <w:tcPr>
            <w:tcW w:w="2667" w:type="pct"/>
            <w:vAlign w:val="center"/>
          </w:tcPr>
          <w:p w14:paraId="0E736E33">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r>
    </w:tbl>
    <w:p w14:paraId="302D1E2D">
      <w:pPr>
        <w:spacing w:before="120" w:line="500" w:lineRule="exact"/>
        <w:ind w:firstLine="526" w:firstLineChars="200"/>
        <w:rPr>
          <w:rFonts w:hAnsi="宋体" w:cs="宋体"/>
          <w:color w:val="000000"/>
          <w:szCs w:val="24"/>
        </w:rPr>
      </w:pPr>
      <w:r>
        <w:rPr>
          <w:rFonts w:hint="eastAsia" w:hAnsi="宋体" w:cs="宋体"/>
          <w:color w:val="000000"/>
          <w:szCs w:val="24"/>
        </w:rPr>
        <w:t>（3）监测时间及频率</w:t>
      </w:r>
    </w:p>
    <w:p w14:paraId="008F382E">
      <w:pPr>
        <w:spacing w:line="500" w:lineRule="exact"/>
        <w:ind w:firstLine="526" w:firstLineChars="200"/>
        <w:rPr>
          <w:rFonts w:hAnsi="宋体" w:cs="宋体"/>
          <w:color w:val="000000"/>
          <w:szCs w:val="24"/>
        </w:rPr>
      </w:pPr>
      <w:r>
        <w:rPr>
          <w:rFonts w:hint="eastAsia" w:hAnsi="宋体"/>
          <w:color w:val="000000"/>
          <w:szCs w:val="24"/>
        </w:rPr>
        <w:t>监测时间为</w:t>
      </w:r>
      <w:r>
        <w:rPr>
          <w:rFonts w:hint="eastAsia" w:hAnsi="宋体" w:cs="宋体"/>
          <w:color w:val="000000"/>
          <w:kern w:val="0"/>
          <w:szCs w:val="24"/>
        </w:rPr>
        <w:t>2026年5月6日</w:t>
      </w:r>
      <w:r>
        <w:rPr>
          <w:rFonts w:hint="eastAsia" w:hAnsi="宋体"/>
          <w:color w:val="000000"/>
          <w:szCs w:val="24"/>
        </w:rPr>
        <w:t>，采样一次</w:t>
      </w:r>
      <w:r>
        <w:rPr>
          <w:rFonts w:hint="eastAsia" w:hAnsi="宋体" w:cs="宋体"/>
          <w:color w:val="000000"/>
          <w:szCs w:val="24"/>
        </w:rPr>
        <w:t>。</w:t>
      </w:r>
    </w:p>
    <w:p w14:paraId="028D3967">
      <w:pPr>
        <w:spacing w:line="500" w:lineRule="exact"/>
        <w:ind w:firstLine="526" w:firstLineChars="200"/>
        <w:rPr>
          <w:rFonts w:hAnsi="宋体" w:cs="宋体"/>
          <w:color w:val="000000"/>
          <w:szCs w:val="24"/>
        </w:rPr>
      </w:pPr>
      <w:r>
        <w:rPr>
          <w:rFonts w:hint="eastAsia" w:hAnsi="宋体" w:cs="宋体"/>
          <w:color w:val="000000"/>
          <w:szCs w:val="24"/>
        </w:rPr>
        <w:t>（4）采样方法</w:t>
      </w:r>
    </w:p>
    <w:p w14:paraId="0ADA64A2">
      <w:pPr>
        <w:spacing w:line="500" w:lineRule="exact"/>
        <w:ind w:firstLine="526" w:firstLineChars="200"/>
        <w:rPr>
          <w:rFonts w:hAnsi="宋体" w:cs="宋体"/>
          <w:color w:val="000000"/>
          <w:szCs w:val="24"/>
        </w:rPr>
      </w:pPr>
      <w:r>
        <w:rPr>
          <w:rFonts w:hint="eastAsia" w:hAnsi="宋体" w:cs="宋体"/>
          <w:color w:val="000000"/>
          <w:szCs w:val="24"/>
        </w:rPr>
        <w:t>表层样采集表层样0.2m。</w:t>
      </w:r>
    </w:p>
    <w:p w14:paraId="246F2B66">
      <w:pPr>
        <w:spacing w:line="500" w:lineRule="exact"/>
        <w:ind w:firstLine="526" w:firstLineChars="200"/>
        <w:rPr>
          <w:rFonts w:hAnsi="宋体" w:cs="宋体"/>
          <w:color w:val="000000"/>
          <w:szCs w:val="24"/>
        </w:rPr>
      </w:pPr>
      <w:r>
        <w:rPr>
          <w:rFonts w:hint="eastAsia" w:hAnsi="宋体" w:cs="宋体"/>
          <w:color w:val="000000"/>
          <w:szCs w:val="24"/>
        </w:rPr>
        <w:t>（5）监测及分析方法</w:t>
      </w:r>
    </w:p>
    <w:p w14:paraId="45EA10CA">
      <w:pPr>
        <w:spacing w:line="500" w:lineRule="exact"/>
        <w:ind w:firstLine="526" w:firstLineChars="200"/>
        <w:rPr>
          <w:rFonts w:hAnsi="宋体" w:cs="宋体"/>
          <w:color w:val="000000"/>
          <w:szCs w:val="24"/>
        </w:rPr>
      </w:pPr>
      <w:r>
        <w:rPr>
          <w:rFonts w:hint="eastAsia" w:hAnsi="宋体" w:cs="宋体"/>
          <w:color w:val="000000"/>
          <w:szCs w:val="24"/>
        </w:rPr>
        <w:t>土壤监测方法参照《土壤环境监测技术规范》（HJ/T166-2004）、《建设用地土壤污染状况调查技术导则》（HJ25.1-2019）、《建设用地土壤污染风险管控和修复监测技术导则》（HJ25.2-2019）要求进行。分析方法参照《土壤环境质量 建设用地土壤污染风险管控标准（试行）》（GB36600-2018）中有关要求进行。</w:t>
      </w:r>
    </w:p>
    <w:p w14:paraId="0F0BE882">
      <w:pPr>
        <w:spacing w:line="500" w:lineRule="exact"/>
        <w:ind w:firstLine="526" w:firstLineChars="200"/>
        <w:rPr>
          <w:rFonts w:hAnsi="宋体" w:cs="宋体"/>
          <w:color w:val="000000"/>
          <w:szCs w:val="24"/>
        </w:rPr>
      </w:pPr>
      <w:r>
        <w:rPr>
          <w:rFonts w:hint="eastAsia" w:hAnsi="宋体" w:cs="宋体"/>
          <w:color w:val="000000"/>
          <w:szCs w:val="24"/>
        </w:rPr>
        <w:t>检测分析方法及检出限见表4.5-3。</w:t>
      </w:r>
    </w:p>
    <w:p w14:paraId="6CEBBF9E">
      <w:pPr>
        <w:pStyle w:val="100"/>
        <w:tabs>
          <w:tab w:val="left" w:pos="0"/>
        </w:tabs>
        <w:snapToGrid/>
        <w:spacing w:after="0" w:line="500" w:lineRule="exact"/>
        <w:ind w:firstLine="526" w:firstLineChars="200"/>
        <w:jc w:val="both"/>
        <w:rPr>
          <w:rFonts w:ascii="黑体"/>
          <w:b w:val="0"/>
          <w:bCs w:val="0"/>
          <w:color w:val="000000"/>
          <w:spacing w:val="5"/>
          <w:kern w:val="2"/>
          <w:szCs w:val="24"/>
          <w:lang w:val="zh-CN"/>
        </w:rPr>
      </w:pPr>
      <w:r>
        <w:rPr>
          <w:rFonts w:hint="eastAsia" w:ascii="黑体"/>
          <w:b w:val="0"/>
          <w:bCs w:val="0"/>
          <w:color w:val="000000"/>
          <w:spacing w:val="5"/>
          <w:kern w:val="2"/>
          <w:szCs w:val="24"/>
        </w:rPr>
        <w:t xml:space="preserve">表4.5-3   </w:t>
      </w:r>
      <w:r>
        <w:rPr>
          <w:rFonts w:hint="eastAsia" w:ascii="黑体" w:cs="黑体"/>
          <w:b w:val="0"/>
          <w:bCs w:val="0"/>
          <w:color w:val="000000"/>
          <w:spacing w:val="5"/>
          <w:kern w:val="2"/>
          <w:szCs w:val="24"/>
          <w:lang w:val="zh-CN"/>
        </w:rPr>
        <w:t>土壤环境监测项目、分析方法及依据一览表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9"/>
        <w:gridCol w:w="519"/>
        <w:gridCol w:w="1567"/>
        <w:gridCol w:w="3414"/>
        <w:gridCol w:w="1581"/>
        <w:gridCol w:w="1595"/>
      </w:tblGrid>
      <w:tr w14:paraId="5BBB01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39" w:type="dxa"/>
            <w:noWrap/>
            <w:tcMar>
              <w:left w:w="28" w:type="dxa"/>
              <w:right w:w="28" w:type="dxa"/>
            </w:tcMar>
            <w:vAlign w:val="center"/>
          </w:tcPr>
          <w:p w14:paraId="6961B30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519" w:type="dxa"/>
            <w:noWrap/>
            <w:tcMar>
              <w:left w:w="28" w:type="dxa"/>
              <w:right w:w="28" w:type="dxa"/>
            </w:tcMar>
            <w:vAlign w:val="center"/>
          </w:tcPr>
          <w:p w14:paraId="3A23EE1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1567" w:type="dxa"/>
            <w:noWrap/>
            <w:tcMar>
              <w:left w:w="28" w:type="dxa"/>
              <w:right w:w="28" w:type="dxa"/>
            </w:tcMar>
            <w:vAlign w:val="center"/>
          </w:tcPr>
          <w:p w14:paraId="0EA6F21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检测项目</w:t>
            </w:r>
          </w:p>
        </w:tc>
        <w:tc>
          <w:tcPr>
            <w:tcW w:w="3414" w:type="dxa"/>
            <w:noWrap/>
            <w:tcMar>
              <w:left w:w="28" w:type="dxa"/>
              <w:right w:w="28" w:type="dxa"/>
            </w:tcMar>
            <w:vAlign w:val="center"/>
          </w:tcPr>
          <w:p w14:paraId="6069F08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检测方法</w:t>
            </w:r>
          </w:p>
        </w:tc>
        <w:tc>
          <w:tcPr>
            <w:tcW w:w="1581" w:type="dxa"/>
            <w:noWrap/>
            <w:tcMar>
              <w:left w:w="28" w:type="dxa"/>
              <w:right w:w="28" w:type="dxa"/>
            </w:tcMar>
            <w:vAlign w:val="center"/>
          </w:tcPr>
          <w:p w14:paraId="6E13C38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主要仪器型号、</w:t>
            </w:r>
          </w:p>
          <w:p w14:paraId="2FF9926E">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1595" w:type="dxa"/>
            <w:noWrap/>
            <w:tcMar>
              <w:left w:w="28" w:type="dxa"/>
              <w:right w:w="28" w:type="dxa"/>
            </w:tcMar>
            <w:vAlign w:val="center"/>
          </w:tcPr>
          <w:p w14:paraId="0FB1336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检出限/最低检出浓度</w:t>
            </w:r>
          </w:p>
        </w:tc>
      </w:tr>
      <w:tr w14:paraId="629AE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9" w:type="dxa"/>
            <w:noWrap/>
            <w:tcMar>
              <w:left w:w="28" w:type="dxa"/>
              <w:right w:w="28" w:type="dxa"/>
            </w:tcMar>
            <w:vAlign w:val="center"/>
          </w:tcPr>
          <w:p w14:paraId="04A915D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519" w:type="dxa"/>
            <w:noWrap/>
            <w:tcMar>
              <w:left w:w="28" w:type="dxa"/>
              <w:right w:w="28" w:type="dxa"/>
            </w:tcMar>
            <w:vAlign w:val="center"/>
          </w:tcPr>
          <w:p w14:paraId="2A221C5A">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w:t>
            </w:r>
          </w:p>
        </w:tc>
        <w:tc>
          <w:tcPr>
            <w:tcW w:w="1567" w:type="dxa"/>
            <w:noWrap/>
            <w:tcMar>
              <w:left w:w="28" w:type="dxa"/>
              <w:right w:w="28" w:type="dxa"/>
            </w:tcMar>
            <w:vAlign w:val="center"/>
          </w:tcPr>
          <w:p w14:paraId="76B5FCFA">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砷</w:t>
            </w:r>
          </w:p>
        </w:tc>
        <w:tc>
          <w:tcPr>
            <w:tcW w:w="3414" w:type="dxa"/>
            <w:noWrap/>
            <w:tcMar>
              <w:left w:w="28" w:type="dxa"/>
              <w:right w:w="28" w:type="dxa"/>
            </w:tcMar>
            <w:vAlign w:val="center"/>
          </w:tcPr>
          <w:p w14:paraId="2A9F5EF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汞、砷、硒、铋、锑的测定 微波消解/原子荧光法》</w:t>
            </w:r>
          </w:p>
          <w:p w14:paraId="6A055D8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680-2013）</w:t>
            </w:r>
          </w:p>
        </w:tc>
        <w:tc>
          <w:tcPr>
            <w:tcW w:w="1581" w:type="dxa"/>
            <w:noWrap/>
            <w:tcMar>
              <w:left w:w="28" w:type="dxa"/>
              <w:right w:w="28" w:type="dxa"/>
            </w:tcMar>
            <w:vAlign w:val="center"/>
          </w:tcPr>
          <w:p w14:paraId="44407A2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AFS-8520</w:t>
            </w:r>
          </w:p>
          <w:p w14:paraId="4B932A0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原子荧光光度计</w:t>
            </w:r>
          </w:p>
        </w:tc>
        <w:tc>
          <w:tcPr>
            <w:tcW w:w="1595" w:type="dxa"/>
            <w:noWrap/>
            <w:tcMar>
              <w:left w:w="28" w:type="dxa"/>
              <w:right w:w="28" w:type="dxa"/>
            </w:tcMar>
            <w:vAlign w:val="center"/>
          </w:tcPr>
          <w:p w14:paraId="2E39688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0.01 mg/kg</w:t>
            </w:r>
          </w:p>
        </w:tc>
      </w:tr>
    </w:tbl>
    <w:p w14:paraId="3F18B742">
      <w:pPr>
        <w:pStyle w:val="100"/>
        <w:tabs>
          <w:tab w:val="left" w:pos="0"/>
        </w:tabs>
        <w:snapToGrid/>
        <w:spacing w:after="0" w:line="500" w:lineRule="exact"/>
        <w:ind w:firstLine="506" w:firstLineChars="200"/>
        <w:jc w:val="both"/>
        <w:rPr>
          <w:rFonts w:ascii="黑体"/>
          <w:b w:val="0"/>
          <w:bCs w:val="0"/>
          <w:color w:val="000000"/>
          <w:spacing w:val="5"/>
          <w:kern w:val="2"/>
          <w:szCs w:val="24"/>
          <w:lang w:val="zh-CN"/>
        </w:rPr>
      </w:pPr>
      <w:r>
        <w:br w:type="page"/>
      </w:r>
      <w:r>
        <w:rPr>
          <w:rFonts w:hint="eastAsia"/>
          <w:b w:val="0"/>
        </w:rPr>
        <w:t>续</w:t>
      </w:r>
      <w:r>
        <w:rPr>
          <w:rFonts w:hint="eastAsia" w:ascii="黑体"/>
          <w:b w:val="0"/>
          <w:bCs w:val="0"/>
          <w:color w:val="000000"/>
          <w:spacing w:val="5"/>
          <w:kern w:val="2"/>
          <w:szCs w:val="24"/>
        </w:rPr>
        <w:t xml:space="preserve">表4.5-3   </w:t>
      </w:r>
      <w:r>
        <w:rPr>
          <w:rFonts w:hint="eastAsia" w:ascii="黑体" w:cs="黑体"/>
          <w:b w:val="0"/>
          <w:bCs w:val="0"/>
          <w:color w:val="000000"/>
          <w:spacing w:val="5"/>
          <w:kern w:val="2"/>
          <w:szCs w:val="24"/>
          <w:lang w:val="zh-CN"/>
        </w:rPr>
        <w:t>土壤环境监测项目、分析方法及依据一览表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8"/>
        <w:gridCol w:w="520"/>
        <w:gridCol w:w="565"/>
        <w:gridCol w:w="1006"/>
        <w:gridCol w:w="3410"/>
        <w:gridCol w:w="1583"/>
        <w:gridCol w:w="1593"/>
      </w:tblGrid>
      <w:tr w14:paraId="04AF9D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38" w:type="dxa"/>
            <w:noWrap/>
            <w:tcMar>
              <w:left w:w="28" w:type="dxa"/>
              <w:right w:w="28" w:type="dxa"/>
            </w:tcMar>
            <w:vAlign w:val="center"/>
          </w:tcPr>
          <w:p w14:paraId="0EDF77A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520" w:type="dxa"/>
            <w:noWrap/>
            <w:tcMar>
              <w:left w:w="28" w:type="dxa"/>
              <w:right w:w="28" w:type="dxa"/>
            </w:tcMar>
            <w:vAlign w:val="center"/>
          </w:tcPr>
          <w:p w14:paraId="14D98A1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1571" w:type="dxa"/>
            <w:gridSpan w:val="2"/>
            <w:noWrap/>
            <w:tcMar>
              <w:left w:w="28" w:type="dxa"/>
              <w:right w:w="28" w:type="dxa"/>
            </w:tcMar>
            <w:vAlign w:val="center"/>
          </w:tcPr>
          <w:p w14:paraId="3AE6F10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检测项目</w:t>
            </w:r>
          </w:p>
        </w:tc>
        <w:tc>
          <w:tcPr>
            <w:tcW w:w="3410" w:type="dxa"/>
            <w:noWrap/>
            <w:tcMar>
              <w:left w:w="28" w:type="dxa"/>
              <w:right w:w="28" w:type="dxa"/>
            </w:tcMar>
            <w:vAlign w:val="center"/>
          </w:tcPr>
          <w:p w14:paraId="2656F6A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检测方法</w:t>
            </w:r>
          </w:p>
        </w:tc>
        <w:tc>
          <w:tcPr>
            <w:tcW w:w="1583" w:type="dxa"/>
            <w:noWrap/>
            <w:tcMar>
              <w:left w:w="28" w:type="dxa"/>
              <w:right w:w="28" w:type="dxa"/>
            </w:tcMar>
            <w:vAlign w:val="center"/>
          </w:tcPr>
          <w:p w14:paraId="26CA8C1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主要仪器型号、</w:t>
            </w:r>
          </w:p>
          <w:p w14:paraId="7A462E1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1593" w:type="dxa"/>
            <w:noWrap/>
            <w:tcMar>
              <w:left w:w="28" w:type="dxa"/>
              <w:right w:w="28" w:type="dxa"/>
            </w:tcMar>
            <w:vAlign w:val="center"/>
          </w:tcPr>
          <w:p w14:paraId="4674258F">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检出限/最低检出浓度</w:t>
            </w:r>
          </w:p>
        </w:tc>
      </w:tr>
      <w:tr w14:paraId="30E5B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AFEFCA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520" w:type="dxa"/>
            <w:vMerge w:val="restart"/>
            <w:noWrap/>
            <w:tcMar>
              <w:left w:w="28" w:type="dxa"/>
              <w:right w:w="28" w:type="dxa"/>
            </w:tcMar>
            <w:vAlign w:val="center"/>
          </w:tcPr>
          <w:p w14:paraId="12D853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w:t>
            </w:r>
          </w:p>
        </w:tc>
        <w:tc>
          <w:tcPr>
            <w:tcW w:w="1571" w:type="dxa"/>
            <w:gridSpan w:val="2"/>
            <w:noWrap/>
            <w:tcMar>
              <w:left w:w="28" w:type="dxa"/>
              <w:right w:w="28" w:type="dxa"/>
            </w:tcMar>
            <w:vAlign w:val="center"/>
          </w:tcPr>
          <w:p w14:paraId="673CA52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镉</w:t>
            </w:r>
          </w:p>
        </w:tc>
        <w:tc>
          <w:tcPr>
            <w:tcW w:w="3410" w:type="dxa"/>
            <w:noWrap/>
            <w:tcMar>
              <w:left w:w="28" w:type="dxa"/>
              <w:right w:w="28" w:type="dxa"/>
            </w:tcMar>
            <w:vAlign w:val="center"/>
          </w:tcPr>
          <w:p w14:paraId="0C10086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《土壤质量 铅、镉的测定 石墨炉原子吸收分光光度法》（GB/T 17141-1997）</w:t>
            </w:r>
          </w:p>
        </w:tc>
        <w:tc>
          <w:tcPr>
            <w:tcW w:w="1583" w:type="dxa"/>
            <w:vMerge w:val="restart"/>
            <w:noWrap/>
            <w:tcMar>
              <w:left w:w="28" w:type="dxa"/>
              <w:right w:w="28" w:type="dxa"/>
            </w:tcMar>
            <w:vAlign w:val="center"/>
          </w:tcPr>
          <w:p w14:paraId="74C8577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GGX-830原子吸收分光光度计</w:t>
            </w:r>
          </w:p>
        </w:tc>
        <w:tc>
          <w:tcPr>
            <w:tcW w:w="1593" w:type="dxa"/>
            <w:noWrap/>
            <w:tcMar>
              <w:left w:w="28" w:type="dxa"/>
              <w:right w:w="28" w:type="dxa"/>
            </w:tcMar>
            <w:vAlign w:val="center"/>
          </w:tcPr>
          <w:p w14:paraId="4B628B7B">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0.01 mg/kg</w:t>
            </w:r>
          </w:p>
        </w:tc>
      </w:tr>
      <w:tr w14:paraId="00BE6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2D0D19B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520" w:type="dxa"/>
            <w:vMerge w:val="continue"/>
            <w:noWrap/>
            <w:tcMar>
              <w:left w:w="28" w:type="dxa"/>
              <w:right w:w="28" w:type="dxa"/>
            </w:tcMar>
            <w:vAlign w:val="center"/>
          </w:tcPr>
          <w:p w14:paraId="680D19C1">
            <w:pPr>
              <w:spacing w:line="0" w:lineRule="atLeast"/>
              <w:jc w:val="center"/>
              <w:rPr>
                <w:rFonts w:hint="eastAsia" w:hAnsi="宋体" w:cs="宋体"/>
                <w:color w:val="000000"/>
                <w:spacing w:val="-10"/>
                <w:sz w:val="21"/>
                <w:szCs w:val="21"/>
              </w:rPr>
            </w:pPr>
          </w:p>
        </w:tc>
        <w:tc>
          <w:tcPr>
            <w:tcW w:w="1571" w:type="dxa"/>
            <w:gridSpan w:val="2"/>
            <w:noWrap/>
            <w:tcMar>
              <w:left w:w="28" w:type="dxa"/>
              <w:right w:w="28" w:type="dxa"/>
            </w:tcMar>
            <w:vAlign w:val="center"/>
          </w:tcPr>
          <w:p w14:paraId="060D2DC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铬（六价）</w:t>
            </w:r>
          </w:p>
        </w:tc>
        <w:tc>
          <w:tcPr>
            <w:tcW w:w="3410" w:type="dxa"/>
            <w:noWrap/>
            <w:tcMar>
              <w:left w:w="28" w:type="dxa"/>
              <w:right w:w="28" w:type="dxa"/>
            </w:tcMar>
            <w:vAlign w:val="center"/>
          </w:tcPr>
          <w:p w14:paraId="1EA7263B">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六价铬的测定 碱溶液提取-火焰原子吸收分光光度法》</w:t>
            </w:r>
          </w:p>
          <w:p w14:paraId="6F7EE14F">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1082-2019）</w:t>
            </w:r>
          </w:p>
        </w:tc>
        <w:tc>
          <w:tcPr>
            <w:tcW w:w="1583" w:type="dxa"/>
            <w:vMerge w:val="continue"/>
            <w:noWrap/>
            <w:tcMar>
              <w:left w:w="28" w:type="dxa"/>
              <w:right w:w="28" w:type="dxa"/>
            </w:tcMar>
            <w:vAlign w:val="center"/>
          </w:tcPr>
          <w:p w14:paraId="5420C717">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5E9930F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0.5 mg/kg</w:t>
            </w:r>
          </w:p>
        </w:tc>
      </w:tr>
      <w:tr w14:paraId="586C7B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54FA5C0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520" w:type="dxa"/>
            <w:vMerge w:val="continue"/>
            <w:noWrap/>
            <w:tcMar>
              <w:left w:w="28" w:type="dxa"/>
              <w:right w:w="28" w:type="dxa"/>
            </w:tcMar>
            <w:vAlign w:val="center"/>
          </w:tcPr>
          <w:p w14:paraId="0434A1A0">
            <w:pPr>
              <w:spacing w:line="0" w:lineRule="atLeast"/>
              <w:jc w:val="center"/>
              <w:rPr>
                <w:rFonts w:hint="eastAsia" w:hAnsi="宋体" w:cs="宋体"/>
                <w:color w:val="000000"/>
                <w:spacing w:val="-10"/>
                <w:sz w:val="21"/>
                <w:szCs w:val="21"/>
              </w:rPr>
            </w:pPr>
          </w:p>
        </w:tc>
        <w:tc>
          <w:tcPr>
            <w:tcW w:w="1571" w:type="dxa"/>
            <w:gridSpan w:val="2"/>
            <w:noWrap/>
            <w:tcMar>
              <w:left w:w="28" w:type="dxa"/>
              <w:right w:w="28" w:type="dxa"/>
            </w:tcMar>
            <w:vAlign w:val="center"/>
          </w:tcPr>
          <w:p w14:paraId="442CC26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铜</w:t>
            </w:r>
          </w:p>
        </w:tc>
        <w:tc>
          <w:tcPr>
            <w:tcW w:w="3410" w:type="dxa"/>
            <w:noWrap/>
            <w:tcMar>
              <w:left w:w="28" w:type="dxa"/>
              <w:right w:w="28" w:type="dxa"/>
            </w:tcMar>
            <w:vAlign w:val="center"/>
          </w:tcPr>
          <w:p w14:paraId="71A44DF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铜、锌、铅、镍、铬的测定 火焰原子吸收分光光度法》</w:t>
            </w:r>
          </w:p>
          <w:p w14:paraId="1171439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491-2019）</w:t>
            </w:r>
          </w:p>
        </w:tc>
        <w:tc>
          <w:tcPr>
            <w:tcW w:w="1583" w:type="dxa"/>
            <w:vMerge w:val="restart"/>
            <w:noWrap/>
            <w:tcMar>
              <w:left w:w="28" w:type="dxa"/>
              <w:right w:w="28" w:type="dxa"/>
            </w:tcMar>
            <w:vAlign w:val="center"/>
          </w:tcPr>
          <w:p w14:paraId="1A7E7107">
            <w:pPr>
              <w:pStyle w:val="10"/>
              <w:widowControl w:val="0"/>
              <w:spacing w:line="270" w:lineRule="exact"/>
              <w:ind w:firstLine="0"/>
              <w:jc w:val="center"/>
              <w:rPr>
                <w:rFonts w:hint="eastAsia" w:ascii="宋体" w:hAnsi="宋体" w:eastAsia="宋体" w:cs="宋体"/>
                <w:color w:val="000000"/>
                <w:spacing w:val="-10"/>
                <w:sz w:val="21"/>
                <w:szCs w:val="21"/>
                <w:lang w:val="en-US" w:eastAsia="zh-CN"/>
              </w:rPr>
            </w:pPr>
            <w:r>
              <w:rPr>
                <w:rFonts w:hint="eastAsia" w:ascii="宋体" w:hAnsi="宋体" w:eastAsia="宋体" w:cs="宋体"/>
                <w:color w:val="000000"/>
                <w:spacing w:val="-10"/>
                <w:sz w:val="21"/>
                <w:szCs w:val="21"/>
                <w:lang w:val="en-US" w:eastAsia="zh-CN"/>
              </w:rPr>
              <w:t>GGX-830原子吸收分光光度计</w:t>
            </w:r>
          </w:p>
        </w:tc>
        <w:tc>
          <w:tcPr>
            <w:tcW w:w="1593" w:type="dxa"/>
            <w:noWrap/>
            <w:tcMar>
              <w:left w:w="28" w:type="dxa"/>
              <w:right w:w="28" w:type="dxa"/>
            </w:tcMar>
            <w:vAlign w:val="center"/>
          </w:tcPr>
          <w:p w14:paraId="446B9C1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 mg/kg</w:t>
            </w:r>
          </w:p>
        </w:tc>
      </w:tr>
      <w:tr w14:paraId="57AA68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43606B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520" w:type="dxa"/>
            <w:vMerge w:val="continue"/>
            <w:noWrap/>
            <w:tcMar>
              <w:left w:w="28" w:type="dxa"/>
              <w:right w:w="28" w:type="dxa"/>
            </w:tcMar>
            <w:vAlign w:val="center"/>
          </w:tcPr>
          <w:p w14:paraId="22B459FD">
            <w:pPr>
              <w:spacing w:line="0" w:lineRule="atLeast"/>
              <w:jc w:val="center"/>
              <w:rPr>
                <w:rFonts w:hint="eastAsia" w:hAnsi="宋体" w:cs="宋体"/>
                <w:color w:val="000000"/>
                <w:spacing w:val="-10"/>
                <w:sz w:val="21"/>
                <w:szCs w:val="21"/>
              </w:rPr>
            </w:pPr>
          </w:p>
        </w:tc>
        <w:tc>
          <w:tcPr>
            <w:tcW w:w="1571" w:type="dxa"/>
            <w:gridSpan w:val="2"/>
            <w:noWrap/>
            <w:tcMar>
              <w:left w:w="28" w:type="dxa"/>
              <w:right w:w="28" w:type="dxa"/>
            </w:tcMar>
            <w:vAlign w:val="center"/>
          </w:tcPr>
          <w:p w14:paraId="16F87ED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铅</w:t>
            </w:r>
          </w:p>
        </w:tc>
        <w:tc>
          <w:tcPr>
            <w:tcW w:w="3410" w:type="dxa"/>
            <w:noWrap/>
            <w:tcMar>
              <w:left w:w="28" w:type="dxa"/>
              <w:right w:w="28" w:type="dxa"/>
            </w:tcMar>
            <w:vAlign w:val="center"/>
          </w:tcPr>
          <w:p w14:paraId="2DB84BC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《土壤质量 铅、镉的测定 石墨炉原子吸收分光光度法》（GB/T 17141-1997）</w:t>
            </w:r>
          </w:p>
        </w:tc>
        <w:tc>
          <w:tcPr>
            <w:tcW w:w="1583" w:type="dxa"/>
            <w:vMerge w:val="continue"/>
            <w:noWrap/>
            <w:tcMar>
              <w:left w:w="28" w:type="dxa"/>
              <w:right w:w="28" w:type="dxa"/>
            </w:tcMar>
            <w:vAlign w:val="center"/>
          </w:tcPr>
          <w:p w14:paraId="79DDF3EC">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51F8798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3165F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4F14479E">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6</w:t>
            </w:r>
          </w:p>
        </w:tc>
        <w:tc>
          <w:tcPr>
            <w:tcW w:w="520" w:type="dxa"/>
            <w:vMerge w:val="continue"/>
            <w:noWrap/>
            <w:tcMar>
              <w:left w:w="28" w:type="dxa"/>
              <w:right w:w="28" w:type="dxa"/>
            </w:tcMar>
            <w:vAlign w:val="center"/>
          </w:tcPr>
          <w:p w14:paraId="49722A08">
            <w:pPr>
              <w:spacing w:line="0" w:lineRule="atLeast"/>
              <w:jc w:val="center"/>
              <w:rPr>
                <w:rFonts w:hint="eastAsia" w:hAnsi="宋体" w:cs="宋体"/>
                <w:color w:val="000000"/>
                <w:spacing w:val="-10"/>
                <w:sz w:val="21"/>
                <w:szCs w:val="21"/>
              </w:rPr>
            </w:pPr>
          </w:p>
        </w:tc>
        <w:tc>
          <w:tcPr>
            <w:tcW w:w="1571" w:type="dxa"/>
            <w:gridSpan w:val="2"/>
            <w:noWrap/>
            <w:tcMar>
              <w:left w:w="28" w:type="dxa"/>
              <w:right w:w="28" w:type="dxa"/>
            </w:tcMar>
            <w:vAlign w:val="center"/>
          </w:tcPr>
          <w:p w14:paraId="15771DE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汞</w:t>
            </w:r>
          </w:p>
        </w:tc>
        <w:tc>
          <w:tcPr>
            <w:tcW w:w="3410" w:type="dxa"/>
            <w:noWrap/>
            <w:tcMar>
              <w:left w:w="28" w:type="dxa"/>
              <w:right w:w="28" w:type="dxa"/>
            </w:tcMar>
            <w:vAlign w:val="center"/>
          </w:tcPr>
          <w:p w14:paraId="08E556A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汞、砷、硒、铋、锑的测定 微波消解/原子荧光法》</w:t>
            </w:r>
          </w:p>
          <w:p w14:paraId="0DE8E0C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680-2013）</w:t>
            </w:r>
          </w:p>
        </w:tc>
        <w:tc>
          <w:tcPr>
            <w:tcW w:w="1583" w:type="dxa"/>
            <w:noWrap/>
            <w:tcMar>
              <w:left w:w="28" w:type="dxa"/>
              <w:right w:w="28" w:type="dxa"/>
            </w:tcMar>
            <w:vAlign w:val="center"/>
          </w:tcPr>
          <w:p w14:paraId="64395F8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AFS-8520</w:t>
            </w:r>
          </w:p>
          <w:p w14:paraId="4CC5C56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原子荧光光度计</w:t>
            </w:r>
          </w:p>
        </w:tc>
        <w:tc>
          <w:tcPr>
            <w:tcW w:w="1593" w:type="dxa"/>
            <w:noWrap/>
            <w:tcMar>
              <w:left w:w="28" w:type="dxa"/>
              <w:right w:w="28" w:type="dxa"/>
            </w:tcMar>
            <w:vAlign w:val="center"/>
          </w:tcPr>
          <w:p w14:paraId="5FECA5E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0.002 mg/kg</w:t>
            </w:r>
          </w:p>
        </w:tc>
      </w:tr>
      <w:tr w14:paraId="2B2D5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0FEEE5F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7</w:t>
            </w:r>
          </w:p>
        </w:tc>
        <w:tc>
          <w:tcPr>
            <w:tcW w:w="520" w:type="dxa"/>
            <w:vMerge w:val="continue"/>
            <w:noWrap/>
            <w:tcMar>
              <w:left w:w="28" w:type="dxa"/>
              <w:right w:w="28" w:type="dxa"/>
            </w:tcMar>
            <w:vAlign w:val="center"/>
          </w:tcPr>
          <w:p w14:paraId="5851AB22">
            <w:pPr>
              <w:spacing w:line="0" w:lineRule="atLeast"/>
              <w:jc w:val="center"/>
              <w:rPr>
                <w:rFonts w:hint="eastAsia" w:hAnsi="宋体" w:cs="宋体"/>
                <w:color w:val="000000"/>
                <w:spacing w:val="-10"/>
                <w:sz w:val="21"/>
                <w:szCs w:val="21"/>
              </w:rPr>
            </w:pPr>
          </w:p>
        </w:tc>
        <w:tc>
          <w:tcPr>
            <w:tcW w:w="1571" w:type="dxa"/>
            <w:gridSpan w:val="2"/>
            <w:noWrap/>
            <w:tcMar>
              <w:left w:w="28" w:type="dxa"/>
              <w:right w:w="28" w:type="dxa"/>
            </w:tcMar>
            <w:vAlign w:val="center"/>
          </w:tcPr>
          <w:p w14:paraId="459F36DE">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镍</w:t>
            </w:r>
          </w:p>
        </w:tc>
        <w:tc>
          <w:tcPr>
            <w:tcW w:w="3410" w:type="dxa"/>
            <w:noWrap/>
            <w:tcMar>
              <w:left w:w="28" w:type="dxa"/>
              <w:right w:w="28" w:type="dxa"/>
            </w:tcMar>
            <w:vAlign w:val="center"/>
          </w:tcPr>
          <w:p w14:paraId="7B24170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铜、锌、铅、镍、铬的测定 火焰原子吸收分光光度法》</w:t>
            </w:r>
          </w:p>
          <w:p w14:paraId="7B3563C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491-2019）</w:t>
            </w:r>
          </w:p>
        </w:tc>
        <w:tc>
          <w:tcPr>
            <w:tcW w:w="1583" w:type="dxa"/>
            <w:noWrap/>
            <w:tcMar>
              <w:left w:w="28" w:type="dxa"/>
              <w:right w:w="28" w:type="dxa"/>
            </w:tcMar>
            <w:vAlign w:val="center"/>
          </w:tcPr>
          <w:p w14:paraId="470204D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GGX-830原子吸收分光光度计</w:t>
            </w:r>
          </w:p>
        </w:tc>
        <w:tc>
          <w:tcPr>
            <w:tcW w:w="1593" w:type="dxa"/>
            <w:noWrap/>
            <w:tcMar>
              <w:left w:w="28" w:type="dxa"/>
              <w:right w:w="28" w:type="dxa"/>
            </w:tcMar>
            <w:vAlign w:val="center"/>
          </w:tcPr>
          <w:p w14:paraId="2F70BC3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3 mg/kg</w:t>
            </w:r>
          </w:p>
        </w:tc>
      </w:tr>
      <w:tr w14:paraId="124197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ECFFE3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8</w:t>
            </w:r>
          </w:p>
        </w:tc>
        <w:tc>
          <w:tcPr>
            <w:tcW w:w="520" w:type="dxa"/>
            <w:vMerge w:val="continue"/>
            <w:noWrap/>
            <w:tcMar>
              <w:left w:w="28" w:type="dxa"/>
              <w:right w:w="28" w:type="dxa"/>
            </w:tcMar>
            <w:vAlign w:val="center"/>
          </w:tcPr>
          <w:p w14:paraId="305BDA55">
            <w:pPr>
              <w:spacing w:line="0" w:lineRule="atLeast"/>
              <w:jc w:val="center"/>
              <w:rPr>
                <w:rFonts w:hint="eastAsia" w:hAnsi="宋体" w:cs="宋体"/>
                <w:color w:val="000000"/>
                <w:spacing w:val="-10"/>
                <w:sz w:val="21"/>
                <w:szCs w:val="21"/>
              </w:rPr>
            </w:pPr>
          </w:p>
        </w:tc>
        <w:tc>
          <w:tcPr>
            <w:tcW w:w="565" w:type="dxa"/>
            <w:vMerge w:val="restart"/>
            <w:noWrap/>
            <w:tcMar>
              <w:left w:w="28" w:type="dxa"/>
              <w:right w:w="28" w:type="dxa"/>
            </w:tcMar>
            <w:vAlign w:val="center"/>
          </w:tcPr>
          <w:p w14:paraId="0208AACE">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挥发性有机物</w:t>
            </w:r>
          </w:p>
        </w:tc>
        <w:tc>
          <w:tcPr>
            <w:tcW w:w="1006" w:type="dxa"/>
            <w:noWrap/>
            <w:tcMar>
              <w:left w:w="28" w:type="dxa"/>
              <w:right w:w="28" w:type="dxa"/>
            </w:tcMar>
            <w:vAlign w:val="center"/>
          </w:tcPr>
          <w:p w14:paraId="7781ADE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四氯化碳</w:t>
            </w:r>
          </w:p>
        </w:tc>
        <w:tc>
          <w:tcPr>
            <w:tcW w:w="3410" w:type="dxa"/>
            <w:vMerge w:val="restart"/>
            <w:noWrap/>
            <w:tcMar>
              <w:left w:w="28" w:type="dxa"/>
              <w:right w:w="28" w:type="dxa"/>
            </w:tcMar>
            <w:vAlign w:val="center"/>
          </w:tcPr>
          <w:p w14:paraId="3451F1C1">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挥发性有机物的测定 吹扫捕集/气相色谱-质谱法》</w:t>
            </w:r>
          </w:p>
          <w:p w14:paraId="001A331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605-2011）</w:t>
            </w:r>
          </w:p>
        </w:tc>
        <w:tc>
          <w:tcPr>
            <w:tcW w:w="1583" w:type="dxa"/>
            <w:vMerge w:val="restart"/>
            <w:noWrap/>
            <w:tcMar>
              <w:left w:w="28" w:type="dxa"/>
              <w:right w:w="28" w:type="dxa"/>
            </w:tcMar>
            <w:vAlign w:val="center"/>
          </w:tcPr>
          <w:p w14:paraId="1596A12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8860/5977B气相色谱-质谱联用仪</w:t>
            </w:r>
          </w:p>
        </w:tc>
        <w:tc>
          <w:tcPr>
            <w:tcW w:w="1593" w:type="dxa"/>
            <w:noWrap/>
            <w:tcMar>
              <w:left w:w="28" w:type="dxa"/>
              <w:right w:w="28" w:type="dxa"/>
            </w:tcMar>
            <w:vAlign w:val="center"/>
          </w:tcPr>
          <w:p w14:paraId="6431E2C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3C0568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EC67B8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520" w:type="dxa"/>
            <w:vMerge w:val="continue"/>
            <w:noWrap/>
            <w:tcMar>
              <w:left w:w="28" w:type="dxa"/>
              <w:right w:w="28" w:type="dxa"/>
            </w:tcMar>
            <w:vAlign w:val="center"/>
          </w:tcPr>
          <w:p w14:paraId="2E9D126F">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6994E9C5">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2CEFB94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氯仿</w:t>
            </w:r>
          </w:p>
        </w:tc>
        <w:tc>
          <w:tcPr>
            <w:tcW w:w="3410" w:type="dxa"/>
            <w:vMerge w:val="continue"/>
            <w:noWrap/>
            <w:tcMar>
              <w:left w:w="28" w:type="dxa"/>
              <w:right w:w="28" w:type="dxa"/>
            </w:tcMar>
            <w:vAlign w:val="center"/>
          </w:tcPr>
          <w:p w14:paraId="53EBB59D">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07778E53">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70282B3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D02D7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0E14039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520" w:type="dxa"/>
            <w:vMerge w:val="continue"/>
            <w:noWrap/>
            <w:tcMar>
              <w:left w:w="28" w:type="dxa"/>
              <w:right w:w="28" w:type="dxa"/>
            </w:tcMar>
            <w:vAlign w:val="center"/>
          </w:tcPr>
          <w:p w14:paraId="55E10122">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64323DAE">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1665D3EA">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氯甲烷</w:t>
            </w:r>
          </w:p>
        </w:tc>
        <w:tc>
          <w:tcPr>
            <w:tcW w:w="3410" w:type="dxa"/>
            <w:vMerge w:val="restart"/>
            <w:noWrap/>
            <w:tcMar>
              <w:left w:w="28" w:type="dxa"/>
              <w:right w:w="28" w:type="dxa"/>
            </w:tcMar>
            <w:vAlign w:val="center"/>
          </w:tcPr>
          <w:p w14:paraId="4C3708A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《土壤和沉积物 挥发性有机物的测定 吹扫捕集/气相色谱-质谱法》</w:t>
            </w:r>
          </w:p>
          <w:p w14:paraId="7315061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（HJ 605-2011）</w:t>
            </w:r>
          </w:p>
        </w:tc>
        <w:tc>
          <w:tcPr>
            <w:tcW w:w="1583" w:type="dxa"/>
            <w:vMerge w:val="restart"/>
            <w:noWrap/>
            <w:tcMar>
              <w:left w:w="28" w:type="dxa"/>
              <w:right w:w="28" w:type="dxa"/>
            </w:tcMar>
            <w:vAlign w:val="center"/>
          </w:tcPr>
          <w:p w14:paraId="2BE45294">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8860/5977B</w:t>
            </w:r>
          </w:p>
          <w:p w14:paraId="6AEB679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气相色谱-质谱联用仪</w:t>
            </w:r>
          </w:p>
        </w:tc>
        <w:tc>
          <w:tcPr>
            <w:tcW w:w="1593" w:type="dxa"/>
            <w:noWrap/>
            <w:tcMar>
              <w:left w:w="28" w:type="dxa"/>
              <w:right w:w="28" w:type="dxa"/>
            </w:tcMar>
            <w:vAlign w:val="center"/>
          </w:tcPr>
          <w:p w14:paraId="149C5A9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1.0×10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6EE9B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08FECC46">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w:t>
            </w:r>
          </w:p>
        </w:tc>
        <w:tc>
          <w:tcPr>
            <w:tcW w:w="520" w:type="dxa"/>
            <w:vMerge w:val="continue"/>
            <w:noWrap/>
            <w:tcMar>
              <w:left w:w="28" w:type="dxa"/>
              <w:right w:w="28" w:type="dxa"/>
            </w:tcMar>
            <w:vAlign w:val="center"/>
          </w:tcPr>
          <w:p w14:paraId="33151F89">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163634A3">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1D5D692B">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1，1-二氯乙烷</w:t>
            </w:r>
          </w:p>
        </w:tc>
        <w:tc>
          <w:tcPr>
            <w:tcW w:w="3410" w:type="dxa"/>
            <w:vMerge w:val="continue"/>
            <w:noWrap/>
            <w:tcMar>
              <w:left w:w="28" w:type="dxa"/>
              <w:right w:w="28" w:type="dxa"/>
            </w:tcMar>
            <w:vAlign w:val="center"/>
          </w:tcPr>
          <w:p w14:paraId="50460496">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4C5D9B3">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2CC2746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153AF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126E04C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12</w:t>
            </w:r>
          </w:p>
        </w:tc>
        <w:tc>
          <w:tcPr>
            <w:tcW w:w="520" w:type="dxa"/>
            <w:vMerge w:val="continue"/>
            <w:noWrap/>
            <w:tcMar>
              <w:left w:w="28" w:type="dxa"/>
              <w:right w:w="28" w:type="dxa"/>
            </w:tcMar>
            <w:vAlign w:val="center"/>
          </w:tcPr>
          <w:p w14:paraId="3E751874">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31849C9">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73B2133E">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1，2-二氯乙烷</w:t>
            </w:r>
          </w:p>
        </w:tc>
        <w:tc>
          <w:tcPr>
            <w:tcW w:w="3410" w:type="dxa"/>
            <w:vMerge w:val="continue"/>
            <w:noWrap/>
            <w:tcMar>
              <w:left w:w="28" w:type="dxa"/>
              <w:right w:w="28" w:type="dxa"/>
            </w:tcMar>
            <w:vAlign w:val="center"/>
          </w:tcPr>
          <w:p w14:paraId="2C9E5D2E">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6E1F1FED">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286DAE3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3F146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00D155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13</w:t>
            </w:r>
          </w:p>
        </w:tc>
        <w:tc>
          <w:tcPr>
            <w:tcW w:w="520" w:type="dxa"/>
            <w:vMerge w:val="continue"/>
            <w:noWrap/>
            <w:tcMar>
              <w:left w:w="28" w:type="dxa"/>
              <w:right w:w="28" w:type="dxa"/>
            </w:tcMar>
            <w:vAlign w:val="center"/>
          </w:tcPr>
          <w:p w14:paraId="6094EA72">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0E85A679">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454707A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1，1-二氯乙烯</w:t>
            </w:r>
          </w:p>
        </w:tc>
        <w:tc>
          <w:tcPr>
            <w:tcW w:w="3410" w:type="dxa"/>
            <w:vMerge w:val="continue"/>
            <w:noWrap/>
            <w:tcMar>
              <w:left w:w="28" w:type="dxa"/>
              <w:right w:w="28" w:type="dxa"/>
            </w:tcMar>
            <w:vAlign w:val="center"/>
          </w:tcPr>
          <w:p w14:paraId="4DCC39A2">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0898F87">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790D740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1.0×10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D75C3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1FAC0DF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14</w:t>
            </w:r>
          </w:p>
        </w:tc>
        <w:tc>
          <w:tcPr>
            <w:tcW w:w="520" w:type="dxa"/>
            <w:vMerge w:val="continue"/>
            <w:noWrap/>
            <w:tcMar>
              <w:left w:w="28" w:type="dxa"/>
              <w:right w:w="28" w:type="dxa"/>
            </w:tcMar>
            <w:vAlign w:val="center"/>
          </w:tcPr>
          <w:p w14:paraId="090C7A31">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0CFC687">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74E22C3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顺-1，2-二氯乙烯</w:t>
            </w:r>
          </w:p>
        </w:tc>
        <w:tc>
          <w:tcPr>
            <w:tcW w:w="3410" w:type="dxa"/>
            <w:vMerge w:val="continue"/>
            <w:noWrap/>
            <w:tcMar>
              <w:left w:w="28" w:type="dxa"/>
              <w:right w:w="28" w:type="dxa"/>
            </w:tcMar>
            <w:vAlign w:val="center"/>
          </w:tcPr>
          <w:p w14:paraId="14A9949C">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73281B3E">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0AA3E8E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1C6E50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4389067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20" w:type="dxa"/>
            <w:vMerge w:val="continue"/>
            <w:noWrap/>
            <w:tcMar>
              <w:left w:w="28" w:type="dxa"/>
              <w:right w:w="28" w:type="dxa"/>
            </w:tcMar>
            <w:vAlign w:val="center"/>
          </w:tcPr>
          <w:p w14:paraId="08E563A0">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1F32330D">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02DFAE4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反-1，2-二氯乙烯</w:t>
            </w:r>
          </w:p>
        </w:tc>
        <w:tc>
          <w:tcPr>
            <w:tcW w:w="3410" w:type="dxa"/>
            <w:vMerge w:val="continue"/>
            <w:noWrap/>
            <w:tcMar>
              <w:left w:w="28" w:type="dxa"/>
              <w:right w:w="28" w:type="dxa"/>
            </w:tcMar>
            <w:vAlign w:val="center"/>
          </w:tcPr>
          <w:p w14:paraId="0A4C2442">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63CFBD3A">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7F8751C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1.4×10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3C8B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547AAA7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16</w:t>
            </w:r>
          </w:p>
        </w:tc>
        <w:tc>
          <w:tcPr>
            <w:tcW w:w="520" w:type="dxa"/>
            <w:vMerge w:val="continue"/>
            <w:noWrap/>
            <w:tcMar>
              <w:left w:w="28" w:type="dxa"/>
              <w:right w:w="28" w:type="dxa"/>
            </w:tcMar>
            <w:vAlign w:val="center"/>
          </w:tcPr>
          <w:p w14:paraId="4135791B">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084B943E">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4AA5D0D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二氯甲烷</w:t>
            </w:r>
          </w:p>
        </w:tc>
        <w:tc>
          <w:tcPr>
            <w:tcW w:w="3410" w:type="dxa"/>
            <w:vMerge w:val="continue"/>
            <w:noWrap/>
            <w:tcMar>
              <w:left w:w="28" w:type="dxa"/>
              <w:right w:w="28" w:type="dxa"/>
            </w:tcMar>
            <w:vAlign w:val="center"/>
          </w:tcPr>
          <w:p w14:paraId="5C3ACDEF">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71F99FFF">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6AD16DB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1.5×10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CA461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36" w:hRule="atLeast"/>
          <w:jc w:val="center"/>
        </w:trPr>
        <w:tc>
          <w:tcPr>
            <w:tcW w:w="338" w:type="dxa"/>
            <w:noWrap/>
            <w:tcMar>
              <w:left w:w="28" w:type="dxa"/>
              <w:right w:w="28" w:type="dxa"/>
            </w:tcMar>
            <w:vAlign w:val="center"/>
          </w:tcPr>
          <w:p w14:paraId="50976C2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17</w:t>
            </w:r>
          </w:p>
        </w:tc>
        <w:tc>
          <w:tcPr>
            <w:tcW w:w="520" w:type="dxa"/>
            <w:vMerge w:val="continue"/>
            <w:noWrap/>
            <w:tcMar>
              <w:left w:w="28" w:type="dxa"/>
              <w:right w:w="28" w:type="dxa"/>
            </w:tcMar>
            <w:vAlign w:val="center"/>
          </w:tcPr>
          <w:p w14:paraId="004790CB">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25D72267">
            <w:pPr>
              <w:spacing w:line="0" w:lineRule="atLeast"/>
              <w:jc w:val="center"/>
              <w:rPr>
                <w:rFonts w:hint="eastAsia" w:hAnsi="宋体" w:cs="宋体"/>
                <w:color w:val="000000"/>
                <w:spacing w:val="-10"/>
                <w:sz w:val="21"/>
                <w:szCs w:val="21"/>
              </w:rPr>
            </w:pPr>
          </w:p>
        </w:tc>
        <w:tc>
          <w:tcPr>
            <w:tcW w:w="1006" w:type="dxa"/>
            <w:noWrap/>
            <w:tcMar>
              <w:left w:w="28" w:type="dxa"/>
              <w:right w:w="28" w:type="dxa"/>
            </w:tcMar>
            <w:vAlign w:val="center"/>
          </w:tcPr>
          <w:p w14:paraId="6DA0252B">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1，2-二氯丙烷</w:t>
            </w:r>
          </w:p>
        </w:tc>
        <w:tc>
          <w:tcPr>
            <w:tcW w:w="3410" w:type="dxa"/>
            <w:vMerge w:val="continue"/>
            <w:noWrap/>
            <w:tcMar>
              <w:left w:w="28" w:type="dxa"/>
              <w:right w:w="28" w:type="dxa"/>
            </w:tcMar>
            <w:vAlign w:val="center"/>
          </w:tcPr>
          <w:p w14:paraId="138C0FFE">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92C93FE">
            <w:pPr>
              <w:spacing w:line="0" w:lineRule="atLeast"/>
              <w:jc w:val="center"/>
              <w:rPr>
                <w:rFonts w:hint="eastAsia" w:hAnsi="宋体" w:cs="宋体"/>
                <w:color w:val="000000"/>
                <w:spacing w:val="-10"/>
                <w:sz w:val="21"/>
                <w:szCs w:val="21"/>
              </w:rPr>
            </w:pPr>
          </w:p>
        </w:tc>
        <w:tc>
          <w:tcPr>
            <w:tcW w:w="1593" w:type="dxa"/>
            <w:noWrap/>
            <w:tcMar>
              <w:left w:w="28" w:type="dxa"/>
              <w:right w:w="28" w:type="dxa"/>
            </w:tcMar>
            <w:vAlign w:val="center"/>
          </w:tcPr>
          <w:p w14:paraId="4360925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D9841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88" w:hRule="atLeast"/>
          <w:jc w:val="center"/>
        </w:trPr>
        <w:tc>
          <w:tcPr>
            <w:tcW w:w="338" w:type="dxa"/>
            <w:noWrap/>
            <w:tcMar>
              <w:left w:w="28" w:type="dxa"/>
              <w:right w:w="28" w:type="dxa"/>
            </w:tcMar>
            <w:vAlign w:val="center"/>
          </w:tcPr>
          <w:p w14:paraId="205468E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18</w:t>
            </w:r>
          </w:p>
        </w:tc>
        <w:tc>
          <w:tcPr>
            <w:tcW w:w="520" w:type="dxa"/>
            <w:vMerge w:val="continue"/>
            <w:noWrap/>
            <w:tcMar>
              <w:left w:w="28" w:type="dxa"/>
              <w:right w:w="28" w:type="dxa"/>
            </w:tcMar>
            <w:vAlign w:val="center"/>
          </w:tcPr>
          <w:p w14:paraId="35F27667">
            <w:pPr>
              <w:spacing w:line="270" w:lineRule="exac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78AC5A7F">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2BEE0815">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1，1，1，2-四氯</w:t>
            </w:r>
          </w:p>
          <w:p w14:paraId="01A392C4">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乙烷</w:t>
            </w:r>
          </w:p>
        </w:tc>
        <w:tc>
          <w:tcPr>
            <w:tcW w:w="3410" w:type="dxa"/>
            <w:vMerge w:val="continue"/>
            <w:noWrap/>
            <w:tcMar>
              <w:left w:w="28" w:type="dxa"/>
              <w:right w:w="28" w:type="dxa"/>
            </w:tcMar>
            <w:vAlign w:val="center"/>
          </w:tcPr>
          <w:p w14:paraId="5FAE6B85">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05FE6514">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6733C8C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62B272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73" w:hRule="atLeast"/>
          <w:jc w:val="center"/>
        </w:trPr>
        <w:tc>
          <w:tcPr>
            <w:tcW w:w="338" w:type="dxa"/>
            <w:noWrap/>
            <w:tcMar>
              <w:left w:w="28" w:type="dxa"/>
              <w:right w:w="28" w:type="dxa"/>
            </w:tcMar>
            <w:vAlign w:val="center"/>
          </w:tcPr>
          <w:p w14:paraId="6622D62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19</w:t>
            </w:r>
          </w:p>
        </w:tc>
        <w:tc>
          <w:tcPr>
            <w:tcW w:w="520" w:type="dxa"/>
            <w:vMerge w:val="continue"/>
            <w:noWrap/>
            <w:tcMar>
              <w:left w:w="28" w:type="dxa"/>
              <w:right w:w="28" w:type="dxa"/>
            </w:tcMar>
            <w:vAlign w:val="center"/>
          </w:tcPr>
          <w:p w14:paraId="136C3255">
            <w:pPr>
              <w:spacing w:line="270" w:lineRule="exac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60958434">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7DB693F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1，1，2，2-四氯乙烷</w:t>
            </w:r>
          </w:p>
        </w:tc>
        <w:tc>
          <w:tcPr>
            <w:tcW w:w="3410" w:type="dxa"/>
            <w:vMerge w:val="continue"/>
            <w:noWrap/>
            <w:tcMar>
              <w:left w:w="28" w:type="dxa"/>
              <w:right w:w="28" w:type="dxa"/>
            </w:tcMar>
            <w:vAlign w:val="center"/>
          </w:tcPr>
          <w:p w14:paraId="1C17ADF1">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412844A8">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49C85B5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B376C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7D1C1C2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520" w:type="dxa"/>
            <w:vMerge w:val="continue"/>
            <w:noWrap/>
            <w:tcMar>
              <w:left w:w="28" w:type="dxa"/>
              <w:right w:w="28" w:type="dxa"/>
            </w:tcMar>
            <w:vAlign w:val="center"/>
          </w:tcPr>
          <w:p w14:paraId="3B524484">
            <w:pPr>
              <w:spacing w:line="270" w:lineRule="exac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D4B7804">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5EE7328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四氯乙烯</w:t>
            </w:r>
          </w:p>
        </w:tc>
        <w:tc>
          <w:tcPr>
            <w:tcW w:w="3410" w:type="dxa"/>
            <w:vMerge w:val="continue"/>
            <w:noWrap/>
            <w:tcMar>
              <w:left w:w="28" w:type="dxa"/>
              <w:right w:w="28" w:type="dxa"/>
            </w:tcMar>
            <w:vAlign w:val="center"/>
          </w:tcPr>
          <w:p w14:paraId="0E0B13D8">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3EACDDCB">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4A8729F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1.4×10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03A68D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noWrap/>
            <w:tcMar>
              <w:left w:w="28" w:type="dxa"/>
              <w:right w:w="28" w:type="dxa"/>
            </w:tcMar>
            <w:vAlign w:val="center"/>
          </w:tcPr>
          <w:p w14:paraId="1B737C0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21</w:t>
            </w:r>
          </w:p>
        </w:tc>
        <w:tc>
          <w:tcPr>
            <w:tcW w:w="520" w:type="dxa"/>
            <w:vMerge w:val="continue"/>
            <w:noWrap/>
            <w:tcMar>
              <w:left w:w="28" w:type="dxa"/>
              <w:right w:w="28" w:type="dxa"/>
            </w:tcMar>
            <w:vAlign w:val="center"/>
          </w:tcPr>
          <w:p w14:paraId="65CDDCD4">
            <w:pPr>
              <w:spacing w:line="270" w:lineRule="exac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0BA8A0EE">
            <w:pPr>
              <w:spacing w:line="270" w:lineRule="exact"/>
              <w:jc w:val="center"/>
              <w:rPr>
                <w:rFonts w:hint="eastAsia" w:hAnsi="宋体" w:cs="宋体"/>
                <w:color w:val="000000"/>
                <w:spacing w:val="-10"/>
                <w:sz w:val="21"/>
                <w:szCs w:val="21"/>
              </w:rPr>
            </w:pPr>
          </w:p>
        </w:tc>
        <w:tc>
          <w:tcPr>
            <w:tcW w:w="1006" w:type="dxa"/>
            <w:noWrap/>
            <w:tcMar>
              <w:left w:w="28" w:type="dxa"/>
              <w:right w:w="28" w:type="dxa"/>
            </w:tcMar>
            <w:vAlign w:val="center"/>
          </w:tcPr>
          <w:p w14:paraId="2530FAF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1，1，1-三氯乙烷</w:t>
            </w:r>
          </w:p>
        </w:tc>
        <w:tc>
          <w:tcPr>
            <w:tcW w:w="3410" w:type="dxa"/>
            <w:vMerge w:val="continue"/>
            <w:noWrap/>
            <w:tcMar>
              <w:left w:w="28" w:type="dxa"/>
              <w:right w:w="28" w:type="dxa"/>
            </w:tcMar>
            <w:vAlign w:val="center"/>
          </w:tcPr>
          <w:p w14:paraId="77D20D6F">
            <w:pPr>
              <w:spacing w:line="270" w:lineRule="exac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51F0714C">
            <w:pPr>
              <w:spacing w:line="270" w:lineRule="exact"/>
              <w:jc w:val="center"/>
              <w:rPr>
                <w:rFonts w:hint="eastAsia" w:hAnsi="宋体" w:cs="宋体"/>
                <w:color w:val="000000"/>
                <w:spacing w:val="-10"/>
                <w:sz w:val="21"/>
                <w:szCs w:val="21"/>
              </w:rPr>
            </w:pPr>
          </w:p>
        </w:tc>
        <w:tc>
          <w:tcPr>
            <w:tcW w:w="1593" w:type="dxa"/>
            <w:noWrap/>
            <w:tcMar>
              <w:left w:w="28" w:type="dxa"/>
              <w:right w:w="28" w:type="dxa"/>
            </w:tcMar>
            <w:vAlign w:val="center"/>
          </w:tcPr>
          <w:p w14:paraId="2E7E781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bl>
    <w:p w14:paraId="43DA6B69">
      <w:pPr>
        <w:pStyle w:val="100"/>
        <w:tabs>
          <w:tab w:val="left" w:pos="0"/>
        </w:tabs>
        <w:snapToGrid/>
        <w:spacing w:after="0" w:line="460" w:lineRule="exact"/>
        <w:ind w:firstLine="506" w:firstLineChars="200"/>
        <w:jc w:val="both"/>
        <w:rPr>
          <w:rFonts w:ascii="黑体"/>
          <w:b w:val="0"/>
          <w:bCs w:val="0"/>
          <w:color w:val="000000"/>
          <w:spacing w:val="5"/>
          <w:kern w:val="2"/>
          <w:szCs w:val="24"/>
          <w:lang w:val="zh-CN"/>
        </w:rPr>
      </w:pPr>
      <w:r>
        <w:br w:type="page"/>
      </w:r>
      <w:r>
        <w:rPr>
          <w:rFonts w:hint="eastAsia" w:ascii="黑体"/>
          <w:b w:val="0"/>
          <w:bCs w:val="0"/>
          <w:color w:val="000000"/>
          <w:spacing w:val="5"/>
          <w:kern w:val="2"/>
          <w:szCs w:val="24"/>
        </w:rPr>
        <w:t xml:space="preserve">续表4.5-3   </w:t>
      </w:r>
      <w:r>
        <w:rPr>
          <w:rFonts w:hint="eastAsia" w:ascii="黑体" w:cs="黑体"/>
          <w:b w:val="0"/>
          <w:bCs w:val="0"/>
          <w:color w:val="000000"/>
          <w:spacing w:val="5"/>
          <w:kern w:val="2"/>
          <w:szCs w:val="24"/>
          <w:lang w:val="zh-CN"/>
        </w:rPr>
        <w:t>土壤环境监测项目、分析方法及依据一览表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7"/>
        <w:gridCol w:w="510"/>
        <w:gridCol w:w="10"/>
        <w:gridCol w:w="565"/>
        <w:gridCol w:w="6"/>
        <w:gridCol w:w="994"/>
        <w:gridCol w:w="6"/>
        <w:gridCol w:w="3400"/>
        <w:gridCol w:w="8"/>
        <w:gridCol w:w="1583"/>
        <w:gridCol w:w="1596"/>
      </w:tblGrid>
      <w:tr w14:paraId="4C10C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37" w:type="dxa"/>
            <w:noWrap/>
            <w:tcMar>
              <w:left w:w="28" w:type="dxa"/>
              <w:right w:w="28" w:type="dxa"/>
            </w:tcMar>
            <w:vAlign w:val="center"/>
          </w:tcPr>
          <w:p w14:paraId="3C693454">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520" w:type="dxa"/>
            <w:gridSpan w:val="2"/>
            <w:noWrap/>
            <w:tcMar>
              <w:left w:w="28" w:type="dxa"/>
              <w:right w:w="28" w:type="dxa"/>
            </w:tcMar>
            <w:vAlign w:val="center"/>
          </w:tcPr>
          <w:p w14:paraId="5348111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1571" w:type="dxa"/>
            <w:gridSpan w:val="4"/>
            <w:noWrap/>
            <w:tcMar>
              <w:left w:w="28" w:type="dxa"/>
              <w:right w:w="28" w:type="dxa"/>
            </w:tcMar>
            <w:vAlign w:val="center"/>
          </w:tcPr>
          <w:p w14:paraId="7816CD1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检测项目</w:t>
            </w:r>
          </w:p>
        </w:tc>
        <w:tc>
          <w:tcPr>
            <w:tcW w:w="3400" w:type="dxa"/>
            <w:noWrap/>
            <w:tcMar>
              <w:left w:w="28" w:type="dxa"/>
              <w:right w:w="28" w:type="dxa"/>
            </w:tcMar>
            <w:vAlign w:val="center"/>
          </w:tcPr>
          <w:p w14:paraId="7AC891CF">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检测方法</w:t>
            </w:r>
          </w:p>
        </w:tc>
        <w:tc>
          <w:tcPr>
            <w:tcW w:w="1591" w:type="dxa"/>
            <w:gridSpan w:val="2"/>
            <w:noWrap/>
            <w:tcMar>
              <w:left w:w="28" w:type="dxa"/>
              <w:right w:w="28" w:type="dxa"/>
            </w:tcMar>
            <w:vAlign w:val="center"/>
          </w:tcPr>
          <w:p w14:paraId="4EBF4597">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主要仪器型号、</w:t>
            </w:r>
          </w:p>
          <w:p w14:paraId="0BE67C13">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1596" w:type="dxa"/>
            <w:noWrap/>
            <w:tcMar>
              <w:left w:w="28" w:type="dxa"/>
              <w:right w:w="28" w:type="dxa"/>
            </w:tcMar>
            <w:vAlign w:val="center"/>
          </w:tcPr>
          <w:p w14:paraId="7AA7336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检出限/最低检出浓度</w:t>
            </w:r>
          </w:p>
        </w:tc>
      </w:tr>
      <w:tr w14:paraId="482B5A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266149A5">
            <w:pPr>
              <w:spacing w:line="0" w:lineRule="atLeast"/>
              <w:jc w:val="center"/>
              <w:rPr>
                <w:rFonts w:hint="eastAsia" w:hAnsi="宋体" w:cs="宋体"/>
                <w:color w:val="000000"/>
                <w:spacing w:val="-10"/>
                <w:sz w:val="21"/>
                <w:szCs w:val="21"/>
              </w:rPr>
            </w:pPr>
            <w:r>
              <w:rPr>
                <w:rFonts w:hint="eastAsia" w:hAnsi="宋体" w:cs="宋体"/>
                <w:color w:val="000000"/>
                <w:sz w:val="21"/>
                <w:szCs w:val="21"/>
              </w:rPr>
              <w:br w:type="page"/>
            </w:r>
            <w:r>
              <w:rPr>
                <w:rFonts w:hint="eastAsia" w:hAnsi="宋体" w:cs="宋体"/>
                <w:color w:val="000000"/>
                <w:spacing w:val="-10"/>
                <w:sz w:val="21"/>
                <w:szCs w:val="21"/>
              </w:rPr>
              <w:t>22</w:t>
            </w:r>
          </w:p>
        </w:tc>
        <w:tc>
          <w:tcPr>
            <w:tcW w:w="520" w:type="dxa"/>
            <w:gridSpan w:val="2"/>
            <w:vMerge w:val="restart"/>
            <w:noWrap/>
            <w:tcMar>
              <w:left w:w="28" w:type="dxa"/>
              <w:right w:w="28" w:type="dxa"/>
            </w:tcMar>
            <w:vAlign w:val="center"/>
          </w:tcPr>
          <w:p w14:paraId="2A78D66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w:t>
            </w:r>
          </w:p>
        </w:tc>
        <w:tc>
          <w:tcPr>
            <w:tcW w:w="565" w:type="dxa"/>
            <w:vMerge w:val="restart"/>
            <w:noWrap/>
            <w:tcMar>
              <w:left w:w="28" w:type="dxa"/>
              <w:right w:w="28" w:type="dxa"/>
            </w:tcMar>
            <w:vAlign w:val="center"/>
          </w:tcPr>
          <w:p w14:paraId="1C85443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挥发性有机物</w:t>
            </w:r>
          </w:p>
        </w:tc>
        <w:tc>
          <w:tcPr>
            <w:tcW w:w="1006" w:type="dxa"/>
            <w:gridSpan w:val="3"/>
            <w:noWrap/>
            <w:tcMar>
              <w:left w:w="28" w:type="dxa"/>
              <w:right w:w="28" w:type="dxa"/>
            </w:tcMar>
            <w:vAlign w:val="center"/>
          </w:tcPr>
          <w:p w14:paraId="66F89CE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1，1，2-三氯乙烷</w:t>
            </w:r>
          </w:p>
        </w:tc>
        <w:tc>
          <w:tcPr>
            <w:tcW w:w="3400" w:type="dxa"/>
            <w:vMerge w:val="restart"/>
            <w:noWrap/>
            <w:tcMar>
              <w:left w:w="28" w:type="dxa"/>
              <w:right w:w="28" w:type="dxa"/>
            </w:tcMar>
            <w:vAlign w:val="center"/>
          </w:tcPr>
          <w:p w14:paraId="264C92F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《土壤和沉积物 挥发性有机物的测定 吹扫捕集/气相色谱-质谱法》</w:t>
            </w:r>
          </w:p>
          <w:p w14:paraId="667BAB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（HJ 605-2011）</w:t>
            </w:r>
          </w:p>
        </w:tc>
        <w:tc>
          <w:tcPr>
            <w:tcW w:w="1591" w:type="dxa"/>
            <w:gridSpan w:val="2"/>
            <w:vMerge w:val="restart"/>
            <w:noWrap/>
            <w:tcMar>
              <w:left w:w="28" w:type="dxa"/>
              <w:right w:w="28" w:type="dxa"/>
            </w:tcMar>
            <w:vAlign w:val="center"/>
          </w:tcPr>
          <w:p w14:paraId="383F786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8860/5977B气相色谱-质谱联用仪</w:t>
            </w:r>
          </w:p>
        </w:tc>
        <w:tc>
          <w:tcPr>
            <w:tcW w:w="1596" w:type="dxa"/>
            <w:noWrap/>
            <w:tcMar>
              <w:left w:w="28" w:type="dxa"/>
              <w:right w:w="28" w:type="dxa"/>
            </w:tcMar>
            <w:vAlign w:val="center"/>
          </w:tcPr>
          <w:p w14:paraId="735E129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850DB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6F1E3A4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23</w:t>
            </w:r>
          </w:p>
        </w:tc>
        <w:tc>
          <w:tcPr>
            <w:tcW w:w="520" w:type="dxa"/>
            <w:gridSpan w:val="2"/>
            <w:vMerge w:val="continue"/>
            <w:noWrap/>
            <w:tcMar>
              <w:left w:w="28" w:type="dxa"/>
              <w:right w:w="28" w:type="dxa"/>
            </w:tcMar>
            <w:vAlign w:val="center"/>
          </w:tcPr>
          <w:p w14:paraId="23710DD3">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62EF150D">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3902F2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三氯乙烯</w:t>
            </w:r>
          </w:p>
        </w:tc>
        <w:tc>
          <w:tcPr>
            <w:tcW w:w="3400" w:type="dxa"/>
            <w:vMerge w:val="continue"/>
            <w:noWrap/>
            <w:tcMar>
              <w:left w:w="28" w:type="dxa"/>
              <w:right w:w="28" w:type="dxa"/>
            </w:tcMar>
            <w:vAlign w:val="center"/>
          </w:tcPr>
          <w:p w14:paraId="2624E606">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4DF7D62F">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8C2539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356DD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7D801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24</w:t>
            </w:r>
          </w:p>
        </w:tc>
        <w:tc>
          <w:tcPr>
            <w:tcW w:w="520" w:type="dxa"/>
            <w:gridSpan w:val="2"/>
            <w:vMerge w:val="continue"/>
            <w:noWrap/>
            <w:tcMar>
              <w:left w:w="28" w:type="dxa"/>
              <w:right w:w="28" w:type="dxa"/>
            </w:tcMar>
            <w:vAlign w:val="center"/>
          </w:tcPr>
          <w:p w14:paraId="662A7B20">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2FCDC4DE">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44E8E86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1，2，3-三氯丙烷</w:t>
            </w:r>
          </w:p>
        </w:tc>
        <w:tc>
          <w:tcPr>
            <w:tcW w:w="3400" w:type="dxa"/>
            <w:vMerge w:val="continue"/>
            <w:noWrap/>
            <w:tcMar>
              <w:left w:w="28" w:type="dxa"/>
              <w:right w:w="28" w:type="dxa"/>
            </w:tcMar>
            <w:vAlign w:val="center"/>
          </w:tcPr>
          <w:p w14:paraId="2E7E40A2">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6FBCB474">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198962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32F82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297B261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25</w:t>
            </w:r>
          </w:p>
        </w:tc>
        <w:tc>
          <w:tcPr>
            <w:tcW w:w="520" w:type="dxa"/>
            <w:gridSpan w:val="2"/>
            <w:vMerge w:val="continue"/>
            <w:noWrap/>
            <w:tcMar>
              <w:left w:w="28" w:type="dxa"/>
              <w:right w:w="28" w:type="dxa"/>
            </w:tcMar>
            <w:vAlign w:val="center"/>
          </w:tcPr>
          <w:p w14:paraId="76112487">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449C4FC">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69551EE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氯乙烯</w:t>
            </w:r>
          </w:p>
        </w:tc>
        <w:tc>
          <w:tcPr>
            <w:tcW w:w="3400" w:type="dxa"/>
            <w:vMerge w:val="continue"/>
            <w:noWrap/>
            <w:tcMar>
              <w:left w:w="28" w:type="dxa"/>
              <w:right w:w="28" w:type="dxa"/>
            </w:tcMar>
            <w:vAlign w:val="center"/>
          </w:tcPr>
          <w:p w14:paraId="3D426FA7">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3C56BD29">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431AA91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B1A6F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3188FD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26</w:t>
            </w:r>
          </w:p>
        </w:tc>
        <w:tc>
          <w:tcPr>
            <w:tcW w:w="520" w:type="dxa"/>
            <w:gridSpan w:val="2"/>
            <w:vMerge w:val="continue"/>
            <w:noWrap/>
            <w:tcMar>
              <w:left w:w="28" w:type="dxa"/>
              <w:right w:w="28" w:type="dxa"/>
            </w:tcMar>
            <w:vAlign w:val="center"/>
          </w:tcPr>
          <w:p w14:paraId="157A235C">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0ECCC59">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5AA2CC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w:t>
            </w:r>
          </w:p>
        </w:tc>
        <w:tc>
          <w:tcPr>
            <w:tcW w:w="3400" w:type="dxa"/>
            <w:vMerge w:val="continue"/>
            <w:noWrap/>
            <w:tcMar>
              <w:left w:w="28" w:type="dxa"/>
              <w:right w:w="28" w:type="dxa"/>
            </w:tcMar>
            <w:vAlign w:val="center"/>
          </w:tcPr>
          <w:p w14:paraId="4EBC10C2">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1F9703C1">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3BB749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1.9×10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BA428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69CCA67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27</w:t>
            </w:r>
          </w:p>
        </w:tc>
        <w:tc>
          <w:tcPr>
            <w:tcW w:w="520" w:type="dxa"/>
            <w:gridSpan w:val="2"/>
            <w:vMerge w:val="continue"/>
            <w:noWrap/>
            <w:tcMar>
              <w:left w:w="28" w:type="dxa"/>
              <w:right w:w="28" w:type="dxa"/>
            </w:tcMar>
            <w:vAlign w:val="center"/>
          </w:tcPr>
          <w:p w14:paraId="6BFA7389">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5A06CF1">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184A5E9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氯苯</w:t>
            </w:r>
          </w:p>
        </w:tc>
        <w:tc>
          <w:tcPr>
            <w:tcW w:w="3400" w:type="dxa"/>
            <w:vMerge w:val="continue"/>
            <w:noWrap/>
            <w:tcMar>
              <w:left w:w="28" w:type="dxa"/>
              <w:right w:w="28" w:type="dxa"/>
            </w:tcMar>
            <w:vAlign w:val="center"/>
          </w:tcPr>
          <w:p w14:paraId="35A74CCE">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65AA5220">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482E70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0B3AC6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2514D2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520" w:type="dxa"/>
            <w:gridSpan w:val="2"/>
            <w:vMerge w:val="continue"/>
            <w:noWrap/>
            <w:tcMar>
              <w:left w:w="28" w:type="dxa"/>
              <w:right w:w="28" w:type="dxa"/>
            </w:tcMar>
            <w:vAlign w:val="center"/>
          </w:tcPr>
          <w:p w14:paraId="6CD2367F">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0467566">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738EEA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1，2-二氯苯</w:t>
            </w:r>
          </w:p>
        </w:tc>
        <w:tc>
          <w:tcPr>
            <w:tcW w:w="3400" w:type="dxa"/>
            <w:vMerge w:val="continue"/>
            <w:noWrap/>
            <w:tcMar>
              <w:left w:w="28" w:type="dxa"/>
              <w:right w:w="28" w:type="dxa"/>
            </w:tcMar>
            <w:vAlign w:val="center"/>
          </w:tcPr>
          <w:p w14:paraId="219D6DE8">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24666A05">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5638DF4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039AA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78A5C21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29</w:t>
            </w:r>
          </w:p>
        </w:tc>
        <w:tc>
          <w:tcPr>
            <w:tcW w:w="520" w:type="dxa"/>
            <w:gridSpan w:val="2"/>
            <w:vMerge w:val="continue"/>
            <w:noWrap/>
            <w:tcMar>
              <w:left w:w="28" w:type="dxa"/>
              <w:right w:w="28" w:type="dxa"/>
            </w:tcMar>
            <w:vAlign w:val="center"/>
          </w:tcPr>
          <w:p w14:paraId="7EF64989">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3496BBB7">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4D849C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1，4-二氯苯</w:t>
            </w:r>
          </w:p>
        </w:tc>
        <w:tc>
          <w:tcPr>
            <w:tcW w:w="3400" w:type="dxa"/>
            <w:vMerge w:val="continue"/>
            <w:noWrap/>
            <w:tcMar>
              <w:left w:w="28" w:type="dxa"/>
              <w:right w:w="28" w:type="dxa"/>
            </w:tcMar>
            <w:vAlign w:val="center"/>
          </w:tcPr>
          <w:p w14:paraId="2B8C47D4">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3F04D4A7">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635A9AB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A9007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0B5A62C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520" w:type="dxa"/>
            <w:gridSpan w:val="2"/>
            <w:vMerge w:val="continue"/>
            <w:noWrap/>
            <w:tcMar>
              <w:left w:w="28" w:type="dxa"/>
              <w:right w:w="28" w:type="dxa"/>
            </w:tcMar>
            <w:vAlign w:val="center"/>
          </w:tcPr>
          <w:p w14:paraId="4E09D00A">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32C844C1">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750A1E0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乙苯</w:t>
            </w:r>
          </w:p>
        </w:tc>
        <w:tc>
          <w:tcPr>
            <w:tcW w:w="3400" w:type="dxa"/>
            <w:vMerge w:val="continue"/>
            <w:noWrap/>
            <w:tcMar>
              <w:left w:w="28" w:type="dxa"/>
              <w:right w:w="28" w:type="dxa"/>
            </w:tcMar>
            <w:vAlign w:val="center"/>
          </w:tcPr>
          <w:p w14:paraId="679B4775">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5932E927">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30622C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F3213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680C60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31</w:t>
            </w:r>
          </w:p>
        </w:tc>
        <w:tc>
          <w:tcPr>
            <w:tcW w:w="520" w:type="dxa"/>
            <w:gridSpan w:val="2"/>
            <w:vMerge w:val="continue"/>
            <w:noWrap/>
            <w:tcMar>
              <w:left w:w="28" w:type="dxa"/>
              <w:right w:w="28" w:type="dxa"/>
            </w:tcMar>
            <w:vAlign w:val="center"/>
          </w:tcPr>
          <w:p w14:paraId="1C4BDA8F">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918432D">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41C75B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苯乙烯</w:t>
            </w:r>
          </w:p>
        </w:tc>
        <w:tc>
          <w:tcPr>
            <w:tcW w:w="3400" w:type="dxa"/>
            <w:vMerge w:val="continue"/>
            <w:noWrap/>
            <w:tcMar>
              <w:left w:w="28" w:type="dxa"/>
              <w:right w:w="28" w:type="dxa"/>
            </w:tcMar>
            <w:vAlign w:val="center"/>
          </w:tcPr>
          <w:p w14:paraId="62AEF253">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332738E3">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4606990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549B32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7C6C5E2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32</w:t>
            </w:r>
          </w:p>
        </w:tc>
        <w:tc>
          <w:tcPr>
            <w:tcW w:w="520" w:type="dxa"/>
            <w:gridSpan w:val="2"/>
            <w:vMerge w:val="continue"/>
            <w:noWrap/>
            <w:tcMar>
              <w:left w:w="28" w:type="dxa"/>
              <w:right w:w="28" w:type="dxa"/>
            </w:tcMar>
            <w:vAlign w:val="center"/>
          </w:tcPr>
          <w:p w14:paraId="2AB5C743">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A86943B">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4C82E16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甲苯</w:t>
            </w:r>
          </w:p>
        </w:tc>
        <w:tc>
          <w:tcPr>
            <w:tcW w:w="3400" w:type="dxa"/>
            <w:vMerge w:val="continue"/>
            <w:noWrap/>
            <w:tcMar>
              <w:left w:w="28" w:type="dxa"/>
              <w:right w:w="28" w:type="dxa"/>
            </w:tcMar>
            <w:vAlign w:val="center"/>
          </w:tcPr>
          <w:p w14:paraId="75BF5DB2">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0321C1EE">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77BE2B0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34B3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3801E28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33</w:t>
            </w:r>
          </w:p>
        </w:tc>
        <w:tc>
          <w:tcPr>
            <w:tcW w:w="520" w:type="dxa"/>
            <w:gridSpan w:val="2"/>
            <w:vMerge w:val="continue"/>
            <w:noWrap/>
            <w:tcMar>
              <w:left w:w="28" w:type="dxa"/>
              <w:right w:w="28" w:type="dxa"/>
            </w:tcMar>
            <w:vAlign w:val="center"/>
          </w:tcPr>
          <w:p w14:paraId="714A5F3D">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D79461A">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34ECE83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间-二甲苯+对-二甲苯</w:t>
            </w:r>
          </w:p>
        </w:tc>
        <w:tc>
          <w:tcPr>
            <w:tcW w:w="3400" w:type="dxa"/>
            <w:vMerge w:val="continue"/>
            <w:noWrap/>
            <w:tcMar>
              <w:left w:w="28" w:type="dxa"/>
              <w:right w:w="28" w:type="dxa"/>
            </w:tcMar>
            <w:vAlign w:val="center"/>
          </w:tcPr>
          <w:p w14:paraId="7183A8C0">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156EAF88">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423570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65B9D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DAD23B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34</w:t>
            </w:r>
          </w:p>
        </w:tc>
        <w:tc>
          <w:tcPr>
            <w:tcW w:w="520" w:type="dxa"/>
            <w:gridSpan w:val="2"/>
            <w:vMerge w:val="continue"/>
            <w:noWrap/>
            <w:tcMar>
              <w:left w:w="28" w:type="dxa"/>
              <w:right w:w="28" w:type="dxa"/>
            </w:tcMar>
            <w:vAlign w:val="center"/>
          </w:tcPr>
          <w:p w14:paraId="4CABC361">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4A20EE5">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17C4ED7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邻-二甲苯</w:t>
            </w:r>
          </w:p>
        </w:tc>
        <w:tc>
          <w:tcPr>
            <w:tcW w:w="3400" w:type="dxa"/>
            <w:vMerge w:val="continue"/>
            <w:noWrap/>
            <w:tcMar>
              <w:left w:w="28" w:type="dxa"/>
              <w:right w:w="28" w:type="dxa"/>
            </w:tcMar>
            <w:vAlign w:val="center"/>
          </w:tcPr>
          <w:p w14:paraId="6DB2CB34">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47CD9CE7">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6D00227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6DFE12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78F749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520" w:type="dxa"/>
            <w:gridSpan w:val="2"/>
            <w:vMerge w:val="continue"/>
            <w:noWrap/>
            <w:tcMar>
              <w:left w:w="28" w:type="dxa"/>
              <w:right w:w="28" w:type="dxa"/>
            </w:tcMar>
            <w:vAlign w:val="center"/>
          </w:tcPr>
          <w:p w14:paraId="60464F6B">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5214F89B">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574115F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乙苯</w:t>
            </w:r>
          </w:p>
        </w:tc>
        <w:tc>
          <w:tcPr>
            <w:tcW w:w="3400" w:type="dxa"/>
            <w:vMerge w:val="continue"/>
            <w:noWrap/>
            <w:tcMar>
              <w:left w:w="28" w:type="dxa"/>
              <w:right w:w="28" w:type="dxa"/>
            </w:tcMar>
            <w:vAlign w:val="center"/>
          </w:tcPr>
          <w:p w14:paraId="5046E1EB">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18D75709">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7563FBD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4842D7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25C3613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31</w:t>
            </w:r>
          </w:p>
        </w:tc>
        <w:tc>
          <w:tcPr>
            <w:tcW w:w="520" w:type="dxa"/>
            <w:gridSpan w:val="2"/>
            <w:vMerge w:val="continue"/>
            <w:noWrap/>
            <w:tcMar>
              <w:left w:w="28" w:type="dxa"/>
              <w:right w:w="28" w:type="dxa"/>
            </w:tcMar>
            <w:vAlign w:val="center"/>
          </w:tcPr>
          <w:p w14:paraId="602B6AC7">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68DDAF11">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670DB95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苯乙烯</w:t>
            </w:r>
          </w:p>
        </w:tc>
        <w:tc>
          <w:tcPr>
            <w:tcW w:w="3400" w:type="dxa"/>
            <w:vMerge w:val="continue"/>
            <w:noWrap/>
            <w:tcMar>
              <w:left w:w="28" w:type="dxa"/>
              <w:right w:w="28" w:type="dxa"/>
            </w:tcMar>
            <w:vAlign w:val="center"/>
          </w:tcPr>
          <w:p w14:paraId="5719AFF6">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759EB711">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4A5AA92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7A59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6D0C53E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32</w:t>
            </w:r>
          </w:p>
        </w:tc>
        <w:tc>
          <w:tcPr>
            <w:tcW w:w="520" w:type="dxa"/>
            <w:gridSpan w:val="2"/>
            <w:vMerge w:val="continue"/>
            <w:noWrap/>
            <w:tcMar>
              <w:left w:w="28" w:type="dxa"/>
              <w:right w:w="28" w:type="dxa"/>
            </w:tcMar>
            <w:vAlign w:val="center"/>
          </w:tcPr>
          <w:p w14:paraId="7164C189">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24F0CFB">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42251F9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甲苯</w:t>
            </w:r>
          </w:p>
        </w:tc>
        <w:tc>
          <w:tcPr>
            <w:tcW w:w="3400" w:type="dxa"/>
            <w:vMerge w:val="continue"/>
            <w:noWrap/>
            <w:tcMar>
              <w:left w:w="28" w:type="dxa"/>
              <w:right w:w="28" w:type="dxa"/>
            </w:tcMar>
            <w:vAlign w:val="center"/>
          </w:tcPr>
          <w:p w14:paraId="4D6FFA9E">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1B677AA0">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5285E97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CE240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0B0A56F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33</w:t>
            </w:r>
          </w:p>
        </w:tc>
        <w:tc>
          <w:tcPr>
            <w:tcW w:w="520" w:type="dxa"/>
            <w:gridSpan w:val="2"/>
            <w:vMerge w:val="continue"/>
            <w:noWrap/>
            <w:tcMar>
              <w:left w:w="28" w:type="dxa"/>
              <w:right w:w="28" w:type="dxa"/>
            </w:tcMar>
            <w:vAlign w:val="center"/>
          </w:tcPr>
          <w:p w14:paraId="6A52024C">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72F6786B">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0A8675C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间-二甲苯+对-二甲苯</w:t>
            </w:r>
          </w:p>
        </w:tc>
        <w:tc>
          <w:tcPr>
            <w:tcW w:w="3400" w:type="dxa"/>
            <w:vMerge w:val="continue"/>
            <w:noWrap/>
            <w:tcMar>
              <w:left w:w="28" w:type="dxa"/>
              <w:right w:w="28" w:type="dxa"/>
            </w:tcMar>
            <w:vAlign w:val="center"/>
          </w:tcPr>
          <w:p w14:paraId="392EDBB6">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156B7559">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BEDD83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21FDC8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6CC2BF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34</w:t>
            </w:r>
          </w:p>
        </w:tc>
        <w:tc>
          <w:tcPr>
            <w:tcW w:w="520" w:type="dxa"/>
            <w:gridSpan w:val="2"/>
            <w:vMerge w:val="continue"/>
            <w:noWrap/>
            <w:tcMar>
              <w:left w:w="28" w:type="dxa"/>
              <w:right w:w="28" w:type="dxa"/>
            </w:tcMar>
            <w:vAlign w:val="center"/>
          </w:tcPr>
          <w:p w14:paraId="59F5D83A">
            <w:pPr>
              <w:spacing w:line="0" w:lineRule="atLeast"/>
              <w:jc w:val="center"/>
              <w:rPr>
                <w:rFonts w:hint="eastAsia" w:hAnsi="宋体" w:cs="宋体"/>
                <w:color w:val="000000"/>
                <w:spacing w:val="-10"/>
                <w:sz w:val="21"/>
                <w:szCs w:val="21"/>
              </w:rPr>
            </w:pPr>
          </w:p>
        </w:tc>
        <w:tc>
          <w:tcPr>
            <w:tcW w:w="565" w:type="dxa"/>
            <w:vMerge w:val="continue"/>
            <w:noWrap/>
            <w:tcMar>
              <w:left w:w="28" w:type="dxa"/>
              <w:right w:w="28" w:type="dxa"/>
            </w:tcMar>
            <w:vAlign w:val="center"/>
          </w:tcPr>
          <w:p w14:paraId="4105A7C2">
            <w:pPr>
              <w:spacing w:line="0" w:lineRule="atLeast"/>
              <w:jc w:val="center"/>
              <w:rPr>
                <w:rFonts w:hint="eastAsia" w:hAnsi="宋体" w:cs="宋体"/>
                <w:color w:val="000000"/>
                <w:spacing w:val="-10"/>
                <w:sz w:val="21"/>
                <w:szCs w:val="21"/>
              </w:rPr>
            </w:pPr>
          </w:p>
        </w:tc>
        <w:tc>
          <w:tcPr>
            <w:tcW w:w="1006" w:type="dxa"/>
            <w:gridSpan w:val="3"/>
            <w:noWrap/>
            <w:tcMar>
              <w:left w:w="28" w:type="dxa"/>
              <w:right w:w="28" w:type="dxa"/>
            </w:tcMar>
            <w:vAlign w:val="center"/>
          </w:tcPr>
          <w:p w14:paraId="2700973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邻-二甲苯</w:t>
            </w:r>
          </w:p>
        </w:tc>
        <w:tc>
          <w:tcPr>
            <w:tcW w:w="3400" w:type="dxa"/>
            <w:vMerge w:val="continue"/>
            <w:noWrap/>
            <w:tcMar>
              <w:left w:w="28" w:type="dxa"/>
              <w:right w:w="28" w:type="dxa"/>
            </w:tcMar>
            <w:vAlign w:val="center"/>
          </w:tcPr>
          <w:p w14:paraId="71676337">
            <w:pPr>
              <w:spacing w:line="0" w:lineRule="atLeast"/>
              <w:jc w:val="center"/>
              <w:rPr>
                <w:rFonts w:hint="eastAsia" w:hAnsi="宋体" w:cs="宋体"/>
                <w:color w:val="000000"/>
                <w:spacing w:val="-10"/>
                <w:sz w:val="21"/>
                <w:szCs w:val="21"/>
              </w:rPr>
            </w:pPr>
          </w:p>
        </w:tc>
        <w:tc>
          <w:tcPr>
            <w:tcW w:w="1591" w:type="dxa"/>
            <w:gridSpan w:val="2"/>
            <w:vMerge w:val="continue"/>
            <w:noWrap/>
            <w:tcMar>
              <w:left w:w="28" w:type="dxa"/>
              <w:right w:w="28" w:type="dxa"/>
            </w:tcMar>
            <w:vAlign w:val="center"/>
          </w:tcPr>
          <w:p w14:paraId="008373B5">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7FD6D15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1.2×10</w:t>
            </w:r>
            <w:r>
              <w:rPr>
                <w:rFonts w:hint="eastAsia" w:hAnsi="宋体" w:cs="宋体"/>
                <w:color w:val="000000"/>
                <w:spacing w:val="-10"/>
                <w:sz w:val="21"/>
                <w:szCs w:val="21"/>
                <w:vertAlign w:val="superscript"/>
              </w:rPr>
              <w:t>-3</w:t>
            </w:r>
            <w:r>
              <w:rPr>
                <w:rFonts w:hint="eastAsia" w:hAnsi="宋体" w:cs="宋体"/>
                <w:color w:val="000000"/>
                <w:spacing w:val="-10"/>
                <w:sz w:val="21"/>
                <w:szCs w:val="21"/>
              </w:rPr>
              <w:t>mg/kg</w:t>
            </w:r>
          </w:p>
        </w:tc>
      </w:tr>
      <w:tr w14:paraId="74702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40EB9C8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35</w:t>
            </w:r>
          </w:p>
        </w:tc>
        <w:tc>
          <w:tcPr>
            <w:tcW w:w="510" w:type="dxa"/>
            <w:vMerge w:val="restart"/>
            <w:noWrap/>
            <w:tcMar>
              <w:left w:w="28" w:type="dxa"/>
              <w:right w:w="28" w:type="dxa"/>
            </w:tcMar>
            <w:vAlign w:val="center"/>
          </w:tcPr>
          <w:p w14:paraId="5BAD224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w:t>
            </w:r>
          </w:p>
        </w:tc>
        <w:tc>
          <w:tcPr>
            <w:tcW w:w="581" w:type="dxa"/>
            <w:gridSpan w:val="3"/>
            <w:vMerge w:val="restart"/>
            <w:noWrap/>
            <w:tcMar>
              <w:left w:w="28" w:type="dxa"/>
              <w:right w:w="28" w:type="dxa"/>
            </w:tcMar>
            <w:vAlign w:val="center"/>
          </w:tcPr>
          <w:p w14:paraId="0590FA8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半挥发性有机物</w:t>
            </w:r>
          </w:p>
        </w:tc>
        <w:tc>
          <w:tcPr>
            <w:tcW w:w="994" w:type="dxa"/>
            <w:noWrap/>
            <w:tcMar>
              <w:left w:w="28" w:type="dxa"/>
              <w:right w:w="28" w:type="dxa"/>
            </w:tcMar>
            <w:vAlign w:val="center"/>
          </w:tcPr>
          <w:p w14:paraId="6B23530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硝基苯</w:t>
            </w:r>
          </w:p>
        </w:tc>
        <w:tc>
          <w:tcPr>
            <w:tcW w:w="3414" w:type="dxa"/>
            <w:gridSpan w:val="3"/>
            <w:vMerge w:val="restart"/>
            <w:noWrap/>
            <w:tcMar>
              <w:left w:w="28" w:type="dxa"/>
              <w:right w:w="28" w:type="dxa"/>
            </w:tcMar>
            <w:vAlign w:val="center"/>
          </w:tcPr>
          <w:p w14:paraId="353687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《土壤和沉积物 半挥发性有机物的测定 气相色谱-质谱法》（HJ 834-2017）</w:t>
            </w:r>
          </w:p>
        </w:tc>
        <w:tc>
          <w:tcPr>
            <w:tcW w:w="1583" w:type="dxa"/>
            <w:vMerge w:val="restart"/>
            <w:noWrap/>
            <w:tcMar>
              <w:left w:w="28" w:type="dxa"/>
              <w:right w:w="28" w:type="dxa"/>
            </w:tcMar>
            <w:vAlign w:val="center"/>
          </w:tcPr>
          <w:p w14:paraId="28A2532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8860/5977B气相色谱-质谱联用仪</w:t>
            </w:r>
          </w:p>
        </w:tc>
        <w:tc>
          <w:tcPr>
            <w:tcW w:w="1596" w:type="dxa"/>
            <w:noWrap/>
            <w:tcMar>
              <w:left w:w="28" w:type="dxa"/>
              <w:right w:w="28" w:type="dxa"/>
            </w:tcMar>
            <w:vAlign w:val="center"/>
          </w:tcPr>
          <w:p w14:paraId="242705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0.09 mg/kg</w:t>
            </w:r>
          </w:p>
        </w:tc>
      </w:tr>
      <w:tr w14:paraId="7ACB40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0355499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36</w:t>
            </w:r>
          </w:p>
        </w:tc>
        <w:tc>
          <w:tcPr>
            <w:tcW w:w="510" w:type="dxa"/>
            <w:vMerge w:val="continue"/>
            <w:noWrap/>
            <w:tcMar>
              <w:left w:w="28" w:type="dxa"/>
              <w:right w:w="28" w:type="dxa"/>
            </w:tcMar>
            <w:vAlign w:val="center"/>
          </w:tcPr>
          <w:p w14:paraId="585701B0">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2C09670A">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13A865C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苯胺</w:t>
            </w:r>
          </w:p>
        </w:tc>
        <w:tc>
          <w:tcPr>
            <w:tcW w:w="3414" w:type="dxa"/>
            <w:gridSpan w:val="3"/>
            <w:vMerge w:val="continue"/>
            <w:noWrap/>
            <w:tcMar>
              <w:left w:w="28" w:type="dxa"/>
              <w:right w:w="28" w:type="dxa"/>
            </w:tcMar>
            <w:vAlign w:val="center"/>
          </w:tcPr>
          <w:p w14:paraId="6B405A1E">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37675850">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851F46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0.09 mg/kg</w:t>
            </w:r>
          </w:p>
        </w:tc>
      </w:tr>
      <w:tr w14:paraId="202395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39F27C1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37</w:t>
            </w:r>
          </w:p>
        </w:tc>
        <w:tc>
          <w:tcPr>
            <w:tcW w:w="510" w:type="dxa"/>
            <w:vMerge w:val="continue"/>
            <w:noWrap/>
            <w:tcMar>
              <w:left w:w="28" w:type="dxa"/>
              <w:right w:w="28" w:type="dxa"/>
            </w:tcMar>
            <w:vAlign w:val="center"/>
          </w:tcPr>
          <w:p w14:paraId="35F20B30">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3173868F">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19AB5B5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2-氯酚</w:t>
            </w:r>
          </w:p>
        </w:tc>
        <w:tc>
          <w:tcPr>
            <w:tcW w:w="3414" w:type="dxa"/>
            <w:gridSpan w:val="3"/>
            <w:vMerge w:val="continue"/>
            <w:noWrap/>
            <w:tcMar>
              <w:left w:w="28" w:type="dxa"/>
              <w:right w:w="28" w:type="dxa"/>
            </w:tcMar>
            <w:vAlign w:val="center"/>
          </w:tcPr>
          <w:p w14:paraId="6CDCE2D6">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6C49122">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407826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0.06 mg/kg</w:t>
            </w:r>
          </w:p>
        </w:tc>
      </w:tr>
      <w:tr w14:paraId="6BCE6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44BF83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38</w:t>
            </w:r>
          </w:p>
        </w:tc>
        <w:tc>
          <w:tcPr>
            <w:tcW w:w="510" w:type="dxa"/>
            <w:vMerge w:val="continue"/>
            <w:noWrap/>
            <w:tcMar>
              <w:left w:w="28" w:type="dxa"/>
              <w:right w:w="28" w:type="dxa"/>
            </w:tcMar>
            <w:vAlign w:val="center"/>
          </w:tcPr>
          <w:p w14:paraId="0B12FFEE">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4B5F6FA3">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43A8C20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苯并〔a〕蒽</w:t>
            </w:r>
          </w:p>
        </w:tc>
        <w:tc>
          <w:tcPr>
            <w:tcW w:w="3414" w:type="dxa"/>
            <w:gridSpan w:val="3"/>
            <w:vMerge w:val="continue"/>
            <w:noWrap/>
            <w:tcMar>
              <w:left w:w="28" w:type="dxa"/>
              <w:right w:w="28" w:type="dxa"/>
            </w:tcMar>
            <w:vAlign w:val="center"/>
          </w:tcPr>
          <w:p w14:paraId="55E91EAF">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4E0A2223">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2D1E3C9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4E6F4D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3D764D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39</w:t>
            </w:r>
          </w:p>
        </w:tc>
        <w:tc>
          <w:tcPr>
            <w:tcW w:w="510" w:type="dxa"/>
            <w:vMerge w:val="continue"/>
            <w:noWrap/>
            <w:tcMar>
              <w:left w:w="28" w:type="dxa"/>
              <w:right w:w="28" w:type="dxa"/>
            </w:tcMar>
            <w:vAlign w:val="center"/>
          </w:tcPr>
          <w:p w14:paraId="53919DAE">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1318DFA7">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7AEF065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苯并〔a〕芘</w:t>
            </w:r>
          </w:p>
        </w:tc>
        <w:tc>
          <w:tcPr>
            <w:tcW w:w="3414" w:type="dxa"/>
            <w:gridSpan w:val="3"/>
            <w:vMerge w:val="continue"/>
            <w:noWrap/>
            <w:tcMar>
              <w:left w:w="28" w:type="dxa"/>
              <w:right w:w="28" w:type="dxa"/>
            </w:tcMar>
            <w:vAlign w:val="center"/>
          </w:tcPr>
          <w:p w14:paraId="53ADEF38">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349CE5A">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3C7A88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618500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7BC443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510" w:type="dxa"/>
            <w:vMerge w:val="continue"/>
            <w:noWrap/>
            <w:tcMar>
              <w:left w:w="28" w:type="dxa"/>
              <w:right w:w="28" w:type="dxa"/>
            </w:tcMar>
            <w:vAlign w:val="center"/>
          </w:tcPr>
          <w:p w14:paraId="0B85BA05">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21F88749">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6BD4516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苯并〔b〕荧蒽</w:t>
            </w:r>
          </w:p>
        </w:tc>
        <w:tc>
          <w:tcPr>
            <w:tcW w:w="3414" w:type="dxa"/>
            <w:gridSpan w:val="3"/>
            <w:vMerge w:val="continue"/>
            <w:noWrap/>
            <w:tcMar>
              <w:left w:w="28" w:type="dxa"/>
              <w:right w:w="28" w:type="dxa"/>
            </w:tcMar>
            <w:vAlign w:val="center"/>
          </w:tcPr>
          <w:p w14:paraId="35EC1237">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496307F7">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6FE4E88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0.2 mg/kg</w:t>
            </w:r>
          </w:p>
        </w:tc>
      </w:tr>
      <w:tr w14:paraId="5D90F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793DEAB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41</w:t>
            </w:r>
          </w:p>
        </w:tc>
        <w:tc>
          <w:tcPr>
            <w:tcW w:w="510" w:type="dxa"/>
            <w:vMerge w:val="continue"/>
            <w:noWrap/>
            <w:tcMar>
              <w:left w:w="28" w:type="dxa"/>
              <w:right w:w="28" w:type="dxa"/>
            </w:tcMar>
            <w:vAlign w:val="center"/>
          </w:tcPr>
          <w:p w14:paraId="1100A8E8">
            <w:pPr>
              <w:spacing w:line="0" w:lineRule="atLeast"/>
              <w:jc w:val="center"/>
              <w:rPr>
                <w:rFonts w:hint="eastAsia" w:hAnsi="宋体" w:cs="宋体"/>
                <w:color w:val="000000"/>
                <w:spacing w:val="-10"/>
                <w:sz w:val="21"/>
                <w:szCs w:val="21"/>
              </w:rPr>
            </w:pPr>
          </w:p>
        </w:tc>
        <w:tc>
          <w:tcPr>
            <w:tcW w:w="581" w:type="dxa"/>
            <w:gridSpan w:val="3"/>
            <w:vMerge w:val="continue"/>
            <w:noWrap/>
            <w:tcMar>
              <w:left w:w="28" w:type="dxa"/>
              <w:right w:w="28" w:type="dxa"/>
            </w:tcMar>
            <w:vAlign w:val="center"/>
          </w:tcPr>
          <w:p w14:paraId="57E29925">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0402D73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苯并〔k〕荧蒽</w:t>
            </w:r>
          </w:p>
        </w:tc>
        <w:tc>
          <w:tcPr>
            <w:tcW w:w="3414" w:type="dxa"/>
            <w:gridSpan w:val="3"/>
            <w:vMerge w:val="continue"/>
            <w:noWrap/>
            <w:tcMar>
              <w:left w:w="28" w:type="dxa"/>
              <w:right w:w="28" w:type="dxa"/>
            </w:tcMar>
            <w:vAlign w:val="center"/>
          </w:tcPr>
          <w:p w14:paraId="42C56617">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13941BD4">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11FEBC5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bl>
    <w:p w14:paraId="3AF17228">
      <w:pPr>
        <w:pStyle w:val="100"/>
        <w:tabs>
          <w:tab w:val="left" w:pos="0"/>
        </w:tabs>
        <w:snapToGrid/>
        <w:spacing w:after="0" w:line="460" w:lineRule="exact"/>
        <w:ind w:firstLine="506" w:firstLineChars="200"/>
        <w:jc w:val="both"/>
        <w:rPr>
          <w:rFonts w:ascii="黑体"/>
          <w:b w:val="0"/>
          <w:bCs w:val="0"/>
          <w:color w:val="000000"/>
          <w:spacing w:val="5"/>
          <w:kern w:val="2"/>
          <w:szCs w:val="24"/>
          <w:lang w:val="zh-CN"/>
        </w:rPr>
      </w:pPr>
      <w:r>
        <w:br w:type="page"/>
      </w:r>
      <w:r>
        <w:rPr>
          <w:rFonts w:hint="eastAsia" w:ascii="黑体"/>
          <w:b w:val="0"/>
          <w:bCs w:val="0"/>
          <w:color w:val="000000"/>
          <w:spacing w:val="5"/>
          <w:kern w:val="2"/>
          <w:szCs w:val="24"/>
        </w:rPr>
        <w:t xml:space="preserve">续表4.5-3   </w:t>
      </w:r>
      <w:r>
        <w:rPr>
          <w:rFonts w:hint="eastAsia" w:ascii="黑体" w:cs="黑体"/>
          <w:b w:val="0"/>
          <w:bCs w:val="0"/>
          <w:color w:val="000000"/>
          <w:spacing w:val="5"/>
          <w:kern w:val="2"/>
          <w:szCs w:val="24"/>
          <w:lang w:val="zh-CN"/>
        </w:rPr>
        <w:t>土壤环境监测项目、分析方法及依据一览表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7"/>
        <w:gridCol w:w="510"/>
        <w:gridCol w:w="10"/>
        <w:gridCol w:w="571"/>
        <w:gridCol w:w="994"/>
        <w:gridCol w:w="6"/>
        <w:gridCol w:w="3400"/>
        <w:gridCol w:w="8"/>
        <w:gridCol w:w="1583"/>
        <w:gridCol w:w="1596"/>
      </w:tblGrid>
      <w:tr w14:paraId="2C685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37" w:type="dxa"/>
            <w:noWrap/>
            <w:tcMar>
              <w:left w:w="28" w:type="dxa"/>
              <w:right w:w="28" w:type="dxa"/>
            </w:tcMar>
            <w:vAlign w:val="center"/>
          </w:tcPr>
          <w:p w14:paraId="0521F96D">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520" w:type="dxa"/>
            <w:gridSpan w:val="2"/>
            <w:noWrap/>
            <w:tcMar>
              <w:left w:w="28" w:type="dxa"/>
              <w:right w:w="28" w:type="dxa"/>
            </w:tcMar>
            <w:vAlign w:val="center"/>
          </w:tcPr>
          <w:p w14:paraId="535E8CC0">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1571" w:type="dxa"/>
            <w:gridSpan w:val="3"/>
            <w:noWrap/>
            <w:tcMar>
              <w:left w:w="28" w:type="dxa"/>
              <w:right w:w="28" w:type="dxa"/>
            </w:tcMar>
            <w:vAlign w:val="center"/>
          </w:tcPr>
          <w:p w14:paraId="74D6119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检测项目</w:t>
            </w:r>
          </w:p>
        </w:tc>
        <w:tc>
          <w:tcPr>
            <w:tcW w:w="3400" w:type="dxa"/>
            <w:noWrap/>
            <w:tcMar>
              <w:left w:w="28" w:type="dxa"/>
              <w:right w:w="28" w:type="dxa"/>
            </w:tcMar>
            <w:vAlign w:val="center"/>
          </w:tcPr>
          <w:p w14:paraId="6F6E0069">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检测方法</w:t>
            </w:r>
          </w:p>
        </w:tc>
        <w:tc>
          <w:tcPr>
            <w:tcW w:w="1591" w:type="dxa"/>
            <w:gridSpan w:val="2"/>
            <w:noWrap/>
            <w:tcMar>
              <w:left w:w="28" w:type="dxa"/>
              <w:right w:w="28" w:type="dxa"/>
            </w:tcMar>
            <w:vAlign w:val="center"/>
          </w:tcPr>
          <w:p w14:paraId="0910C43C">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主要仪器型号、</w:t>
            </w:r>
          </w:p>
          <w:p w14:paraId="63F237C2">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名称</w:t>
            </w:r>
          </w:p>
        </w:tc>
        <w:tc>
          <w:tcPr>
            <w:tcW w:w="1596" w:type="dxa"/>
            <w:noWrap/>
            <w:tcMar>
              <w:left w:w="28" w:type="dxa"/>
              <w:right w:w="28" w:type="dxa"/>
            </w:tcMar>
            <w:vAlign w:val="center"/>
          </w:tcPr>
          <w:p w14:paraId="37648968">
            <w:pPr>
              <w:spacing w:line="270" w:lineRule="exact"/>
              <w:jc w:val="center"/>
              <w:rPr>
                <w:rFonts w:hint="eastAsia" w:hAnsi="宋体" w:cs="宋体"/>
                <w:color w:val="000000"/>
                <w:spacing w:val="-10"/>
                <w:sz w:val="21"/>
                <w:szCs w:val="21"/>
              </w:rPr>
            </w:pPr>
            <w:r>
              <w:rPr>
                <w:rFonts w:hint="eastAsia" w:hAnsi="宋体" w:cs="宋体"/>
                <w:color w:val="000000"/>
                <w:spacing w:val="-10"/>
                <w:sz w:val="21"/>
                <w:szCs w:val="21"/>
              </w:rPr>
              <w:t>检出限/最低检出浓度</w:t>
            </w:r>
          </w:p>
        </w:tc>
      </w:tr>
      <w:tr w14:paraId="1D2255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78299F5">
            <w:pPr>
              <w:spacing w:line="0" w:lineRule="atLeast"/>
              <w:jc w:val="center"/>
              <w:rPr>
                <w:rFonts w:hint="eastAsia" w:hAnsi="宋体" w:cs="宋体"/>
                <w:color w:val="000000"/>
                <w:spacing w:val="-10"/>
                <w:sz w:val="21"/>
                <w:szCs w:val="21"/>
              </w:rPr>
            </w:pPr>
            <w:r>
              <w:rPr>
                <w:rFonts w:hint="eastAsia" w:hAnsi="宋体" w:cs="宋体"/>
                <w:b/>
                <w:bCs/>
                <w:color w:val="000000"/>
                <w:sz w:val="21"/>
                <w:szCs w:val="21"/>
              </w:rPr>
              <w:br w:type="page"/>
            </w:r>
            <w:r>
              <w:rPr>
                <w:rFonts w:hint="eastAsia" w:hAnsi="宋体" w:cs="宋体"/>
                <w:color w:val="000000"/>
                <w:spacing w:val="-10"/>
                <w:sz w:val="21"/>
                <w:szCs w:val="21"/>
              </w:rPr>
              <w:t>42</w:t>
            </w:r>
          </w:p>
        </w:tc>
        <w:tc>
          <w:tcPr>
            <w:tcW w:w="510" w:type="dxa"/>
            <w:vMerge w:val="restart"/>
            <w:noWrap/>
            <w:tcMar>
              <w:left w:w="28" w:type="dxa"/>
              <w:right w:w="28" w:type="dxa"/>
            </w:tcMar>
            <w:vAlign w:val="center"/>
          </w:tcPr>
          <w:p w14:paraId="0D516D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w:t>
            </w:r>
          </w:p>
        </w:tc>
        <w:tc>
          <w:tcPr>
            <w:tcW w:w="581" w:type="dxa"/>
            <w:gridSpan w:val="2"/>
            <w:vMerge w:val="restart"/>
            <w:noWrap/>
            <w:tcMar>
              <w:left w:w="28" w:type="dxa"/>
              <w:right w:w="28" w:type="dxa"/>
            </w:tcMar>
            <w:vAlign w:val="center"/>
          </w:tcPr>
          <w:p w14:paraId="6C9F0B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半挥发性有机物</w:t>
            </w:r>
          </w:p>
        </w:tc>
        <w:tc>
          <w:tcPr>
            <w:tcW w:w="994" w:type="dxa"/>
            <w:noWrap/>
            <w:tcMar>
              <w:left w:w="28" w:type="dxa"/>
              <w:right w:w="28" w:type="dxa"/>
            </w:tcMar>
            <w:vAlign w:val="center"/>
          </w:tcPr>
          <w:p w14:paraId="0D87E9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䓛</w:t>
            </w:r>
          </w:p>
        </w:tc>
        <w:tc>
          <w:tcPr>
            <w:tcW w:w="3414" w:type="dxa"/>
            <w:gridSpan w:val="3"/>
            <w:vMerge w:val="restart"/>
            <w:noWrap/>
            <w:tcMar>
              <w:left w:w="28" w:type="dxa"/>
              <w:right w:w="28" w:type="dxa"/>
            </w:tcMar>
            <w:vAlign w:val="center"/>
          </w:tcPr>
          <w:p w14:paraId="21D63A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《土壤和沉积物 半挥发性有机物的测定 气相色谱-质谱法》（HJ 834-2017）</w:t>
            </w:r>
          </w:p>
        </w:tc>
        <w:tc>
          <w:tcPr>
            <w:tcW w:w="1583" w:type="dxa"/>
            <w:vMerge w:val="restart"/>
            <w:noWrap/>
            <w:tcMar>
              <w:left w:w="28" w:type="dxa"/>
              <w:right w:w="28" w:type="dxa"/>
            </w:tcMar>
            <w:vAlign w:val="center"/>
          </w:tcPr>
          <w:p w14:paraId="153E0EB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8860/5977B气相色谱-质谱联用仪</w:t>
            </w:r>
          </w:p>
        </w:tc>
        <w:tc>
          <w:tcPr>
            <w:tcW w:w="1596" w:type="dxa"/>
            <w:noWrap/>
            <w:tcMar>
              <w:left w:w="28" w:type="dxa"/>
              <w:right w:w="28" w:type="dxa"/>
            </w:tcMar>
            <w:vAlign w:val="center"/>
          </w:tcPr>
          <w:p w14:paraId="6D69563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0147A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0F50F5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43</w:t>
            </w:r>
          </w:p>
        </w:tc>
        <w:tc>
          <w:tcPr>
            <w:tcW w:w="510" w:type="dxa"/>
            <w:vMerge w:val="continue"/>
            <w:noWrap/>
            <w:tcMar>
              <w:left w:w="28" w:type="dxa"/>
              <w:right w:w="28" w:type="dxa"/>
            </w:tcMar>
            <w:vAlign w:val="center"/>
          </w:tcPr>
          <w:p w14:paraId="110C8108">
            <w:pPr>
              <w:spacing w:line="0" w:lineRule="atLeast"/>
              <w:jc w:val="center"/>
              <w:rPr>
                <w:rFonts w:hint="eastAsia" w:hAnsi="宋体" w:cs="宋体"/>
                <w:color w:val="000000"/>
                <w:spacing w:val="-10"/>
                <w:sz w:val="21"/>
                <w:szCs w:val="21"/>
              </w:rPr>
            </w:pPr>
          </w:p>
        </w:tc>
        <w:tc>
          <w:tcPr>
            <w:tcW w:w="581" w:type="dxa"/>
            <w:gridSpan w:val="2"/>
            <w:vMerge w:val="continue"/>
            <w:noWrap/>
            <w:tcMar>
              <w:left w:w="28" w:type="dxa"/>
              <w:right w:w="28" w:type="dxa"/>
            </w:tcMar>
            <w:vAlign w:val="center"/>
          </w:tcPr>
          <w:p w14:paraId="4821F9CE">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47FB552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二苯并〔a，h〕蒽</w:t>
            </w:r>
          </w:p>
        </w:tc>
        <w:tc>
          <w:tcPr>
            <w:tcW w:w="3414" w:type="dxa"/>
            <w:gridSpan w:val="3"/>
            <w:vMerge w:val="continue"/>
            <w:noWrap/>
            <w:tcMar>
              <w:left w:w="28" w:type="dxa"/>
              <w:right w:w="28" w:type="dxa"/>
            </w:tcMar>
            <w:vAlign w:val="center"/>
          </w:tcPr>
          <w:p w14:paraId="3B02A94E">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60E66010">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020B018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1F022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3DCB9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44</w:t>
            </w:r>
          </w:p>
        </w:tc>
        <w:tc>
          <w:tcPr>
            <w:tcW w:w="510" w:type="dxa"/>
            <w:vMerge w:val="continue"/>
            <w:noWrap/>
            <w:tcMar>
              <w:left w:w="28" w:type="dxa"/>
              <w:right w:w="28" w:type="dxa"/>
            </w:tcMar>
            <w:vAlign w:val="center"/>
          </w:tcPr>
          <w:p w14:paraId="2544082D">
            <w:pPr>
              <w:spacing w:line="0" w:lineRule="atLeast"/>
              <w:jc w:val="center"/>
              <w:rPr>
                <w:rFonts w:hint="eastAsia" w:hAnsi="宋体" w:cs="宋体"/>
                <w:color w:val="000000"/>
                <w:spacing w:val="-10"/>
                <w:sz w:val="21"/>
                <w:szCs w:val="21"/>
              </w:rPr>
            </w:pPr>
          </w:p>
        </w:tc>
        <w:tc>
          <w:tcPr>
            <w:tcW w:w="581" w:type="dxa"/>
            <w:gridSpan w:val="2"/>
            <w:vMerge w:val="continue"/>
            <w:noWrap/>
            <w:tcMar>
              <w:left w:w="28" w:type="dxa"/>
              <w:right w:w="28" w:type="dxa"/>
            </w:tcMar>
            <w:vAlign w:val="center"/>
          </w:tcPr>
          <w:p w14:paraId="4C8E3B9E">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001FA4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茚并〔1，2，3-cd〕芘</w:t>
            </w:r>
          </w:p>
        </w:tc>
        <w:tc>
          <w:tcPr>
            <w:tcW w:w="3414" w:type="dxa"/>
            <w:gridSpan w:val="3"/>
            <w:vMerge w:val="continue"/>
            <w:noWrap/>
            <w:tcMar>
              <w:left w:w="28" w:type="dxa"/>
              <w:right w:w="28" w:type="dxa"/>
            </w:tcMar>
            <w:vAlign w:val="center"/>
          </w:tcPr>
          <w:p w14:paraId="41B6F7D4">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5C6DF4FE">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0F2DC85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mg/kg</w:t>
            </w:r>
          </w:p>
        </w:tc>
      </w:tr>
      <w:tr w14:paraId="27B19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264279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45</w:t>
            </w:r>
          </w:p>
        </w:tc>
        <w:tc>
          <w:tcPr>
            <w:tcW w:w="510" w:type="dxa"/>
            <w:vMerge w:val="continue"/>
            <w:noWrap/>
            <w:tcMar>
              <w:left w:w="28" w:type="dxa"/>
              <w:right w:w="28" w:type="dxa"/>
            </w:tcMar>
            <w:vAlign w:val="center"/>
          </w:tcPr>
          <w:p w14:paraId="26F2D2C0">
            <w:pPr>
              <w:spacing w:line="0" w:lineRule="atLeast"/>
              <w:jc w:val="center"/>
              <w:rPr>
                <w:rFonts w:hint="eastAsia" w:hAnsi="宋体" w:cs="宋体"/>
                <w:color w:val="000000"/>
                <w:spacing w:val="-10"/>
                <w:sz w:val="21"/>
                <w:szCs w:val="21"/>
              </w:rPr>
            </w:pPr>
          </w:p>
        </w:tc>
        <w:tc>
          <w:tcPr>
            <w:tcW w:w="581" w:type="dxa"/>
            <w:gridSpan w:val="2"/>
            <w:vMerge w:val="continue"/>
            <w:noWrap/>
            <w:tcMar>
              <w:left w:w="28" w:type="dxa"/>
              <w:right w:w="28" w:type="dxa"/>
            </w:tcMar>
            <w:vAlign w:val="center"/>
          </w:tcPr>
          <w:p w14:paraId="4A3994C8">
            <w:pPr>
              <w:spacing w:line="0" w:lineRule="atLeast"/>
              <w:jc w:val="center"/>
              <w:rPr>
                <w:rFonts w:hint="eastAsia" w:hAnsi="宋体" w:cs="宋体"/>
                <w:color w:val="000000"/>
                <w:spacing w:val="-10"/>
                <w:sz w:val="21"/>
                <w:szCs w:val="21"/>
              </w:rPr>
            </w:pPr>
          </w:p>
        </w:tc>
        <w:tc>
          <w:tcPr>
            <w:tcW w:w="994" w:type="dxa"/>
            <w:noWrap/>
            <w:tcMar>
              <w:left w:w="28" w:type="dxa"/>
              <w:right w:w="28" w:type="dxa"/>
            </w:tcMar>
            <w:vAlign w:val="center"/>
          </w:tcPr>
          <w:p w14:paraId="3C2AE57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萘</w:t>
            </w:r>
          </w:p>
        </w:tc>
        <w:tc>
          <w:tcPr>
            <w:tcW w:w="3414" w:type="dxa"/>
            <w:gridSpan w:val="3"/>
            <w:vMerge w:val="continue"/>
            <w:noWrap/>
            <w:tcMar>
              <w:left w:w="28" w:type="dxa"/>
              <w:right w:w="28" w:type="dxa"/>
            </w:tcMar>
            <w:vAlign w:val="center"/>
          </w:tcPr>
          <w:p w14:paraId="0AF7E980">
            <w:pPr>
              <w:spacing w:line="0" w:lineRule="atLeast"/>
              <w:jc w:val="center"/>
              <w:rPr>
                <w:rFonts w:hint="eastAsia" w:hAnsi="宋体" w:cs="宋体"/>
                <w:color w:val="000000"/>
                <w:spacing w:val="-10"/>
                <w:sz w:val="21"/>
                <w:szCs w:val="21"/>
              </w:rPr>
            </w:pPr>
          </w:p>
        </w:tc>
        <w:tc>
          <w:tcPr>
            <w:tcW w:w="1583" w:type="dxa"/>
            <w:vMerge w:val="continue"/>
            <w:noWrap/>
            <w:tcMar>
              <w:left w:w="28" w:type="dxa"/>
              <w:right w:w="28" w:type="dxa"/>
            </w:tcMar>
            <w:vAlign w:val="center"/>
          </w:tcPr>
          <w:p w14:paraId="533B4D35">
            <w:pPr>
              <w:spacing w:line="0" w:lineRule="atLeast"/>
              <w:jc w:val="center"/>
              <w:rPr>
                <w:rFonts w:hint="eastAsia" w:hAnsi="宋体" w:cs="宋体"/>
                <w:color w:val="000000"/>
                <w:spacing w:val="-10"/>
                <w:sz w:val="21"/>
                <w:szCs w:val="21"/>
              </w:rPr>
            </w:pPr>
          </w:p>
        </w:tc>
        <w:tc>
          <w:tcPr>
            <w:tcW w:w="1596" w:type="dxa"/>
            <w:noWrap/>
            <w:tcMar>
              <w:left w:w="28" w:type="dxa"/>
              <w:right w:w="28" w:type="dxa"/>
            </w:tcMar>
            <w:vAlign w:val="center"/>
          </w:tcPr>
          <w:p w14:paraId="3E2E8B9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0.09 mg/kg</w:t>
            </w:r>
          </w:p>
        </w:tc>
      </w:tr>
      <w:tr w14:paraId="38AD92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5D291A8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46</w:t>
            </w:r>
          </w:p>
        </w:tc>
        <w:tc>
          <w:tcPr>
            <w:tcW w:w="510" w:type="dxa"/>
            <w:vMerge w:val="continue"/>
            <w:noWrap/>
            <w:tcMar>
              <w:left w:w="28" w:type="dxa"/>
              <w:right w:w="28" w:type="dxa"/>
            </w:tcMar>
            <w:vAlign w:val="center"/>
          </w:tcPr>
          <w:p w14:paraId="2A3D6300">
            <w:pPr>
              <w:spacing w:line="0" w:lineRule="atLeast"/>
              <w:jc w:val="center"/>
              <w:rPr>
                <w:rFonts w:hint="eastAsia" w:hAnsi="宋体" w:cs="宋体"/>
                <w:color w:val="000000"/>
                <w:spacing w:val="-10"/>
                <w:sz w:val="21"/>
                <w:szCs w:val="21"/>
              </w:rPr>
            </w:pPr>
          </w:p>
        </w:tc>
        <w:tc>
          <w:tcPr>
            <w:tcW w:w="1575" w:type="dxa"/>
            <w:gridSpan w:val="3"/>
            <w:noWrap/>
            <w:tcMar>
              <w:left w:w="28" w:type="dxa"/>
              <w:right w:w="28" w:type="dxa"/>
            </w:tcMar>
            <w:vAlign w:val="center"/>
          </w:tcPr>
          <w:p w14:paraId="5FD55B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全盐量</w:t>
            </w:r>
          </w:p>
        </w:tc>
        <w:tc>
          <w:tcPr>
            <w:tcW w:w="3414" w:type="dxa"/>
            <w:gridSpan w:val="3"/>
            <w:noWrap/>
            <w:tcMar>
              <w:left w:w="28" w:type="dxa"/>
              <w:right w:w="28" w:type="dxa"/>
            </w:tcMar>
            <w:vAlign w:val="center"/>
          </w:tcPr>
          <w:p w14:paraId="0F04B2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《森林土壤水溶性盐分分析》</w:t>
            </w:r>
          </w:p>
          <w:p w14:paraId="0817BB0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（LY/T 1251-1999）3.1质量法</w:t>
            </w:r>
          </w:p>
        </w:tc>
        <w:tc>
          <w:tcPr>
            <w:tcW w:w="1583" w:type="dxa"/>
            <w:noWrap/>
            <w:tcMar>
              <w:left w:w="28" w:type="dxa"/>
              <w:right w:w="28" w:type="dxa"/>
            </w:tcMar>
            <w:vAlign w:val="center"/>
          </w:tcPr>
          <w:p w14:paraId="013C9F7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BSA124S</w:t>
            </w:r>
          </w:p>
          <w:p w14:paraId="1335B9C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电子天平</w:t>
            </w:r>
          </w:p>
        </w:tc>
        <w:tc>
          <w:tcPr>
            <w:tcW w:w="1596" w:type="dxa"/>
            <w:noWrap/>
            <w:tcMar>
              <w:left w:w="28" w:type="dxa"/>
              <w:right w:w="28" w:type="dxa"/>
            </w:tcMar>
            <w:vAlign w:val="center"/>
          </w:tcPr>
          <w:p w14:paraId="6D4503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0.1 g/kg</w:t>
            </w:r>
          </w:p>
        </w:tc>
      </w:tr>
      <w:tr w14:paraId="6286DB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7" w:type="dxa"/>
            <w:noWrap/>
            <w:tcMar>
              <w:left w:w="28" w:type="dxa"/>
              <w:right w:w="28" w:type="dxa"/>
            </w:tcMar>
            <w:vAlign w:val="center"/>
          </w:tcPr>
          <w:p w14:paraId="162CD83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47</w:t>
            </w:r>
          </w:p>
        </w:tc>
        <w:tc>
          <w:tcPr>
            <w:tcW w:w="510" w:type="dxa"/>
            <w:vMerge w:val="continue"/>
            <w:noWrap/>
            <w:tcMar>
              <w:left w:w="28" w:type="dxa"/>
              <w:right w:w="28" w:type="dxa"/>
            </w:tcMar>
            <w:vAlign w:val="center"/>
          </w:tcPr>
          <w:p w14:paraId="1BE6D5A6">
            <w:pPr>
              <w:spacing w:line="0" w:lineRule="atLeast"/>
              <w:jc w:val="center"/>
              <w:rPr>
                <w:rFonts w:hint="eastAsia" w:hAnsi="宋体" w:cs="宋体"/>
                <w:color w:val="000000"/>
                <w:spacing w:val="-10"/>
                <w:sz w:val="21"/>
                <w:szCs w:val="21"/>
              </w:rPr>
            </w:pPr>
          </w:p>
        </w:tc>
        <w:tc>
          <w:tcPr>
            <w:tcW w:w="1575" w:type="dxa"/>
            <w:gridSpan w:val="3"/>
            <w:noWrap/>
            <w:tcMar>
              <w:left w:w="28" w:type="dxa"/>
              <w:right w:w="28" w:type="dxa"/>
            </w:tcMar>
            <w:vAlign w:val="center"/>
          </w:tcPr>
          <w:p w14:paraId="40FADE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3414" w:type="dxa"/>
            <w:gridSpan w:val="3"/>
            <w:noWrap/>
            <w:tcMar>
              <w:left w:w="28" w:type="dxa"/>
              <w:right w:w="28" w:type="dxa"/>
            </w:tcMar>
            <w:vAlign w:val="center"/>
          </w:tcPr>
          <w:p w14:paraId="578FBA4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《土壤和沉积物 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）的测定 气相色谱法》（HJ 1021-2019）</w:t>
            </w:r>
          </w:p>
        </w:tc>
        <w:tc>
          <w:tcPr>
            <w:tcW w:w="1583" w:type="dxa"/>
            <w:noWrap/>
            <w:tcMar>
              <w:left w:w="28" w:type="dxa"/>
              <w:right w:w="28" w:type="dxa"/>
            </w:tcMar>
            <w:vAlign w:val="center"/>
          </w:tcPr>
          <w:p w14:paraId="49317BC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8860</w:t>
            </w:r>
          </w:p>
          <w:p w14:paraId="13E3A5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气相色谱仪</w:t>
            </w:r>
          </w:p>
        </w:tc>
        <w:tc>
          <w:tcPr>
            <w:tcW w:w="1596" w:type="dxa"/>
            <w:noWrap/>
            <w:tcMar>
              <w:left w:w="28" w:type="dxa"/>
              <w:right w:w="28" w:type="dxa"/>
            </w:tcMar>
            <w:vAlign w:val="center"/>
          </w:tcPr>
          <w:p w14:paraId="5EBE663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6mg/kg</w:t>
            </w:r>
          </w:p>
        </w:tc>
      </w:tr>
    </w:tbl>
    <w:p w14:paraId="0218A023">
      <w:pPr>
        <w:pStyle w:val="10"/>
        <w:widowControl w:val="0"/>
        <w:spacing w:before="240" w:line="460" w:lineRule="exact"/>
        <w:ind w:firstLine="0"/>
        <w:outlineLvl w:val="2"/>
        <w:rPr>
          <w:rFonts w:hint="eastAsia" w:ascii="宋体" w:hAnsi="宋体" w:eastAsia="宋体" w:cs="宋体"/>
          <w:color w:val="000000"/>
          <w:sz w:val="24"/>
          <w:szCs w:val="24"/>
        </w:rPr>
      </w:pPr>
      <w:r>
        <w:rPr>
          <w:rFonts w:hint="eastAsia" w:ascii="宋体" w:hAnsi="宋体" w:eastAsia="宋体" w:cs="宋体"/>
          <w:color w:val="000000"/>
          <w:sz w:val="24"/>
          <w:szCs w:val="24"/>
        </w:rPr>
        <w:t>4.5.4 土壤环境现状评价</w:t>
      </w:r>
    </w:p>
    <w:p w14:paraId="02DA7984">
      <w:pPr>
        <w:spacing w:line="460" w:lineRule="exact"/>
        <w:ind w:firstLine="526" w:firstLineChars="200"/>
        <w:rPr>
          <w:rFonts w:hint="eastAsia" w:hAnsi="宋体" w:cs="宋体"/>
          <w:color w:val="000000"/>
          <w:szCs w:val="24"/>
        </w:rPr>
      </w:pPr>
      <w:r>
        <w:rPr>
          <w:rFonts w:hint="eastAsia" w:hAnsi="宋体" w:cs="宋体"/>
          <w:color w:val="000000"/>
          <w:szCs w:val="24"/>
        </w:rPr>
        <w:t>（1）评价方法：采用标准指数法，其计算公式为：</w:t>
      </w:r>
    </w:p>
    <w:p w14:paraId="1559F030">
      <w:pPr>
        <w:spacing w:line="460" w:lineRule="exact"/>
        <w:ind w:firstLine="1315" w:firstLineChars="500"/>
        <w:rPr>
          <w:rFonts w:hAnsi="宋体" w:cs="宋体"/>
          <w:color w:val="000000"/>
          <w:szCs w:val="24"/>
        </w:rPr>
      </w:pPr>
      <w:r>
        <w:rPr>
          <w:rFonts w:hint="eastAsia" w:hAnsi="宋体" w:cs="宋体"/>
          <w:color w:val="000000"/>
          <w:szCs w:val="24"/>
        </w:rPr>
        <w:t>P</w:t>
      </w:r>
      <w:r>
        <w:rPr>
          <w:rFonts w:hint="eastAsia" w:hAnsi="宋体" w:cs="宋体"/>
          <w:color w:val="000000"/>
          <w:szCs w:val="24"/>
          <w:vertAlign w:val="subscript"/>
        </w:rPr>
        <w:t>i</w:t>
      </w:r>
      <w:r>
        <w:rPr>
          <w:rFonts w:hint="eastAsia" w:hAnsi="宋体" w:cs="宋体"/>
          <w:color w:val="000000"/>
          <w:szCs w:val="24"/>
        </w:rPr>
        <w:t>=C</w:t>
      </w:r>
      <w:r>
        <w:rPr>
          <w:rFonts w:hint="eastAsia" w:hAnsi="宋体" w:cs="宋体"/>
          <w:color w:val="000000"/>
          <w:szCs w:val="24"/>
          <w:vertAlign w:val="subscript"/>
        </w:rPr>
        <w:t>i</w:t>
      </w:r>
      <w:r>
        <w:rPr>
          <w:rFonts w:hint="eastAsia" w:hAnsi="宋体" w:cs="宋体"/>
          <w:color w:val="000000"/>
          <w:szCs w:val="24"/>
        </w:rPr>
        <w:t>/S</w:t>
      </w:r>
      <w:r>
        <w:rPr>
          <w:rFonts w:hint="eastAsia" w:hAnsi="宋体" w:cs="宋体"/>
          <w:color w:val="000000"/>
          <w:szCs w:val="24"/>
          <w:vertAlign w:val="subscript"/>
        </w:rPr>
        <w:t>i</w:t>
      </w:r>
    </w:p>
    <w:p w14:paraId="18439331">
      <w:pPr>
        <w:spacing w:line="460" w:lineRule="exact"/>
        <w:ind w:firstLine="526" w:firstLineChars="200"/>
        <w:rPr>
          <w:rFonts w:hAnsi="宋体" w:cs="宋体"/>
          <w:color w:val="000000"/>
          <w:szCs w:val="24"/>
        </w:rPr>
      </w:pPr>
      <w:r>
        <w:rPr>
          <w:rFonts w:hint="eastAsia" w:hAnsi="宋体" w:cs="宋体"/>
          <w:color w:val="000000"/>
          <w:szCs w:val="24"/>
        </w:rPr>
        <w:t>式中：P</w:t>
      </w:r>
      <w:r>
        <w:rPr>
          <w:rFonts w:hint="eastAsia" w:hAnsi="宋体" w:cs="宋体"/>
          <w:color w:val="000000"/>
          <w:szCs w:val="24"/>
          <w:vertAlign w:val="subscript"/>
        </w:rPr>
        <w:t>i</w:t>
      </w:r>
      <w:r>
        <w:rPr>
          <w:rFonts w:hint="eastAsia" w:hAnsi="宋体" w:cs="宋体"/>
          <w:color w:val="000000"/>
          <w:szCs w:val="24"/>
        </w:rPr>
        <w:t>—土壤中污染物i的单因子污染指数；</w:t>
      </w:r>
    </w:p>
    <w:p w14:paraId="5FA097B6">
      <w:pPr>
        <w:spacing w:line="460" w:lineRule="exact"/>
        <w:ind w:firstLine="526" w:firstLineChars="200"/>
        <w:rPr>
          <w:rFonts w:hAnsi="宋体" w:cs="宋体"/>
          <w:color w:val="000000"/>
          <w:szCs w:val="24"/>
        </w:rPr>
      </w:pPr>
      <w:r>
        <w:rPr>
          <w:rFonts w:hint="eastAsia" w:hAnsi="宋体" w:cs="宋体"/>
          <w:color w:val="000000"/>
          <w:szCs w:val="24"/>
        </w:rPr>
        <w:t xml:space="preserve">      C</w:t>
      </w:r>
      <w:r>
        <w:rPr>
          <w:rFonts w:hint="eastAsia" w:hAnsi="宋体" w:cs="宋体"/>
          <w:color w:val="000000"/>
          <w:szCs w:val="24"/>
          <w:vertAlign w:val="subscript"/>
        </w:rPr>
        <w:t>i</w:t>
      </w:r>
      <w:r>
        <w:rPr>
          <w:rFonts w:hint="eastAsia" w:hAnsi="宋体" w:cs="宋体"/>
          <w:color w:val="000000"/>
          <w:szCs w:val="24"/>
        </w:rPr>
        <w:t>—监测点位土壤中污染物i的实测浓度，单位与S</w:t>
      </w:r>
      <w:r>
        <w:rPr>
          <w:rFonts w:hint="eastAsia" w:hAnsi="宋体" w:cs="宋体"/>
          <w:color w:val="000000"/>
          <w:szCs w:val="24"/>
          <w:vertAlign w:val="subscript"/>
        </w:rPr>
        <w:t>i</w:t>
      </w:r>
      <w:r>
        <w:rPr>
          <w:rFonts w:hint="eastAsia" w:hAnsi="宋体" w:cs="宋体"/>
          <w:color w:val="000000"/>
          <w:szCs w:val="24"/>
        </w:rPr>
        <w:t>一致；</w:t>
      </w:r>
    </w:p>
    <w:p w14:paraId="0ECECB21">
      <w:pPr>
        <w:spacing w:line="460" w:lineRule="exact"/>
        <w:ind w:firstLine="526" w:firstLineChars="200"/>
        <w:rPr>
          <w:rFonts w:hAnsi="宋体" w:cs="宋体"/>
          <w:color w:val="000000"/>
          <w:szCs w:val="24"/>
        </w:rPr>
      </w:pPr>
      <w:r>
        <w:rPr>
          <w:rFonts w:hint="eastAsia" w:hAnsi="宋体" w:cs="宋体"/>
          <w:color w:val="000000"/>
          <w:szCs w:val="24"/>
        </w:rPr>
        <w:t xml:space="preserve">      S</w:t>
      </w:r>
      <w:r>
        <w:rPr>
          <w:rFonts w:hint="eastAsia" w:hAnsi="宋体" w:cs="宋体"/>
          <w:color w:val="000000"/>
          <w:szCs w:val="24"/>
          <w:vertAlign w:val="subscript"/>
        </w:rPr>
        <w:t>i</w:t>
      </w:r>
      <w:r>
        <w:rPr>
          <w:rFonts w:hint="eastAsia" w:hAnsi="宋体" w:cs="宋体"/>
          <w:color w:val="000000"/>
          <w:szCs w:val="24"/>
        </w:rPr>
        <w:t>—污染物i的标准值或参考值。</w:t>
      </w:r>
    </w:p>
    <w:p w14:paraId="6BE5419E">
      <w:pPr>
        <w:spacing w:line="460" w:lineRule="exact"/>
        <w:ind w:firstLine="526" w:firstLineChars="200"/>
        <w:rPr>
          <w:rFonts w:hAnsi="宋体" w:cs="宋体"/>
          <w:color w:val="000000"/>
          <w:szCs w:val="24"/>
        </w:rPr>
      </w:pPr>
      <w:r>
        <w:rPr>
          <w:rFonts w:hint="eastAsia" w:hAnsi="宋体" w:cs="宋体"/>
          <w:color w:val="000000"/>
          <w:szCs w:val="24"/>
        </w:rPr>
        <w:t>（2）评价标准</w:t>
      </w:r>
    </w:p>
    <w:p w14:paraId="643D7951">
      <w:pPr>
        <w:spacing w:line="460" w:lineRule="exact"/>
        <w:ind w:firstLine="526" w:firstLineChars="200"/>
        <w:rPr>
          <w:rFonts w:hAnsi="宋体" w:cs="宋体"/>
          <w:color w:val="000000"/>
          <w:kern w:val="0"/>
          <w:szCs w:val="24"/>
        </w:rPr>
      </w:pPr>
      <w:r>
        <w:rPr>
          <w:rFonts w:hint="eastAsia" w:hAnsi="宋体" w:cs="宋体"/>
          <w:color w:val="000000"/>
          <w:szCs w:val="24"/>
        </w:rPr>
        <w:t>占地范围内土壤执行《土壤环境质量 建设用地土壤污染风险管控标准（试行）》（GB36600-2018）中第二类用地土壤污染风险筛选值。</w:t>
      </w:r>
    </w:p>
    <w:p w14:paraId="11347E9B">
      <w:pPr>
        <w:spacing w:line="460" w:lineRule="exact"/>
        <w:ind w:firstLine="526" w:firstLineChars="200"/>
        <w:rPr>
          <w:rFonts w:hAnsi="宋体" w:cs="宋体"/>
          <w:color w:val="000000"/>
          <w:szCs w:val="24"/>
        </w:rPr>
      </w:pPr>
      <w:r>
        <w:rPr>
          <w:rFonts w:hint="eastAsia" w:hAnsi="宋体" w:cs="宋体"/>
          <w:color w:val="000000"/>
          <w:szCs w:val="24"/>
        </w:rPr>
        <w:t>（3）土壤环境现状监测结果与评价</w:t>
      </w:r>
    </w:p>
    <w:p w14:paraId="1EC80AB3">
      <w:pPr>
        <w:spacing w:line="460" w:lineRule="exact"/>
        <w:ind w:firstLine="526" w:firstLineChars="200"/>
        <w:rPr>
          <w:rFonts w:hAnsi="宋体" w:cs="宋体"/>
          <w:color w:val="000000"/>
          <w:szCs w:val="24"/>
        </w:rPr>
      </w:pPr>
      <w:r>
        <w:rPr>
          <w:rFonts w:hint="eastAsia" w:hAnsi="宋体" w:cs="宋体"/>
          <w:color w:val="000000"/>
          <w:szCs w:val="24"/>
        </w:rPr>
        <w:t>拟建工程所在区域土壤环境现状监测及评价结果见表4.5-4至表4.5-6。</w:t>
      </w:r>
    </w:p>
    <w:p w14:paraId="729E6BC0">
      <w:pPr>
        <w:spacing w:line="480" w:lineRule="exact"/>
        <w:ind w:firstLine="526" w:firstLineChars="200"/>
        <w:rPr>
          <w:rFonts w:hint="eastAsia" w:ascii="黑体" w:hAnsi="宋体" w:eastAsia="黑体"/>
          <w:color w:val="000000"/>
          <w:szCs w:val="24"/>
          <w:lang w:bidi="ar"/>
        </w:rPr>
      </w:pPr>
      <w:r>
        <w:rPr>
          <w:rFonts w:hint="eastAsia" w:ascii="黑体" w:hAnsi="宋体" w:eastAsia="黑体"/>
          <w:color w:val="000000"/>
          <w:szCs w:val="24"/>
          <w:lang w:bidi="ar"/>
        </w:rPr>
        <w:t>表4.5-4</w:t>
      </w:r>
      <w:r>
        <w:rPr>
          <w:rFonts w:hint="eastAsia" w:ascii="黑体" w:hAnsi="宋体" w:eastAsia="黑体" w:cs="黑体"/>
          <w:color w:val="000000"/>
          <w:szCs w:val="24"/>
          <w:lang w:val="zh-CN"/>
        </w:rPr>
        <w:t xml:space="preserve">     土壤现状监测及评价结果一览表      </w:t>
      </w:r>
      <w:r>
        <w:rPr>
          <w:rFonts w:hint="eastAsia" w:ascii="黑体" w:hAnsi="宋体" w:eastAsia="黑体"/>
          <w:color w:val="000000"/>
          <w:szCs w:val="24"/>
          <w:lang w:bidi="ar"/>
        </w:rPr>
        <w:t>单位：mg/kg</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94"/>
        <w:gridCol w:w="959"/>
        <w:gridCol w:w="950"/>
        <w:gridCol w:w="1752"/>
        <w:gridCol w:w="903"/>
        <w:gridCol w:w="824"/>
        <w:gridCol w:w="1007"/>
        <w:gridCol w:w="1721"/>
      </w:tblGrid>
      <w:tr w14:paraId="078C4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55" w:type="pct"/>
            <w:gridSpan w:val="3"/>
            <w:vMerge w:val="restart"/>
            <w:tcBorders>
              <w:tl2br w:val="single" w:color="auto" w:sz="4" w:space="0"/>
            </w:tcBorders>
            <w:tcMar>
              <w:left w:w="28" w:type="dxa"/>
              <w:right w:w="28" w:type="dxa"/>
            </w:tcMar>
            <w:vAlign w:val="center"/>
          </w:tcPr>
          <w:p w14:paraId="0A73EB0F">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7F243F9B">
            <w:pPr>
              <w:spacing w:line="0" w:lineRule="atLeast"/>
              <w:jc w:val="left"/>
              <w:rPr>
                <w:rFonts w:hint="eastAsia" w:hAnsi="宋体" w:cs="宋体"/>
                <w:color w:val="000000"/>
                <w:spacing w:val="-10"/>
                <w:sz w:val="21"/>
                <w:szCs w:val="21"/>
                <w:lang w:bidi="ar"/>
              </w:rPr>
            </w:pPr>
            <w:r>
              <w:rPr>
                <w:rFonts w:hint="eastAsia" w:hAnsi="宋体" w:cs="宋体"/>
                <w:color w:val="000000"/>
                <w:spacing w:val="-10"/>
                <w:sz w:val="21"/>
                <w:szCs w:val="21"/>
                <w:lang w:bidi="ar"/>
              </w:rPr>
              <w:t>监测因子</w:t>
            </w:r>
          </w:p>
        </w:tc>
        <w:tc>
          <w:tcPr>
            <w:tcW w:w="972" w:type="pct"/>
            <w:tcBorders>
              <w:right w:val="double" w:color="auto" w:sz="4" w:space="0"/>
            </w:tcBorders>
            <w:tcMar>
              <w:left w:w="28" w:type="dxa"/>
              <w:right w:w="28" w:type="dxa"/>
            </w:tcMar>
            <w:vAlign w:val="center"/>
          </w:tcPr>
          <w:p w14:paraId="1597FD5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塔三联管线接口处</w:t>
            </w:r>
          </w:p>
        </w:tc>
        <w:tc>
          <w:tcPr>
            <w:tcW w:w="1517" w:type="pct"/>
            <w:gridSpan w:val="3"/>
            <w:vMerge w:val="restart"/>
            <w:tcBorders>
              <w:left w:val="double" w:color="auto" w:sz="4" w:space="0"/>
              <w:tl2br w:val="single" w:color="auto" w:sz="4" w:space="0"/>
            </w:tcBorders>
            <w:tcMar>
              <w:left w:w="28" w:type="dxa"/>
              <w:right w:w="28" w:type="dxa"/>
            </w:tcMar>
            <w:vAlign w:val="center"/>
          </w:tcPr>
          <w:p w14:paraId="0796634F">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6AE531AA">
            <w:pPr>
              <w:spacing w:line="0" w:lineRule="atLeast"/>
              <w:jc w:val="left"/>
              <w:textAlignment w:val="center"/>
              <w:rPr>
                <w:rFonts w:hint="eastAsia" w:hAnsi="宋体" w:cs="宋体"/>
                <w:color w:val="000000"/>
                <w:spacing w:val="-10"/>
                <w:kern w:val="0"/>
                <w:sz w:val="21"/>
                <w:szCs w:val="21"/>
                <w:lang w:bidi="ar"/>
              </w:rPr>
            </w:pPr>
            <w:r>
              <w:rPr>
                <w:rFonts w:hint="eastAsia" w:hAnsi="宋体" w:cs="宋体"/>
                <w:color w:val="000000"/>
                <w:spacing w:val="-10"/>
                <w:sz w:val="21"/>
                <w:szCs w:val="21"/>
              </w:rPr>
              <w:t>监测因子</w:t>
            </w:r>
          </w:p>
        </w:tc>
        <w:tc>
          <w:tcPr>
            <w:tcW w:w="955" w:type="pct"/>
            <w:tcMar>
              <w:left w:w="28" w:type="dxa"/>
              <w:right w:w="28" w:type="dxa"/>
            </w:tcMar>
            <w:vAlign w:val="center"/>
          </w:tcPr>
          <w:p w14:paraId="0B19EA89">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塔三联管线接口处</w:t>
            </w:r>
          </w:p>
        </w:tc>
      </w:tr>
      <w:tr w14:paraId="3E5D7E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55" w:type="pct"/>
            <w:gridSpan w:val="3"/>
            <w:vMerge w:val="continue"/>
            <w:tcMar>
              <w:left w:w="28" w:type="dxa"/>
              <w:right w:w="28" w:type="dxa"/>
            </w:tcMar>
            <w:vAlign w:val="center"/>
          </w:tcPr>
          <w:p w14:paraId="514CE0BD">
            <w:pPr>
              <w:spacing w:line="0" w:lineRule="atLeast"/>
              <w:jc w:val="center"/>
              <w:rPr>
                <w:rFonts w:hint="eastAsia" w:hAnsi="宋体" w:cs="宋体"/>
                <w:color w:val="000000"/>
                <w:spacing w:val="-10"/>
                <w:sz w:val="21"/>
                <w:szCs w:val="21"/>
                <w:lang w:bidi="ar"/>
              </w:rPr>
            </w:pPr>
          </w:p>
        </w:tc>
        <w:tc>
          <w:tcPr>
            <w:tcW w:w="972" w:type="pct"/>
            <w:tcBorders>
              <w:right w:val="double" w:color="auto" w:sz="4" w:space="0"/>
            </w:tcBorders>
            <w:tcMar>
              <w:left w:w="28" w:type="dxa"/>
              <w:right w:w="28" w:type="dxa"/>
            </w:tcMar>
            <w:vAlign w:val="center"/>
          </w:tcPr>
          <w:p w14:paraId="2BE69F1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0.2m</w:t>
            </w:r>
          </w:p>
        </w:tc>
        <w:tc>
          <w:tcPr>
            <w:tcW w:w="1517" w:type="pct"/>
            <w:gridSpan w:val="3"/>
            <w:vMerge w:val="continue"/>
            <w:tcBorders>
              <w:left w:val="double" w:color="auto" w:sz="4" w:space="0"/>
            </w:tcBorders>
            <w:tcMar>
              <w:left w:w="28" w:type="dxa"/>
              <w:right w:w="28" w:type="dxa"/>
            </w:tcMar>
            <w:vAlign w:val="center"/>
          </w:tcPr>
          <w:p w14:paraId="3390B68D">
            <w:pPr>
              <w:spacing w:line="0" w:lineRule="atLeast"/>
              <w:jc w:val="center"/>
              <w:textAlignment w:val="center"/>
              <w:rPr>
                <w:rFonts w:hint="eastAsia" w:hAnsi="宋体" w:cs="宋体"/>
                <w:color w:val="000000"/>
                <w:spacing w:val="-10"/>
                <w:kern w:val="0"/>
                <w:sz w:val="21"/>
                <w:szCs w:val="21"/>
                <w:lang w:bidi="ar"/>
              </w:rPr>
            </w:pPr>
          </w:p>
        </w:tc>
        <w:tc>
          <w:tcPr>
            <w:tcW w:w="955" w:type="pct"/>
            <w:tcMar>
              <w:left w:w="28" w:type="dxa"/>
              <w:right w:w="28" w:type="dxa"/>
            </w:tcMar>
            <w:vAlign w:val="center"/>
          </w:tcPr>
          <w:p w14:paraId="2200AC1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0.2m</w:t>
            </w:r>
          </w:p>
        </w:tc>
      </w:tr>
      <w:tr w14:paraId="5A0D3E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restart"/>
            <w:tcMar>
              <w:left w:w="28" w:type="dxa"/>
              <w:right w:w="28" w:type="dxa"/>
            </w:tcMar>
            <w:vAlign w:val="center"/>
          </w:tcPr>
          <w:p w14:paraId="487BAF0B">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pH</w:t>
            </w:r>
          </w:p>
        </w:tc>
        <w:tc>
          <w:tcPr>
            <w:tcW w:w="532" w:type="pct"/>
            <w:vMerge w:val="restart"/>
            <w:tcMar>
              <w:left w:w="28" w:type="dxa"/>
              <w:right w:w="28" w:type="dxa"/>
            </w:tcMar>
            <w:vAlign w:val="center"/>
          </w:tcPr>
          <w:p w14:paraId="4563B5A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527" w:type="pct"/>
            <w:tcMar>
              <w:left w:w="28" w:type="dxa"/>
              <w:right w:w="28" w:type="dxa"/>
            </w:tcMar>
            <w:vAlign w:val="center"/>
          </w:tcPr>
          <w:p w14:paraId="0FED022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2" w:type="pct"/>
            <w:tcBorders>
              <w:right w:val="double" w:color="auto" w:sz="4" w:space="0"/>
            </w:tcBorders>
            <w:tcMar>
              <w:left w:w="28" w:type="dxa"/>
              <w:right w:w="28" w:type="dxa"/>
            </w:tcMar>
            <w:vAlign w:val="center"/>
          </w:tcPr>
          <w:p w14:paraId="74802F6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8.20</w:t>
            </w:r>
          </w:p>
        </w:tc>
        <w:tc>
          <w:tcPr>
            <w:tcW w:w="501" w:type="pct"/>
            <w:vMerge w:val="restart"/>
            <w:tcBorders>
              <w:left w:val="double" w:color="auto" w:sz="4" w:space="0"/>
            </w:tcBorders>
            <w:tcMar>
              <w:left w:w="28" w:type="dxa"/>
              <w:right w:w="28" w:type="dxa"/>
            </w:tcMar>
            <w:vAlign w:val="center"/>
          </w:tcPr>
          <w:p w14:paraId="73E4F10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砷</w:t>
            </w:r>
          </w:p>
        </w:tc>
        <w:tc>
          <w:tcPr>
            <w:tcW w:w="457" w:type="pct"/>
            <w:vMerge w:val="restart"/>
            <w:tcMar>
              <w:left w:w="28" w:type="dxa"/>
              <w:right w:w="28" w:type="dxa"/>
            </w:tcMar>
            <w:vAlign w:val="center"/>
          </w:tcPr>
          <w:p w14:paraId="20E8FF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9435CD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559" w:type="pct"/>
            <w:tcMar>
              <w:left w:w="28" w:type="dxa"/>
              <w:right w:w="28" w:type="dxa"/>
            </w:tcMar>
            <w:vAlign w:val="center"/>
          </w:tcPr>
          <w:p w14:paraId="72B2437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55" w:type="pct"/>
            <w:tcMar>
              <w:left w:w="28" w:type="dxa"/>
              <w:right w:w="28" w:type="dxa"/>
            </w:tcMar>
            <w:vAlign w:val="center"/>
          </w:tcPr>
          <w:p w14:paraId="22B22D62">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5.21</w:t>
            </w:r>
          </w:p>
        </w:tc>
      </w:tr>
      <w:tr w14:paraId="7DDECE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continue"/>
            <w:tcMar>
              <w:left w:w="28" w:type="dxa"/>
              <w:right w:w="28" w:type="dxa"/>
            </w:tcMar>
            <w:vAlign w:val="center"/>
          </w:tcPr>
          <w:p w14:paraId="1A1FF345">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2877827C">
            <w:pPr>
              <w:spacing w:line="0" w:lineRule="atLeast"/>
              <w:jc w:val="center"/>
              <w:rPr>
                <w:rFonts w:hint="eastAsia" w:hAnsi="宋体" w:cs="宋体"/>
                <w:color w:val="000000"/>
                <w:spacing w:val="-10"/>
                <w:sz w:val="21"/>
                <w:szCs w:val="21"/>
              </w:rPr>
            </w:pPr>
          </w:p>
        </w:tc>
        <w:tc>
          <w:tcPr>
            <w:tcW w:w="527" w:type="pct"/>
            <w:tcMar>
              <w:left w:w="28" w:type="dxa"/>
              <w:right w:w="28" w:type="dxa"/>
            </w:tcMar>
            <w:vAlign w:val="center"/>
          </w:tcPr>
          <w:p w14:paraId="113705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级别</w:t>
            </w:r>
          </w:p>
        </w:tc>
        <w:tc>
          <w:tcPr>
            <w:tcW w:w="972" w:type="pct"/>
            <w:tcBorders>
              <w:right w:val="double" w:color="auto" w:sz="4" w:space="0"/>
            </w:tcBorders>
            <w:tcMar>
              <w:left w:w="28" w:type="dxa"/>
              <w:right w:w="28" w:type="dxa"/>
            </w:tcMar>
            <w:vAlign w:val="center"/>
          </w:tcPr>
          <w:p w14:paraId="58735AC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无酸化或碱化</w:t>
            </w:r>
          </w:p>
        </w:tc>
        <w:tc>
          <w:tcPr>
            <w:tcW w:w="501" w:type="pct"/>
            <w:vMerge w:val="continue"/>
            <w:tcBorders>
              <w:left w:val="double" w:color="auto" w:sz="4" w:space="0"/>
            </w:tcBorders>
            <w:tcMar>
              <w:left w:w="28" w:type="dxa"/>
              <w:right w:w="28" w:type="dxa"/>
            </w:tcMar>
            <w:vAlign w:val="center"/>
          </w:tcPr>
          <w:p w14:paraId="2F19BDF5">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C1B8EE5">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7B56225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55" w:type="pct"/>
            <w:tcMar>
              <w:left w:w="28" w:type="dxa"/>
              <w:right w:w="28" w:type="dxa"/>
            </w:tcMar>
            <w:vAlign w:val="center"/>
          </w:tcPr>
          <w:p w14:paraId="66DD889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0.087</w:t>
            </w:r>
          </w:p>
        </w:tc>
      </w:tr>
      <w:tr w14:paraId="3CC6C0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restart"/>
            <w:tcMar>
              <w:left w:w="28" w:type="dxa"/>
              <w:right w:w="28" w:type="dxa"/>
            </w:tcMar>
            <w:vAlign w:val="center"/>
          </w:tcPr>
          <w:p w14:paraId="15CF356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镉</w:t>
            </w:r>
          </w:p>
        </w:tc>
        <w:tc>
          <w:tcPr>
            <w:tcW w:w="532" w:type="pct"/>
            <w:vMerge w:val="restart"/>
            <w:tcMar>
              <w:left w:w="28" w:type="dxa"/>
              <w:right w:w="28" w:type="dxa"/>
            </w:tcMar>
            <w:vAlign w:val="center"/>
          </w:tcPr>
          <w:p w14:paraId="7D3F623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37D7F7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≤65</w:t>
            </w:r>
          </w:p>
        </w:tc>
        <w:tc>
          <w:tcPr>
            <w:tcW w:w="527" w:type="pct"/>
            <w:tcMar>
              <w:left w:w="28" w:type="dxa"/>
              <w:right w:w="28" w:type="dxa"/>
            </w:tcMar>
            <w:vAlign w:val="center"/>
          </w:tcPr>
          <w:p w14:paraId="5EC239F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2" w:type="pct"/>
            <w:tcBorders>
              <w:right w:val="double" w:color="auto" w:sz="4" w:space="0"/>
            </w:tcBorders>
            <w:tcMar>
              <w:left w:w="28" w:type="dxa"/>
              <w:right w:w="28" w:type="dxa"/>
            </w:tcMar>
            <w:vAlign w:val="center"/>
          </w:tcPr>
          <w:p w14:paraId="67AF3458">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0.24</w:t>
            </w:r>
          </w:p>
        </w:tc>
        <w:tc>
          <w:tcPr>
            <w:tcW w:w="501" w:type="pct"/>
            <w:vMerge w:val="restart"/>
            <w:tcBorders>
              <w:left w:val="double" w:color="auto" w:sz="4" w:space="0"/>
            </w:tcBorders>
            <w:tcMar>
              <w:left w:w="28" w:type="dxa"/>
              <w:right w:w="28" w:type="dxa"/>
            </w:tcMar>
            <w:vAlign w:val="center"/>
          </w:tcPr>
          <w:p w14:paraId="33BCA12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铬（六价）</w:t>
            </w:r>
          </w:p>
        </w:tc>
        <w:tc>
          <w:tcPr>
            <w:tcW w:w="457" w:type="pct"/>
            <w:vMerge w:val="restart"/>
            <w:tcMar>
              <w:left w:w="28" w:type="dxa"/>
              <w:right w:w="28" w:type="dxa"/>
            </w:tcMar>
            <w:vAlign w:val="center"/>
          </w:tcPr>
          <w:p w14:paraId="773A88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90F8E5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≤5.7</w:t>
            </w:r>
          </w:p>
        </w:tc>
        <w:tc>
          <w:tcPr>
            <w:tcW w:w="559" w:type="pct"/>
            <w:tcMar>
              <w:left w:w="28" w:type="dxa"/>
              <w:right w:w="28" w:type="dxa"/>
            </w:tcMar>
            <w:vAlign w:val="center"/>
          </w:tcPr>
          <w:p w14:paraId="4924018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55" w:type="pct"/>
            <w:tcMar>
              <w:left w:w="28" w:type="dxa"/>
              <w:right w:w="28" w:type="dxa"/>
            </w:tcMar>
            <w:vAlign w:val="center"/>
          </w:tcPr>
          <w:p w14:paraId="4831413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766623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continue"/>
            <w:tcMar>
              <w:left w:w="28" w:type="dxa"/>
              <w:right w:w="28" w:type="dxa"/>
            </w:tcMar>
            <w:vAlign w:val="center"/>
          </w:tcPr>
          <w:p w14:paraId="424CF153">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62192CF7">
            <w:pPr>
              <w:spacing w:line="0" w:lineRule="atLeast"/>
              <w:jc w:val="center"/>
              <w:rPr>
                <w:rFonts w:hint="eastAsia" w:hAnsi="宋体" w:cs="宋体"/>
                <w:color w:val="000000"/>
                <w:spacing w:val="-10"/>
                <w:sz w:val="21"/>
                <w:szCs w:val="21"/>
              </w:rPr>
            </w:pPr>
          </w:p>
        </w:tc>
        <w:tc>
          <w:tcPr>
            <w:tcW w:w="527" w:type="pct"/>
            <w:tcMar>
              <w:left w:w="28" w:type="dxa"/>
              <w:right w:w="28" w:type="dxa"/>
            </w:tcMar>
            <w:vAlign w:val="center"/>
          </w:tcPr>
          <w:p w14:paraId="730871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2" w:type="pct"/>
            <w:tcBorders>
              <w:right w:val="double" w:color="auto" w:sz="4" w:space="0"/>
            </w:tcBorders>
            <w:tcMar>
              <w:left w:w="28" w:type="dxa"/>
              <w:right w:w="28" w:type="dxa"/>
            </w:tcMar>
            <w:vAlign w:val="center"/>
          </w:tcPr>
          <w:p w14:paraId="15EA6AF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0.004</w:t>
            </w:r>
          </w:p>
        </w:tc>
        <w:tc>
          <w:tcPr>
            <w:tcW w:w="501" w:type="pct"/>
            <w:vMerge w:val="continue"/>
            <w:tcBorders>
              <w:left w:val="double" w:color="auto" w:sz="4" w:space="0"/>
            </w:tcBorders>
            <w:tcMar>
              <w:left w:w="28" w:type="dxa"/>
              <w:right w:w="28" w:type="dxa"/>
            </w:tcMar>
            <w:vAlign w:val="center"/>
          </w:tcPr>
          <w:p w14:paraId="7329C9C6">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0CC9B7A2">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164636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55" w:type="pct"/>
            <w:tcMar>
              <w:left w:w="28" w:type="dxa"/>
              <w:right w:w="28" w:type="dxa"/>
            </w:tcMar>
            <w:vAlign w:val="center"/>
          </w:tcPr>
          <w:p w14:paraId="5D61AFB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201F20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restart"/>
            <w:tcMar>
              <w:left w:w="28" w:type="dxa"/>
              <w:right w:w="28" w:type="dxa"/>
            </w:tcMar>
            <w:vAlign w:val="center"/>
          </w:tcPr>
          <w:p w14:paraId="018E3F6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铜</w:t>
            </w:r>
          </w:p>
        </w:tc>
        <w:tc>
          <w:tcPr>
            <w:tcW w:w="532" w:type="pct"/>
            <w:vMerge w:val="restart"/>
            <w:tcMar>
              <w:left w:w="28" w:type="dxa"/>
              <w:right w:w="28" w:type="dxa"/>
            </w:tcMar>
            <w:vAlign w:val="center"/>
          </w:tcPr>
          <w:p w14:paraId="747A1C5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2330C7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≤18000</w:t>
            </w:r>
          </w:p>
        </w:tc>
        <w:tc>
          <w:tcPr>
            <w:tcW w:w="527" w:type="pct"/>
            <w:tcMar>
              <w:left w:w="28" w:type="dxa"/>
              <w:right w:w="28" w:type="dxa"/>
            </w:tcMar>
            <w:vAlign w:val="center"/>
          </w:tcPr>
          <w:p w14:paraId="25CD891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2" w:type="pct"/>
            <w:tcBorders>
              <w:right w:val="double" w:color="auto" w:sz="4" w:space="0"/>
            </w:tcBorders>
            <w:tcMar>
              <w:left w:w="28" w:type="dxa"/>
              <w:right w:w="28" w:type="dxa"/>
            </w:tcMar>
            <w:vAlign w:val="center"/>
          </w:tcPr>
          <w:p w14:paraId="61E2D027">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10.4</w:t>
            </w:r>
          </w:p>
        </w:tc>
        <w:tc>
          <w:tcPr>
            <w:tcW w:w="501" w:type="pct"/>
            <w:vMerge w:val="restart"/>
            <w:tcBorders>
              <w:left w:val="double" w:color="auto" w:sz="4" w:space="0"/>
            </w:tcBorders>
            <w:tcMar>
              <w:left w:w="28" w:type="dxa"/>
              <w:right w:w="28" w:type="dxa"/>
            </w:tcMar>
            <w:vAlign w:val="center"/>
          </w:tcPr>
          <w:p w14:paraId="5202099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铅</w:t>
            </w:r>
          </w:p>
        </w:tc>
        <w:tc>
          <w:tcPr>
            <w:tcW w:w="457" w:type="pct"/>
            <w:vMerge w:val="restart"/>
            <w:tcMar>
              <w:left w:w="28" w:type="dxa"/>
              <w:right w:w="28" w:type="dxa"/>
            </w:tcMar>
            <w:vAlign w:val="center"/>
          </w:tcPr>
          <w:p w14:paraId="5DB7BB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E44E53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≤800</w:t>
            </w:r>
          </w:p>
        </w:tc>
        <w:tc>
          <w:tcPr>
            <w:tcW w:w="559" w:type="pct"/>
            <w:tcMar>
              <w:left w:w="28" w:type="dxa"/>
              <w:right w:w="28" w:type="dxa"/>
            </w:tcMar>
            <w:vAlign w:val="center"/>
          </w:tcPr>
          <w:p w14:paraId="78B358B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55" w:type="pct"/>
            <w:tcMar>
              <w:left w:w="28" w:type="dxa"/>
              <w:right w:w="28" w:type="dxa"/>
            </w:tcMar>
            <w:vAlign w:val="center"/>
          </w:tcPr>
          <w:p w14:paraId="6C97CFAD">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12</w:t>
            </w:r>
          </w:p>
        </w:tc>
      </w:tr>
      <w:tr w14:paraId="726EA5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6" w:type="pct"/>
            <w:vMerge w:val="continue"/>
            <w:tcMar>
              <w:left w:w="28" w:type="dxa"/>
              <w:right w:w="28" w:type="dxa"/>
            </w:tcMar>
            <w:vAlign w:val="center"/>
          </w:tcPr>
          <w:p w14:paraId="1A402A1D">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77BF21E5">
            <w:pPr>
              <w:spacing w:line="0" w:lineRule="atLeast"/>
              <w:jc w:val="center"/>
              <w:rPr>
                <w:rFonts w:hint="eastAsia" w:hAnsi="宋体" w:cs="宋体"/>
                <w:color w:val="000000"/>
                <w:spacing w:val="-10"/>
                <w:sz w:val="21"/>
                <w:szCs w:val="21"/>
              </w:rPr>
            </w:pPr>
          </w:p>
        </w:tc>
        <w:tc>
          <w:tcPr>
            <w:tcW w:w="527" w:type="pct"/>
            <w:tcMar>
              <w:left w:w="28" w:type="dxa"/>
              <w:right w:w="28" w:type="dxa"/>
            </w:tcMar>
            <w:vAlign w:val="center"/>
          </w:tcPr>
          <w:p w14:paraId="3293938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2" w:type="pct"/>
            <w:tcBorders>
              <w:right w:val="double" w:color="auto" w:sz="4" w:space="0"/>
            </w:tcBorders>
            <w:tcMar>
              <w:left w:w="28" w:type="dxa"/>
              <w:right w:w="28" w:type="dxa"/>
            </w:tcMar>
            <w:vAlign w:val="center"/>
          </w:tcPr>
          <w:p w14:paraId="21C4665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0.00057</w:t>
            </w:r>
          </w:p>
        </w:tc>
        <w:tc>
          <w:tcPr>
            <w:tcW w:w="501" w:type="pct"/>
            <w:vMerge w:val="continue"/>
            <w:tcBorders>
              <w:left w:val="double" w:color="auto" w:sz="4" w:space="0"/>
            </w:tcBorders>
            <w:tcMar>
              <w:left w:w="28" w:type="dxa"/>
              <w:right w:w="28" w:type="dxa"/>
            </w:tcMar>
            <w:vAlign w:val="center"/>
          </w:tcPr>
          <w:p w14:paraId="3698310E">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0BFA5C5">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1EC69E4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55" w:type="pct"/>
            <w:tcMar>
              <w:left w:w="28" w:type="dxa"/>
              <w:right w:w="28" w:type="dxa"/>
            </w:tcMar>
            <w:vAlign w:val="center"/>
          </w:tcPr>
          <w:p w14:paraId="34A4F85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0.015</w:t>
            </w:r>
          </w:p>
        </w:tc>
      </w:tr>
    </w:tbl>
    <w:p w14:paraId="6408F609">
      <w:pPr>
        <w:spacing w:line="480" w:lineRule="exact"/>
        <w:ind w:firstLine="526" w:firstLineChars="200"/>
        <w:rPr>
          <w:rFonts w:hint="eastAsia" w:ascii="黑体" w:hAnsi="宋体" w:eastAsia="黑体"/>
          <w:color w:val="000000"/>
          <w:szCs w:val="24"/>
          <w:lang w:bidi="ar"/>
        </w:rPr>
      </w:pPr>
      <w:r>
        <w:br w:type="page"/>
      </w:r>
      <w:r>
        <w:rPr>
          <w:rFonts w:hint="eastAsia" w:ascii="黑体" w:hAnsi="黑体" w:eastAsia="黑体"/>
        </w:rPr>
        <w:t>续</w:t>
      </w:r>
      <w:r>
        <w:rPr>
          <w:rFonts w:hint="eastAsia" w:ascii="黑体" w:hAnsi="宋体" w:eastAsia="黑体"/>
          <w:color w:val="000000"/>
          <w:szCs w:val="24"/>
          <w:lang w:bidi="ar"/>
        </w:rPr>
        <w:t>表4.5-4</w:t>
      </w:r>
      <w:r>
        <w:rPr>
          <w:rFonts w:hint="eastAsia" w:ascii="黑体" w:hAnsi="宋体" w:eastAsia="黑体" w:cs="黑体"/>
          <w:color w:val="000000"/>
          <w:szCs w:val="24"/>
          <w:lang w:val="zh-CN"/>
        </w:rPr>
        <w:t xml:space="preserve">     土壤现状监测及评价结果一览表      </w:t>
      </w:r>
      <w:r>
        <w:rPr>
          <w:rFonts w:hint="eastAsia" w:ascii="黑体" w:hAnsi="宋体" w:eastAsia="黑体"/>
          <w:color w:val="000000"/>
          <w:szCs w:val="24"/>
          <w:lang w:bidi="ar"/>
        </w:rPr>
        <w:t>单位：mg/kg</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98"/>
        <w:gridCol w:w="959"/>
        <w:gridCol w:w="951"/>
        <w:gridCol w:w="1755"/>
        <w:gridCol w:w="14"/>
        <w:gridCol w:w="894"/>
        <w:gridCol w:w="824"/>
        <w:gridCol w:w="1007"/>
        <w:gridCol w:w="14"/>
        <w:gridCol w:w="1694"/>
      </w:tblGrid>
      <w:tr w14:paraId="5DB22E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58" w:type="pct"/>
            <w:gridSpan w:val="3"/>
            <w:vMerge w:val="restart"/>
            <w:tcBorders>
              <w:tl2br w:val="single" w:color="auto" w:sz="4" w:space="0"/>
            </w:tcBorders>
            <w:tcMar>
              <w:left w:w="28" w:type="dxa"/>
              <w:right w:w="28" w:type="dxa"/>
            </w:tcMar>
            <w:vAlign w:val="center"/>
          </w:tcPr>
          <w:p w14:paraId="296104A0">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5F6F280B">
            <w:pPr>
              <w:spacing w:line="0" w:lineRule="atLeast"/>
              <w:jc w:val="left"/>
              <w:rPr>
                <w:rFonts w:hint="eastAsia" w:hAnsi="宋体" w:cs="宋体"/>
                <w:color w:val="000000"/>
                <w:spacing w:val="-10"/>
                <w:sz w:val="21"/>
                <w:szCs w:val="21"/>
                <w:lang w:bidi="ar"/>
              </w:rPr>
            </w:pPr>
            <w:r>
              <w:rPr>
                <w:rFonts w:hint="eastAsia" w:hAnsi="宋体" w:cs="宋体"/>
                <w:color w:val="000000"/>
                <w:spacing w:val="-10"/>
                <w:sz w:val="21"/>
                <w:szCs w:val="21"/>
                <w:lang w:bidi="ar"/>
              </w:rPr>
              <w:t>监测因子</w:t>
            </w:r>
          </w:p>
        </w:tc>
        <w:tc>
          <w:tcPr>
            <w:tcW w:w="974" w:type="pct"/>
            <w:tcBorders>
              <w:right w:val="double" w:color="auto" w:sz="4" w:space="0"/>
            </w:tcBorders>
            <w:tcMar>
              <w:left w:w="28" w:type="dxa"/>
              <w:right w:w="28" w:type="dxa"/>
            </w:tcMar>
            <w:vAlign w:val="center"/>
          </w:tcPr>
          <w:p w14:paraId="43CDABE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塔三联管线接口处</w:t>
            </w:r>
          </w:p>
        </w:tc>
        <w:tc>
          <w:tcPr>
            <w:tcW w:w="1520" w:type="pct"/>
            <w:gridSpan w:val="4"/>
            <w:vMerge w:val="restart"/>
            <w:tcBorders>
              <w:left w:val="double" w:color="auto" w:sz="4" w:space="0"/>
              <w:tl2br w:val="single" w:color="auto" w:sz="4" w:space="0"/>
            </w:tcBorders>
            <w:tcMar>
              <w:left w:w="28" w:type="dxa"/>
              <w:right w:w="28" w:type="dxa"/>
            </w:tcMar>
            <w:vAlign w:val="center"/>
          </w:tcPr>
          <w:p w14:paraId="275475F5">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1C70F117">
            <w:pPr>
              <w:spacing w:line="0" w:lineRule="atLeast"/>
              <w:jc w:val="left"/>
              <w:textAlignment w:val="center"/>
              <w:rPr>
                <w:rFonts w:hint="eastAsia" w:hAnsi="宋体" w:cs="宋体"/>
                <w:color w:val="000000"/>
                <w:spacing w:val="-10"/>
                <w:kern w:val="0"/>
                <w:sz w:val="21"/>
                <w:szCs w:val="21"/>
                <w:lang w:bidi="ar"/>
              </w:rPr>
            </w:pPr>
            <w:r>
              <w:rPr>
                <w:rFonts w:hint="eastAsia" w:hAnsi="宋体" w:cs="宋体"/>
                <w:color w:val="000000"/>
                <w:spacing w:val="-10"/>
                <w:sz w:val="21"/>
                <w:szCs w:val="21"/>
              </w:rPr>
              <w:t>监测因子</w:t>
            </w:r>
          </w:p>
        </w:tc>
        <w:tc>
          <w:tcPr>
            <w:tcW w:w="948" w:type="pct"/>
            <w:gridSpan w:val="2"/>
            <w:tcMar>
              <w:left w:w="28" w:type="dxa"/>
              <w:right w:w="28" w:type="dxa"/>
            </w:tcMar>
            <w:vAlign w:val="center"/>
          </w:tcPr>
          <w:p w14:paraId="0615E6C1">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塔三联管线接口处</w:t>
            </w:r>
          </w:p>
        </w:tc>
      </w:tr>
      <w:tr w14:paraId="386AB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58" w:type="pct"/>
            <w:gridSpan w:val="3"/>
            <w:vMerge w:val="continue"/>
            <w:tcMar>
              <w:left w:w="28" w:type="dxa"/>
              <w:right w:w="28" w:type="dxa"/>
            </w:tcMar>
            <w:vAlign w:val="center"/>
          </w:tcPr>
          <w:p w14:paraId="5A92B15F">
            <w:pPr>
              <w:spacing w:line="0" w:lineRule="atLeast"/>
              <w:jc w:val="center"/>
              <w:rPr>
                <w:rFonts w:hint="eastAsia" w:hAnsi="宋体" w:cs="宋体"/>
                <w:color w:val="000000"/>
                <w:spacing w:val="-10"/>
                <w:sz w:val="21"/>
                <w:szCs w:val="21"/>
                <w:lang w:bidi="ar"/>
              </w:rPr>
            </w:pPr>
          </w:p>
        </w:tc>
        <w:tc>
          <w:tcPr>
            <w:tcW w:w="974" w:type="pct"/>
            <w:tcBorders>
              <w:right w:val="double" w:color="auto" w:sz="4" w:space="0"/>
            </w:tcBorders>
            <w:tcMar>
              <w:left w:w="28" w:type="dxa"/>
              <w:right w:w="28" w:type="dxa"/>
            </w:tcMar>
            <w:vAlign w:val="center"/>
          </w:tcPr>
          <w:p w14:paraId="0330B47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0.2m</w:t>
            </w:r>
          </w:p>
        </w:tc>
        <w:tc>
          <w:tcPr>
            <w:tcW w:w="1520" w:type="pct"/>
            <w:gridSpan w:val="4"/>
            <w:vMerge w:val="continue"/>
            <w:tcBorders>
              <w:left w:val="double" w:color="auto" w:sz="4" w:space="0"/>
            </w:tcBorders>
            <w:tcMar>
              <w:left w:w="28" w:type="dxa"/>
              <w:right w:w="28" w:type="dxa"/>
            </w:tcMar>
            <w:vAlign w:val="center"/>
          </w:tcPr>
          <w:p w14:paraId="6359510E">
            <w:pPr>
              <w:spacing w:line="0" w:lineRule="atLeast"/>
              <w:jc w:val="center"/>
              <w:textAlignment w:val="center"/>
              <w:rPr>
                <w:rFonts w:hint="eastAsia" w:hAnsi="宋体" w:cs="宋体"/>
                <w:color w:val="000000"/>
                <w:spacing w:val="-10"/>
                <w:kern w:val="0"/>
                <w:sz w:val="21"/>
                <w:szCs w:val="21"/>
                <w:lang w:bidi="ar"/>
              </w:rPr>
            </w:pPr>
          </w:p>
        </w:tc>
        <w:tc>
          <w:tcPr>
            <w:tcW w:w="948" w:type="pct"/>
            <w:gridSpan w:val="2"/>
            <w:tcMar>
              <w:left w:w="28" w:type="dxa"/>
              <w:right w:w="28" w:type="dxa"/>
            </w:tcMar>
            <w:vAlign w:val="center"/>
          </w:tcPr>
          <w:p w14:paraId="6B58349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0.2m</w:t>
            </w:r>
          </w:p>
        </w:tc>
      </w:tr>
      <w:tr w14:paraId="28EDC0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273F760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汞</w:t>
            </w:r>
          </w:p>
        </w:tc>
        <w:tc>
          <w:tcPr>
            <w:tcW w:w="532" w:type="pct"/>
            <w:vMerge w:val="restart"/>
            <w:tcMar>
              <w:left w:w="28" w:type="dxa"/>
              <w:right w:w="28" w:type="dxa"/>
            </w:tcMar>
            <w:vAlign w:val="center"/>
          </w:tcPr>
          <w:p w14:paraId="325397E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3CFB23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≤38</w:t>
            </w:r>
          </w:p>
        </w:tc>
        <w:tc>
          <w:tcPr>
            <w:tcW w:w="528" w:type="pct"/>
            <w:tcMar>
              <w:left w:w="28" w:type="dxa"/>
              <w:right w:w="28" w:type="dxa"/>
            </w:tcMar>
            <w:vAlign w:val="center"/>
          </w:tcPr>
          <w:p w14:paraId="7B919F4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4" w:type="pct"/>
            <w:tcBorders>
              <w:right w:val="double" w:color="auto" w:sz="4" w:space="0"/>
            </w:tcBorders>
            <w:tcMar>
              <w:left w:w="28" w:type="dxa"/>
              <w:right w:w="28" w:type="dxa"/>
            </w:tcMar>
            <w:vAlign w:val="center"/>
          </w:tcPr>
          <w:p w14:paraId="201E9051">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0.042</w:t>
            </w:r>
          </w:p>
        </w:tc>
        <w:tc>
          <w:tcPr>
            <w:tcW w:w="504" w:type="pct"/>
            <w:gridSpan w:val="2"/>
            <w:vMerge w:val="restart"/>
            <w:tcBorders>
              <w:left w:val="double" w:color="auto" w:sz="4" w:space="0"/>
            </w:tcBorders>
            <w:tcMar>
              <w:left w:w="28" w:type="dxa"/>
              <w:right w:w="28" w:type="dxa"/>
            </w:tcMar>
            <w:vAlign w:val="center"/>
          </w:tcPr>
          <w:p w14:paraId="1662303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镍</w:t>
            </w:r>
          </w:p>
        </w:tc>
        <w:tc>
          <w:tcPr>
            <w:tcW w:w="457" w:type="pct"/>
            <w:vMerge w:val="restart"/>
            <w:tcMar>
              <w:left w:w="28" w:type="dxa"/>
              <w:right w:w="28" w:type="dxa"/>
            </w:tcMar>
            <w:vAlign w:val="center"/>
          </w:tcPr>
          <w:p w14:paraId="737B07B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71D6793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≤900</w:t>
            </w:r>
          </w:p>
        </w:tc>
        <w:tc>
          <w:tcPr>
            <w:tcW w:w="559" w:type="pct"/>
            <w:tcMar>
              <w:left w:w="28" w:type="dxa"/>
              <w:right w:w="28" w:type="dxa"/>
            </w:tcMar>
            <w:vAlign w:val="center"/>
          </w:tcPr>
          <w:p w14:paraId="3FE00E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8" w:type="pct"/>
            <w:gridSpan w:val="2"/>
            <w:tcMar>
              <w:left w:w="28" w:type="dxa"/>
              <w:right w:w="28" w:type="dxa"/>
            </w:tcMar>
            <w:vAlign w:val="center"/>
          </w:tcPr>
          <w:p w14:paraId="52B69345">
            <w:pPr>
              <w:spacing w:line="0" w:lineRule="atLeast"/>
              <w:jc w:val="center"/>
              <w:textAlignment w:val="center"/>
              <w:rPr>
                <w:rFonts w:hint="eastAsia" w:hAnsi="宋体" w:cs="宋体"/>
                <w:color w:val="000000"/>
                <w:spacing w:val="-10"/>
                <w:sz w:val="21"/>
                <w:szCs w:val="21"/>
              </w:rPr>
            </w:pPr>
            <w:r>
              <w:rPr>
                <w:rFonts w:hint="eastAsia" w:hAnsi="宋体" w:cs="宋体"/>
                <w:sz w:val="21"/>
                <w:szCs w:val="21"/>
              </w:rPr>
              <w:t>15</w:t>
            </w:r>
          </w:p>
        </w:tc>
      </w:tr>
      <w:tr w14:paraId="6E4CAF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continue"/>
            <w:tcMar>
              <w:left w:w="28" w:type="dxa"/>
              <w:right w:w="28" w:type="dxa"/>
            </w:tcMar>
            <w:vAlign w:val="center"/>
          </w:tcPr>
          <w:p w14:paraId="2484518D">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5BCE6814">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332BF78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4" w:type="pct"/>
            <w:tcBorders>
              <w:right w:val="double" w:color="auto" w:sz="4" w:space="0"/>
            </w:tcBorders>
            <w:tcMar>
              <w:left w:w="28" w:type="dxa"/>
              <w:right w:w="28" w:type="dxa"/>
            </w:tcMar>
            <w:vAlign w:val="center"/>
          </w:tcPr>
          <w:p w14:paraId="0E74134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0.0011</w:t>
            </w:r>
          </w:p>
        </w:tc>
        <w:tc>
          <w:tcPr>
            <w:tcW w:w="504" w:type="pct"/>
            <w:gridSpan w:val="2"/>
            <w:vMerge w:val="continue"/>
            <w:tcBorders>
              <w:left w:val="double" w:color="auto" w:sz="4" w:space="0"/>
            </w:tcBorders>
            <w:tcMar>
              <w:left w:w="28" w:type="dxa"/>
              <w:right w:w="28" w:type="dxa"/>
            </w:tcMar>
            <w:vAlign w:val="center"/>
          </w:tcPr>
          <w:p w14:paraId="5DBE0BC4">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52272DB7">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660921F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8" w:type="pct"/>
            <w:gridSpan w:val="2"/>
            <w:tcMar>
              <w:left w:w="28" w:type="dxa"/>
              <w:right w:w="28" w:type="dxa"/>
            </w:tcMar>
            <w:vAlign w:val="center"/>
          </w:tcPr>
          <w:p w14:paraId="099881B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0.017</w:t>
            </w:r>
          </w:p>
        </w:tc>
      </w:tr>
      <w:tr w14:paraId="4DDFC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6C6DF64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四氯化碳</w:t>
            </w:r>
          </w:p>
        </w:tc>
        <w:tc>
          <w:tcPr>
            <w:tcW w:w="532" w:type="pct"/>
            <w:vMerge w:val="restart"/>
            <w:tcMar>
              <w:left w:w="28" w:type="dxa"/>
              <w:right w:w="28" w:type="dxa"/>
            </w:tcMar>
            <w:vAlign w:val="center"/>
          </w:tcPr>
          <w:p w14:paraId="4B50D76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7CEFA3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528" w:type="pct"/>
            <w:tcMar>
              <w:left w:w="28" w:type="dxa"/>
              <w:right w:w="28" w:type="dxa"/>
            </w:tcMar>
            <w:vAlign w:val="center"/>
          </w:tcPr>
          <w:p w14:paraId="36B7BD5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4" w:type="pct"/>
            <w:tcBorders>
              <w:right w:val="double" w:color="auto" w:sz="4" w:space="0"/>
            </w:tcBorders>
            <w:tcMar>
              <w:left w:w="28" w:type="dxa"/>
              <w:right w:w="28" w:type="dxa"/>
            </w:tcMar>
            <w:vAlign w:val="center"/>
          </w:tcPr>
          <w:p w14:paraId="08425FB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04" w:type="pct"/>
            <w:gridSpan w:val="2"/>
            <w:vMerge w:val="restart"/>
            <w:tcBorders>
              <w:left w:val="double" w:color="auto" w:sz="4" w:space="0"/>
            </w:tcBorders>
            <w:tcMar>
              <w:left w:w="28" w:type="dxa"/>
              <w:right w:w="28" w:type="dxa"/>
            </w:tcMar>
            <w:vAlign w:val="center"/>
          </w:tcPr>
          <w:p w14:paraId="41A700A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氯仿</w:t>
            </w:r>
          </w:p>
        </w:tc>
        <w:tc>
          <w:tcPr>
            <w:tcW w:w="457" w:type="pct"/>
            <w:vMerge w:val="restart"/>
            <w:tcMar>
              <w:left w:w="28" w:type="dxa"/>
              <w:right w:w="28" w:type="dxa"/>
            </w:tcMar>
            <w:vAlign w:val="center"/>
          </w:tcPr>
          <w:p w14:paraId="2F1CF7A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29FDC8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≤0.9</w:t>
            </w:r>
          </w:p>
        </w:tc>
        <w:tc>
          <w:tcPr>
            <w:tcW w:w="559" w:type="pct"/>
            <w:tcMar>
              <w:left w:w="28" w:type="dxa"/>
              <w:right w:w="28" w:type="dxa"/>
            </w:tcMar>
            <w:vAlign w:val="center"/>
          </w:tcPr>
          <w:p w14:paraId="611F301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8" w:type="pct"/>
            <w:gridSpan w:val="2"/>
            <w:tcMar>
              <w:left w:w="28" w:type="dxa"/>
              <w:right w:w="28" w:type="dxa"/>
            </w:tcMar>
            <w:vAlign w:val="center"/>
          </w:tcPr>
          <w:p w14:paraId="4F2E547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27431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continue"/>
            <w:tcMar>
              <w:left w:w="28" w:type="dxa"/>
              <w:right w:w="28" w:type="dxa"/>
            </w:tcMar>
            <w:vAlign w:val="center"/>
          </w:tcPr>
          <w:p w14:paraId="410BCC6E">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69C7D7ED">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5CC1F86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4" w:type="pct"/>
            <w:tcBorders>
              <w:right w:val="double" w:color="auto" w:sz="4" w:space="0"/>
            </w:tcBorders>
            <w:tcMar>
              <w:left w:w="28" w:type="dxa"/>
              <w:right w:w="28" w:type="dxa"/>
            </w:tcMar>
            <w:vAlign w:val="center"/>
          </w:tcPr>
          <w:p w14:paraId="4A92425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04" w:type="pct"/>
            <w:gridSpan w:val="2"/>
            <w:vMerge w:val="continue"/>
            <w:tcBorders>
              <w:left w:val="double" w:color="auto" w:sz="4" w:space="0"/>
            </w:tcBorders>
            <w:tcMar>
              <w:left w:w="28" w:type="dxa"/>
              <w:right w:w="28" w:type="dxa"/>
            </w:tcMar>
            <w:vAlign w:val="center"/>
          </w:tcPr>
          <w:p w14:paraId="1913BA19">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34D52AA">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04630F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8" w:type="pct"/>
            <w:gridSpan w:val="2"/>
            <w:tcMar>
              <w:left w:w="28" w:type="dxa"/>
              <w:right w:w="28" w:type="dxa"/>
            </w:tcMar>
            <w:vAlign w:val="center"/>
          </w:tcPr>
          <w:p w14:paraId="544E33F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6AD1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0C17DA5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氯甲烷</w:t>
            </w:r>
          </w:p>
        </w:tc>
        <w:tc>
          <w:tcPr>
            <w:tcW w:w="532" w:type="pct"/>
            <w:vMerge w:val="restart"/>
            <w:tcMar>
              <w:left w:w="28" w:type="dxa"/>
              <w:right w:w="28" w:type="dxa"/>
            </w:tcMar>
            <w:vAlign w:val="center"/>
          </w:tcPr>
          <w:p w14:paraId="20F9F36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7AC7094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≤37</w:t>
            </w:r>
          </w:p>
        </w:tc>
        <w:tc>
          <w:tcPr>
            <w:tcW w:w="528" w:type="pct"/>
            <w:tcMar>
              <w:left w:w="28" w:type="dxa"/>
              <w:right w:w="28" w:type="dxa"/>
            </w:tcMar>
            <w:vAlign w:val="center"/>
          </w:tcPr>
          <w:p w14:paraId="06AE8B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4" w:type="pct"/>
            <w:tcBorders>
              <w:right w:val="double" w:color="auto" w:sz="4" w:space="0"/>
            </w:tcBorders>
            <w:tcMar>
              <w:left w:w="28" w:type="dxa"/>
              <w:right w:w="28" w:type="dxa"/>
            </w:tcMar>
            <w:vAlign w:val="center"/>
          </w:tcPr>
          <w:p w14:paraId="67B4437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04" w:type="pct"/>
            <w:gridSpan w:val="2"/>
            <w:vMerge w:val="restart"/>
            <w:tcBorders>
              <w:left w:val="double" w:color="auto" w:sz="4" w:space="0"/>
            </w:tcBorders>
            <w:tcMar>
              <w:left w:w="28" w:type="dxa"/>
              <w:right w:w="28" w:type="dxa"/>
            </w:tcMar>
            <w:vAlign w:val="center"/>
          </w:tcPr>
          <w:p w14:paraId="2EF0599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1，1-二氯</w:t>
            </w:r>
          </w:p>
          <w:p w14:paraId="4896010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乙烷</w:t>
            </w:r>
          </w:p>
        </w:tc>
        <w:tc>
          <w:tcPr>
            <w:tcW w:w="457" w:type="pct"/>
            <w:vMerge w:val="restart"/>
            <w:tcMar>
              <w:left w:w="28" w:type="dxa"/>
              <w:right w:w="28" w:type="dxa"/>
            </w:tcMar>
            <w:vAlign w:val="center"/>
          </w:tcPr>
          <w:p w14:paraId="70A3E78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BE66E9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559" w:type="pct"/>
            <w:tcMar>
              <w:left w:w="28" w:type="dxa"/>
              <w:right w:w="28" w:type="dxa"/>
            </w:tcMar>
            <w:vAlign w:val="center"/>
          </w:tcPr>
          <w:p w14:paraId="2BD383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8" w:type="pct"/>
            <w:gridSpan w:val="2"/>
            <w:tcMar>
              <w:left w:w="28" w:type="dxa"/>
              <w:right w:w="28" w:type="dxa"/>
            </w:tcMar>
            <w:vAlign w:val="center"/>
          </w:tcPr>
          <w:p w14:paraId="3C02AF1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0B75C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continue"/>
            <w:tcMar>
              <w:left w:w="28" w:type="dxa"/>
              <w:right w:w="28" w:type="dxa"/>
            </w:tcMar>
            <w:vAlign w:val="center"/>
          </w:tcPr>
          <w:p w14:paraId="036A18B6">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2E4A3EA6">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17E733C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4" w:type="pct"/>
            <w:tcBorders>
              <w:right w:val="double" w:color="auto" w:sz="4" w:space="0"/>
            </w:tcBorders>
            <w:tcMar>
              <w:left w:w="28" w:type="dxa"/>
              <w:right w:w="28" w:type="dxa"/>
            </w:tcMar>
            <w:vAlign w:val="center"/>
          </w:tcPr>
          <w:p w14:paraId="5A63A10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04" w:type="pct"/>
            <w:gridSpan w:val="2"/>
            <w:vMerge w:val="continue"/>
            <w:tcBorders>
              <w:left w:val="double" w:color="auto" w:sz="4" w:space="0"/>
            </w:tcBorders>
            <w:tcMar>
              <w:left w:w="28" w:type="dxa"/>
              <w:right w:w="28" w:type="dxa"/>
            </w:tcMar>
            <w:vAlign w:val="center"/>
          </w:tcPr>
          <w:p w14:paraId="526B0938">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D637993">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4899926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8" w:type="pct"/>
            <w:gridSpan w:val="2"/>
            <w:tcMar>
              <w:left w:w="28" w:type="dxa"/>
              <w:right w:w="28" w:type="dxa"/>
            </w:tcMar>
            <w:vAlign w:val="center"/>
          </w:tcPr>
          <w:p w14:paraId="104A1929">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34D5D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66A8ECA0">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1，2-二氯</w:t>
            </w:r>
          </w:p>
          <w:p w14:paraId="32EA912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乙烷</w:t>
            </w:r>
          </w:p>
        </w:tc>
        <w:tc>
          <w:tcPr>
            <w:tcW w:w="532" w:type="pct"/>
            <w:vMerge w:val="restart"/>
            <w:tcMar>
              <w:left w:w="28" w:type="dxa"/>
              <w:right w:w="28" w:type="dxa"/>
            </w:tcMar>
            <w:vAlign w:val="center"/>
          </w:tcPr>
          <w:p w14:paraId="42046C1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2D44F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528" w:type="pct"/>
            <w:tcMar>
              <w:left w:w="28" w:type="dxa"/>
              <w:right w:w="28" w:type="dxa"/>
            </w:tcMar>
            <w:vAlign w:val="center"/>
          </w:tcPr>
          <w:p w14:paraId="46A072C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4" w:type="pct"/>
            <w:tcBorders>
              <w:right w:val="double" w:color="auto" w:sz="4" w:space="0"/>
            </w:tcBorders>
            <w:tcMar>
              <w:left w:w="28" w:type="dxa"/>
              <w:right w:w="28" w:type="dxa"/>
            </w:tcMar>
            <w:vAlign w:val="center"/>
          </w:tcPr>
          <w:p w14:paraId="123F3FC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04" w:type="pct"/>
            <w:gridSpan w:val="2"/>
            <w:vMerge w:val="restart"/>
            <w:tcBorders>
              <w:left w:val="double" w:color="auto" w:sz="4" w:space="0"/>
            </w:tcBorders>
            <w:tcMar>
              <w:left w:w="28" w:type="dxa"/>
              <w:right w:w="28" w:type="dxa"/>
            </w:tcMar>
            <w:vAlign w:val="center"/>
          </w:tcPr>
          <w:p w14:paraId="6EF4686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1，1-二氯</w:t>
            </w:r>
          </w:p>
          <w:p w14:paraId="1C70567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乙烯</w:t>
            </w:r>
          </w:p>
        </w:tc>
        <w:tc>
          <w:tcPr>
            <w:tcW w:w="457" w:type="pct"/>
            <w:vMerge w:val="restart"/>
            <w:tcMar>
              <w:left w:w="28" w:type="dxa"/>
              <w:right w:w="28" w:type="dxa"/>
            </w:tcMar>
            <w:vAlign w:val="center"/>
          </w:tcPr>
          <w:p w14:paraId="21E28F1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074432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≤66</w:t>
            </w:r>
          </w:p>
        </w:tc>
        <w:tc>
          <w:tcPr>
            <w:tcW w:w="559" w:type="pct"/>
            <w:tcMar>
              <w:left w:w="28" w:type="dxa"/>
              <w:right w:w="28" w:type="dxa"/>
            </w:tcMar>
            <w:vAlign w:val="center"/>
          </w:tcPr>
          <w:p w14:paraId="46040EB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8" w:type="pct"/>
            <w:gridSpan w:val="2"/>
            <w:tcMar>
              <w:left w:w="28" w:type="dxa"/>
              <w:right w:w="28" w:type="dxa"/>
            </w:tcMar>
            <w:vAlign w:val="center"/>
          </w:tcPr>
          <w:p w14:paraId="3E69006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1EEDA8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continue"/>
            <w:tcMar>
              <w:left w:w="28" w:type="dxa"/>
              <w:right w:w="28" w:type="dxa"/>
            </w:tcMar>
            <w:vAlign w:val="center"/>
          </w:tcPr>
          <w:p w14:paraId="734D7ED7">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2B9EC6CA">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0361E3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4" w:type="pct"/>
            <w:tcBorders>
              <w:right w:val="double" w:color="auto" w:sz="4" w:space="0"/>
            </w:tcBorders>
            <w:tcMar>
              <w:left w:w="28" w:type="dxa"/>
              <w:right w:w="28" w:type="dxa"/>
            </w:tcMar>
            <w:vAlign w:val="center"/>
          </w:tcPr>
          <w:p w14:paraId="731DC4F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04" w:type="pct"/>
            <w:gridSpan w:val="2"/>
            <w:vMerge w:val="continue"/>
            <w:tcBorders>
              <w:left w:val="double" w:color="auto" w:sz="4" w:space="0"/>
            </w:tcBorders>
            <w:tcMar>
              <w:left w:w="28" w:type="dxa"/>
              <w:right w:w="28" w:type="dxa"/>
            </w:tcMar>
            <w:vAlign w:val="center"/>
          </w:tcPr>
          <w:p w14:paraId="3977FEC0">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30391FC0">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0024D5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8" w:type="pct"/>
            <w:gridSpan w:val="2"/>
            <w:tcMar>
              <w:left w:w="28" w:type="dxa"/>
              <w:right w:w="28" w:type="dxa"/>
            </w:tcMar>
            <w:vAlign w:val="center"/>
          </w:tcPr>
          <w:p w14:paraId="409BE7E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1B1AD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10BBA9D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顺-1，2-二氯乙烯</w:t>
            </w:r>
          </w:p>
        </w:tc>
        <w:tc>
          <w:tcPr>
            <w:tcW w:w="532" w:type="pct"/>
            <w:vMerge w:val="restart"/>
            <w:tcMar>
              <w:left w:w="28" w:type="dxa"/>
              <w:right w:w="28" w:type="dxa"/>
            </w:tcMar>
            <w:vAlign w:val="center"/>
          </w:tcPr>
          <w:p w14:paraId="62C8A1B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2A6241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≤596</w:t>
            </w:r>
          </w:p>
        </w:tc>
        <w:tc>
          <w:tcPr>
            <w:tcW w:w="528" w:type="pct"/>
            <w:tcMar>
              <w:left w:w="28" w:type="dxa"/>
              <w:right w:w="28" w:type="dxa"/>
            </w:tcMar>
            <w:vAlign w:val="center"/>
          </w:tcPr>
          <w:p w14:paraId="6B887C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74" w:type="pct"/>
            <w:tcBorders>
              <w:right w:val="double" w:color="auto" w:sz="4" w:space="0"/>
            </w:tcBorders>
            <w:tcMar>
              <w:left w:w="28" w:type="dxa"/>
              <w:right w:w="28" w:type="dxa"/>
            </w:tcMar>
            <w:vAlign w:val="center"/>
          </w:tcPr>
          <w:p w14:paraId="10894C2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04" w:type="pct"/>
            <w:gridSpan w:val="2"/>
            <w:vMerge w:val="restart"/>
            <w:tcBorders>
              <w:left w:val="double" w:color="auto" w:sz="4" w:space="0"/>
            </w:tcBorders>
            <w:tcMar>
              <w:left w:w="28" w:type="dxa"/>
              <w:right w:w="28" w:type="dxa"/>
            </w:tcMar>
            <w:vAlign w:val="center"/>
          </w:tcPr>
          <w:p w14:paraId="1BA14F1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反-1，2-二氯乙烯</w:t>
            </w:r>
          </w:p>
        </w:tc>
        <w:tc>
          <w:tcPr>
            <w:tcW w:w="457" w:type="pct"/>
            <w:vMerge w:val="restart"/>
            <w:tcMar>
              <w:left w:w="28" w:type="dxa"/>
              <w:right w:w="28" w:type="dxa"/>
            </w:tcMar>
            <w:vAlign w:val="center"/>
          </w:tcPr>
          <w:p w14:paraId="4A54C5C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86811B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≤54</w:t>
            </w:r>
          </w:p>
        </w:tc>
        <w:tc>
          <w:tcPr>
            <w:tcW w:w="559" w:type="pct"/>
            <w:tcMar>
              <w:left w:w="28" w:type="dxa"/>
              <w:right w:w="28" w:type="dxa"/>
            </w:tcMar>
            <w:vAlign w:val="center"/>
          </w:tcPr>
          <w:p w14:paraId="6BC907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8" w:type="pct"/>
            <w:gridSpan w:val="2"/>
            <w:tcMar>
              <w:left w:w="28" w:type="dxa"/>
              <w:right w:w="28" w:type="dxa"/>
            </w:tcMar>
            <w:vAlign w:val="center"/>
          </w:tcPr>
          <w:p w14:paraId="6ECCBFC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723E1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continue"/>
            <w:tcMar>
              <w:left w:w="28" w:type="dxa"/>
              <w:right w:w="28" w:type="dxa"/>
            </w:tcMar>
            <w:vAlign w:val="center"/>
          </w:tcPr>
          <w:p w14:paraId="656EB1C9">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0F9CED92">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5325025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74" w:type="pct"/>
            <w:tcBorders>
              <w:right w:val="double" w:color="auto" w:sz="4" w:space="0"/>
            </w:tcBorders>
            <w:tcMar>
              <w:left w:w="28" w:type="dxa"/>
              <w:right w:w="28" w:type="dxa"/>
            </w:tcMar>
            <w:vAlign w:val="center"/>
          </w:tcPr>
          <w:p w14:paraId="55D8AD1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04" w:type="pct"/>
            <w:gridSpan w:val="2"/>
            <w:vMerge w:val="continue"/>
            <w:tcBorders>
              <w:left w:val="double" w:color="auto" w:sz="4" w:space="0"/>
            </w:tcBorders>
            <w:tcMar>
              <w:left w:w="28" w:type="dxa"/>
              <w:right w:w="28" w:type="dxa"/>
            </w:tcMar>
            <w:vAlign w:val="center"/>
          </w:tcPr>
          <w:p w14:paraId="23E53C0A">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3FE818CE">
            <w:pPr>
              <w:spacing w:line="0" w:lineRule="atLeast"/>
              <w:jc w:val="center"/>
              <w:textAlignment w:val="center"/>
              <w:rPr>
                <w:rFonts w:hint="eastAsia" w:hAnsi="宋体" w:cs="宋体"/>
                <w:color w:val="000000"/>
                <w:spacing w:val="-10"/>
                <w:sz w:val="21"/>
                <w:szCs w:val="21"/>
              </w:rPr>
            </w:pPr>
          </w:p>
        </w:tc>
        <w:tc>
          <w:tcPr>
            <w:tcW w:w="559" w:type="pct"/>
            <w:tcMar>
              <w:left w:w="28" w:type="dxa"/>
              <w:right w:w="28" w:type="dxa"/>
            </w:tcMar>
            <w:vAlign w:val="center"/>
          </w:tcPr>
          <w:p w14:paraId="33BFD8C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8" w:type="pct"/>
            <w:gridSpan w:val="2"/>
            <w:tcMar>
              <w:left w:w="28" w:type="dxa"/>
              <w:right w:w="28" w:type="dxa"/>
            </w:tcMar>
            <w:vAlign w:val="center"/>
          </w:tcPr>
          <w:p w14:paraId="11CE9E9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489FBC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8" w:type="pct"/>
            <w:vMerge w:val="restart"/>
            <w:tcMar>
              <w:left w:w="28" w:type="dxa"/>
              <w:right w:w="28" w:type="dxa"/>
            </w:tcMar>
            <w:vAlign w:val="center"/>
          </w:tcPr>
          <w:p w14:paraId="60A993E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二氯甲烷</w:t>
            </w:r>
          </w:p>
        </w:tc>
        <w:tc>
          <w:tcPr>
            <w:tcW w:w="532" w:type="pct"/>
            <w:vMerge w:val="restart"/>
            <w:tcMar>
              <w:left w:w="28" w:type="dxa"/>
              <w:right w:w="28" w:type="dxa"/>
            </w:tcMar>
            <w:vAlign w:val="center"/>
          </w:tcPr>
          <w:p w14:paraId="57C64B8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AEC3AD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≤616</w:t>
            </w:r>
          </w:p>
        </w:tc>
        <w:tc>
          <w:tcPr>
            <w:tcW w:w="528" w:type="pct"/>
            <w:tcMar>
              <w:left w:w="28" w:type="dxa"/>
              <w:right w:w="28" w:type="dxa"/>
            </w:tcMar>
            <w:vAlign w:val="center"/>
          </w:tcPr>
          <w:p w14:paraId="637D5A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6EE5A31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69A903E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1，2-二氯丙烷</w:t>
            </w:r>
          </w:p>
        </w:tc>
        <w:tc>
          <w:tcPr>
            <w:tcW w:w="457" w:type="pct"/>
            <w:vMerge w:val="restart"/>
            <w:tcMar>
              <w:left w:w="28" w:type="dxa"/>
              <w:right w:w="28" w:type="dxa"/>
            </w:tcMar>
            <w:vAlign w:val="center"/>
          </w:tcPr>
          <w:p w14:paraId="032A1CB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DC49C2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567" w:type="pct"/>
            <w:gridSpan w:val="2"/>
            <w:tcMar>
              <w:left w:w="28" w:type="dxa"/>
              <w:right w:w="28" w:type="dxa"/>
            </w:tcMar>
            <w:vAlign w:val="center"/>
          </w:tcPr>
          <w:p w14:paraId="187D74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259BC7A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5D80F7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65B2F536">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63699D44">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4712BD0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4464518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0A2282FF">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DD78DB9">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101AA3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5DFB95E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7BF2F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6B42670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1，1，1，2-四氯乙烷</w:t>
            </w:r>
          </w:p>
        </w:tc>
        <w:tc>
          <w:tcPr>
            <w:tcW w:w="532" w:type="pct"/>
            <w:vMerge w:val="restart"/>
            <w:tcMar>
              <w:left w:w="28" w:type="dxa"/>
              <w:right w:w="28" w:type="dxa"/>
            </w:tcMar>
            <w:vAlign w:val="center"/>
          </w:tcPr>
          <w:p w14:paraId="6BC5CE4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3982E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w:t>
            </w:r>
          </w:p>
        </w:tc>
        <w:tc>
          <w:tcPr>
            <w:tcW w:w="528" w:type="pct"/>
            <w:tcMar>
              <w:left w:w="28" w:type="dxa"/>
              <w:right w:w="28" w:type="dxa"/>
            </w:tcMar>
            <w:vAlign w:val="center"/>
          </w:tcPr>
          <w:p w14:paraId="5CE1958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23201B4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234EDD8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1，1，2，2-四氯乙烷</w:t>
            </w:r>
          </w:p>
        </w:tc>
        <w:tc>
          <w:tcPr>
            <w:tcW w:w="457" w:type="pct"/>
            <w:vMerge w:val="restart"/>
            <w:tcMar>
              <w:left w:w="28" w:type="dxa"/>
              <w:right w:w="28" w:type="dxa"/>
            </w:tcMar>
            <w:vAlign w:val="center"/>
          </w:tcPr>
          <w:p w14:paraId="342D626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A7D41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≤6.8</w:t>
            </w:r>
          </w:p>
        </w:tc>
        <w:tc>
          <w:tcPr>
            <w:tcW w:w="567" w:type="pct"/>
            <w:gridSpan w:val="2"/>
            <w:tcMar>
              <w:left w:w="28" w:type="dxa"/>
              <w:right w:w="28" w:type="dxa"/>
            </w:tcMar>
            <w:vAlign w:val="center"/>
          </w:tcPr>
          <w:p w14:paraId="2A2B98C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407AF05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097AF1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3E78BC7D">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5B20AAAA">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206CD44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7B99244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7BD237D5">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2AEADA4A">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5BA0DB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9AC67D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387628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7F77804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br w:type="page"/>
            </w:r>
            <w:r>
              <w:rPr>
                <w:rFonts w:hint="eastAsia" w:hAnsi="宋体" w:cs="宋体"/>
                <w:color w:val="000000"/>
                <w:spacing w:val="-10"/>
                <w:sz w:val="21"/>
                <w:szCs w:val="21"/>
              </w:rPr>
              <w:t>四氯乙烯</w:t>
            </w:r>
          </w:p>
        </w:tc>
        <w:tc>
          <w:tcPr>
            <w:tcW w:w="532" w:type="pct"/>
            <w:vMerge w:val="restart"/>
            <w:tcMar>
              <w:left w:w="28" w:type="dxa"/>
              <w:right w:w="28" w:type="dxa"/>
            </w:tcMar>
            <w:vAlign w:val="center"/>
          </w:tcPr>
          <w:p w14:paraId="07029AD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90B053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≤53</w:t>
            </w:r>
          </w:p>
        </w:tc>
        <w:tc>
          <w:tcPr>
            <w:tcW w:w="528" w:type="pct"/>
            <w:tcMar>
              <w:left w:w="28" w:type="dxa"/>
              <w:right w:w="28" w:type="dxa"/>
            </w:tcMar>
            <w:vAlign w:val="center"/>
          </w:tcPr>
          <w:p w14:paraId="2768504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02B2512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7AF8A65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1，1，1-三氯乙烷</w:t>
            </w:r>
          </w:p>
        </w:tc>
        <w:tc>
          <w:tcPr>
            <w:tcW w:w="457" w:type="pct"/>
            <w:vMerge w:val="restart"/>
            <w:tcMar>
              <w:left w:w="28" w:type="dxa"/>
              <w:right w:w="28" w:type="dxa"/>
            </w:tcMar>
            <w:vAlign w:val="center"/>
          </w:tcPr>
          <w:p w14:paraId="0D5318A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73CA6A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≤840</w:t>
            </w:r>
          </w:p>
        </w:tc>
        <w:tc>
          <w:tcPr>
            <w:tcW w:w="567" w:type="pct"/>
            <w:gridSpan w:val="2"/>
            <w:tcMar>
              <w:left w:w="28" w:type="dxa"/>
              <w:right w:w="28" w:type="dxa"/>
            </w:tcMar>
            <w:vAlign w:val="center"/>
          </w:tcPr>
          <w:p w14:paraId="5C4B1A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5910C21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1FE8E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3D5FA3BC">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20BA1B9C">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00E4270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07012B9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29C5ECAC">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C4FF73E">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4FE568E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715F0F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E0EC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48A0A7C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1，1，2-三氯乙烷</w:t>
            </w:r>
          </w:p>
        </w:tc>
        <w:tc>
          <w:tcPr>
            <w:tcW w:w="532" w:type="pct"/>
            <w:vMerge w:val="restart"/>
            <w:tcMar>
              <w:left w:w="28" w:type="dxa"/>
              <w:right w:w="28" w:type="dxa"/>
            </w:tcMar>
            <w:vAlign w:val="center"/>
          </w:tcPr>
          <w:p w14:paraId="4B0713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04FEF9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528" w:type="pct"/>
            <w:tcMar>
              <w:left w:w="28" w:type="dxa"/>
              <w:right w:w="28" w:type="dxa"/>
            </w:tcMar>
            <w:vAlign w:val="center"/>
          </w:tcPr>
          <w:p w14:paraId="56685DE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3C8546C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15409EB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三氯乙烯</w:t>
            </w:r>
          </w:p>
        </w:tc>
        <w:tc>
          <w:tcPr>
            <w:tcW w:w="457" w:type="pct"/>
            <w:vMerge w:val="restart"/>
            <w:tcMar>
              <w:left w:w="28" w:type="dxa"/>
              <w:right w:w="28" w:type="dxa"/>
            </w:tcMar>
            <w:vAlign w:val="center"/>
          </w:tcPr>
          <w:p w14:paraId="40D633F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C1FF39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567" w:type="pct"/>
            <w:gridSpan w:val="2"/>
            <w:tcMar>
              <w:left w:w="28" w:type="dxa"/>
              <w:right w:w="28" w:type="dxa"/>
            </w:tcMar>
            <w:vAlign w:val="center"/>
          </w:tcPr>
          <w:p w14:paraId="079B2A7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77EAE9E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2D65F4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1AA8C9F9">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7490B168">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6C8659E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21811D3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35DEE2AE">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6906812">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6DB55FC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6C2F39E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1838CD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42B13222">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1，2，3-三氯丙烷</w:t>
            </w:r>
          </w:p>
        </w:tc>
        <w:tc>
          <w:tcPr>
            <w:tcW w:w="532" w:type="pct"/>
            <w:vMerge w:val="restart"/>
            <w:tcMar>
              <w:left w:w="28" w:type="dxa"/>
              <w:right w:w="28" w:type="dxa"/>
            </w:tcMar>
            <w:vAlign w:val="center"/>
          </w:tcPr>
          <w:p w14:paraId="4CF638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CEE0AA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≤0.5</w:t>
            </w:r>
          </w:p>
        </w:tc>
        <w:tc>
          <w:tcPr>
            <w:tcW w:w="528" w:type="pct"/>
            <w:tcMar>
              <w:left w:w="28" w:type="dxa"/>
              <w:right w:w="28" w:type="dxa"/>
            </w:tcMar>
            <w:vAlign w:val="center"/>
          </w:tcPr>
          <w:p w14:paraId="4C6135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7E066E9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5B44704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氯乙烯</w:t>
            </w:r>
          </w:p>
        </w:tc>
        <w:tc>
          <w:tcPr>
            <w:tcW w:w="457" w:type="pct"/>
            <w:vMerge w:val="restart"/>
            <w:tcMar>
              <w:left w:w="28" w:type="dxa"/>
              <w:right w:w="28" w:type="dxa"/>
            </w:tcMar>
            <w:vAlign w:val="center"/>
          </w:tcPr>
          <w:p w14:paraId="3E7890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40E4D3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≤0.43</w:t>
            </w:r>
          </w:p>
        </w:tc>
        <w:tc>
          <w:tcPr>
            <w:tcW w:w="567" w:type="pct"/>
            <w:gridSpan w:val="2"/>
            <w:tcMar>
              <w:left w:w="28" w:type="dxa"/>
              <w:right w:w="28" w:type="dxa"/>
            </w:tcMar>
            <w:vAlign w:val="center"/>
          </w:tcPr>
          <w:p w14:paraId="7CD0E6A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43F8173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6EB146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0BB80FAA">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13DD5C2F">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7996301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565EB80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1597FB9F">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4D3A9FE">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1A2D5F2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2C14007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4A1B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49305FD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w:t>
            </w:r>
          </w:p>
        </w:tc>
        <w:tc>
          <w:tcPr>
            <w:tcW w:w="532" w:type="pct"/>
            <w:vMerge w:val="restart"/>
            <w:tcMar>
              <w:left w:w="28" w:type="dxa"/>
              <w:right w:w="28" w:type="dxa"/>
            </w:tcMar>
            <w:vAlign w:val="center"/>
          </w:tcPr>
          <w:p w14:paraId="549A7F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691F23E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528" w:type="pct"/>
            <w:tcMar>
              <w:left w:w="28" w:type="dxa"/>
              <w:right w:w="28" w:type="dxa"/>
            </w:tcMar>
            <w:vAlign w:val="center"/>
          </w:tcPr>
          <w:p w14:paraId="03346E9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2690E24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51FEB56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氯苯</w:t>
            </w:r>
          </w:p>
        </w:tc>
        <w:tc>
          <w:tcPr>
            <w:tcW w:w="457" w:type="pct"/>
            <w:vMerge w:val="restart"/>
            <w:tcMar>
              <w:left w:w="28" w:type="dxa"/>
              <w:right w:w="28" w:type="dxa"/>
            </w:tcMar>
            <w:vAlign w:val="center"/>
          </w:tcPr>
          <w:p w14:paraId="576EEC0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72A0D5C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≤270</w:t>
            </w:r>
          </w:p>
        </w:tc>
        <w:tc>
          <w:tcPr>
            <w:tcW w:w="567" w:type="pct"/>
            <w:gridSpan w:val="2"/>
            <w:tcMar>
              <w:left w:w="28" w:type="dxa"/>
              <w:right w:w="28" w:type="dxa"/>
            </w:tcMar>
            <w:vAlign w:val="center"/>
          </w:tcPr>
          <w:p w14:paraId="6256C46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013A419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37AA4F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49B02A55">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58EC5CB9">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2E41706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72B5AB2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48191A18">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6B217DF">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1E2EC6B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0674879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92824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6E9A7DC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lang w:bidi="ar"/>
              </w:rPr>
              <w:br w:type="page"/>
            </w:r>
            <w:r>
              <w:rPr>
                <w:rFonts w:hint="eastAsia" w:hAnsi="宋体" w:cs="宋体"/>
                <w:color w:val="000000"/>
                <w:spacing w:val="-10"/>
                <w:sz w:val="21"/>
                <w:szCs w:val="21"/>
              </w:rPr>
              <w:t>1，2-二氯苯</w:t>
            </w:r>
          </w:p>
        </w:tc>
        <w:tc>
          <w:tcPr>
            <w:tcW w:w="532" w:type="pct"/>
            <w:vMerge w:val="restart"/>
            <w:tcMar>
              <w:left w:w="28" w:type="dxa"/>
              <w:right w:w="28" w:type="dxa"/>
            </w:tcMar>
            <w:vAlign w:val="center"/>
          </w:tcPr>
          <w:p w14:paraId="7F777F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0076001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≤560</w:t>
            </w:r>
          </w:p>
        </w:tc>
        <w:tc>
          <w:tcPr>
            <w:tcW w:w="528" w:type="pct"/>
            <w:tcMar>
              <w:left w:w="28" w:type="dxa"/>
              <w:right w:w="28" w:type="dxa"/>
            </w:tcMar>
            <w:vAlign w:val="center"/>
          </w:tcPr>
          <w:p w14:paraId="4FE37F6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2D99822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2683E87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1，4-二氯苯</w:t>
            </w:r>
          </w:p>
        </w:tc>
        <w:tc>
          <w:tcPr>
            <w:tcW w:w="457" w:type="pct"/>
            <w:vMerge w:val="restart"/>
            <w:tcMar>
              <w:left w:w="28" w:type="dxa"/>
              <w:right w:w="28" w:type="dxa"/>
            </w:tcMar>
            <w:vAlign w:val="center"/>
          </w:tcPr>
          <w:p w14:paraId="71E0669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2B3156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567" w:type="pct"/>
            <w:gridSpan w:val="2"/>
            <w:tcMar>
              <w:left w:w="28" w:type="dxa"/>
              <w:right w:w="28" w:type="dxa"/>
            </w:tcMar>
            <w:vAlign w:val="center"/>
          </w:tcPr>
          <w:p w14:paraId="370D7A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28C19A3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13FF3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4814EAC8">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66959406">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39C771F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36D0F61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64FE605F">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0A677FEF">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438D1A0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77C87C8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22E58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1830E42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乙苯</w:t>
            </w:r>
          </w:p>
        </w:tc>
        <w:tc>
          <w:tcPr>
            <w:tcW w:w="532" w:type="pct"/>
            <w:vMerge w:val="restart"/>
            <w:tcMar>
              <w:left w:w="28" w:type="dxa"/>
              <w:right w:w="28" w:type="dxa"/>
            </w:tcMar>
            <w:vAlign w:val="center"/>
          </w:tcPr>
          <w:p w14:paraId="2C57B6C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80975A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≤28</w:t>
            </w:r>
          </w:p>
        </w:tc>
        <w:tc>
          <w:tcPr>
            <w:tcW w:w="528" w:type="pct"/>
            <w:tcMar>
              <w:left w:w="28" w:type="dxa"/>
              <w:right w:w="28" w:type="dxa"/>
            </w:tcMar>
            <w:vAlign w:val="center"/>
          </w:tcPr>
          <w:p w14:paraId="6589670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1286BCC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4951372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苯乙烯</w:t>
            </w:r>
          </w:p>
        </w:tc>
        <w:tc>
          <w:tcPr>
            <w:tcW w:w="457" w:type="pct"/>
            <w:vMerge w:val="restart"/>
            <w:tcMar>
              <w:left w:w="28" w:type="dxa"/>
              <w:right w:w="28" w:type="dxa"/>
            </w:tcMar>
            <w:vAlign w:val="center"/>
          </w:tcPr>
          <w:p w14:paraId="4ECA7C2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1C0444E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≤1290</w:t>
            </w:r>
          </w:p>
        </w:tc>
        <w:tc>
          <w:tcPr>
            <w:tcW w:w="567" w:type="pct"/>
            <w:gridSpan w:val="2"/>
            <w:tcMar>
              <w:left w:w="28" w:type="dxa"/>
              <w:right w:w="28" w:type="dxa"/>
            </w:tcMar>
            <w:vAlign w:val="center"/>
          </w:tcPr>
          <w:p w14:paraId="6427BA0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1BE46E9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2AA293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11FE18EC">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4C7D620B">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3A79DC5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757FD85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5097F90A">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6A5AB53">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1C17C96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E6CE32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23F78C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restart"/>
            <w:tcMar>
              <w:left w:w="28" w:type="dxa"/>
              <w:right w:w="28" w:type="dxa"/>
            </w:tcMar>
            <w:vAlign w:val="center"/>
          </w:tcPr>
          <w:p w14:paraId="64FA0A4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z w:val="21"/>
                <w:szCs w:val="21"/>
              </w:rPr>
              <w:br w:type="page"/>
            </w:r>
            <w:r>
              <w:rPr>
                <w:rFonts w:hint="eastAsia" w:hAnsi="宋体" w:cs="宋体"/>
                <w:color w:val="000000"/>
                <w:spacing w:val="-10"/>
                <w:sz w:val="21"/>
                <w:szCs w:val="21"/>
              </w:rPr>
              <w:t>甲苯</w:t>
            </w:r>
          </w:p>
        </w:tc>
        <w:tc>
          <w:tcPr>
            <w:tcW w:w="532" w:type="pct"/>
            <w:vMerge w:val="restart"/>
            <w:tcMar>
              <w:left w:w="28" w:type="dxa"/>
              <w:right w:w="28" w:type="dxa"/>
            </w:tcMar>
            <w:vAlign w:val="center"/>
          </w:tcPr>
          <w:p w14:paraId="13EFFB0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108DCB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≤1200</w:t>
            </w:r>
          </w:p>
        </w:tc>
        <w:tc>
          <w:tcPr>
            <w:tcW w:w="528" w:type="pct"/>
            <w:tcMar>
              <w:left w:w="28" w:type="dxa"/>
              <w:right w:w="28" w:type="dxa"/>
            </w:tcMar>
            <w:vAlign w:val="center"/>
          </w:tcPr>
          <w:p w14:paraId="5BA924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82" w:type="pct"/>
            <w:gridSpan w:val="2"/>
            <w:tcBorders>
              <w:right w:val="double" w:color="auto" w:sz="4" w:space="0"/>
            </w:tcBorders>
            <w:tcMar>
              <w:left w:w="28" w:type="dxa"/>
              <w:right w:w="28" w:type="dxa"/>
            </w:tcMar>
            <w:vAlign w:val="center"/>
          </w:tcPr>
          <w:p w14:paraId="325287D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496" w:type="pct"/>
            <w:vMerge w:val="restart"/>
            <w:tcBorders>
              <w:left w:val="double" w:color="auto" w:sz="4" w:space="0"/>
            </w:tcBorders>
            <w:tcMar>
              <w:left w:w="28" w:type="dxa"/>
              <w:right w:w="28" w:type="dxa"/>
            </w:tcMar>
            <w:vAlign w:val="center"/>
          </w:tcPr>
          <w:p w14:paraId="52BFD77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间二甲苯+对二甲苯</w:t>
            </w:r>
          </w:p>
        </w:tc>
        <w:tc>
          <w:tcPr>
            <w:tcW w:w="457" w:type="pct"/>
            <w:vMerge w:val="restart"/>
            <w:tcMar>
              <w:left w:w="28" w:type="dxa"/>
              <w:right w:w="28" w:type="dxa"/>
            </w:tcMar>
            <w:vAlign w:val="center"/>
          </w:tcPr>
          <w:p w14:paraId="5404A9F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A09D46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≤570</w:t>
            </w:r>
          </w:p>
        </w:tc>
        <w:tc>
          <w:tcPr>
            <w:tcW w:w="567" w:type="pct"/>
            <w:gridSpan w:val="2"/>
            <w:tcMar>
              <w:left w:w="28" w:type="dxa"/>
              <w:right w:w="28" w:type="dxa"/>
            </w:tcMar>
            <w:vAlign w:val="center"/>
          </w:tcPr>
          <w:p w14:paraId="2B35CE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3448481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63389B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8" w:type="pct"/>
            <w:vMerge w:val="continue"/>
            <w:tcMar>
              <w:left w:w="28" w:type="dxa"/>
              <w:right w:w="28" w:type="dxa"/>
            </w:tcMar>
            <w:vAlign w:val="center"/>
          </w:tcPr>
          <w:p w14:paraId="46AEAB40">
            <w:pPr>
              <w:pStyle w:val="136"/>
              <w:spacing w:line="0" w:lineRule="atLeast"/>
              <w:ind w:firstLine="0" w:firstLineChars="0"/>
              <w:jc w:val="center"/>
              <w:rPr>
                <w:rFonts w:hint="eastAsia" w:hAnsi="宋体" w:cs="宋体"/>
                <w:color w:val="000000"/>
                <w:spacing w:val="-10"/>
                <w:sz w:val="21"/>
                <w:szCs w:val="21"/>
              </w:rPr>
            </w:pPr>
          </w:p>
        </w:tc>
        <w:tc>
          <w:tcPr>
            <w:tcW w:w="532" w:type="pct"/>
            <w:vMerge w:val="continue"/>
            <w:tcMar>
              <w:left w:w="28" w:type="dxa"/>
              <w:right w:w="28" w:type="dxa"/>
            </w:tcMar>
            <w:vAlign w:val="center"/>
          </w:tcPr>
          <w:p w14:paraId="0FB6E8F0">
            <w:pPr>
              <w:spacing w:line="0" w:lineRule="atLeast"/>
              <w:jc w:val="center"/>
              <w:rPr>
                <w:rFonts w:hint="eastAsia" w:hAnsi="宋体" w:cs="宋体"/>
                <w:color w:val="000000"/>
                <w:spacing w:val="-10"/>
                <w:sz w:val="21"/>
                <w:szCs w:val="21"/>
              </w:rPr>
            </w:pPr>
          </w:p>
        </w:tc>
        <w:tc>
          <w:tcPr>
            <w:tcW w:w="528" w:type="pct"/>
            <w:tcMar>
              <w:left w:w="28" w:type="dxa"/>
              <w:right w:w="28" w:type="dxa"/>
            </w:tcMar>
            <w:vAlign w:val="center"/>
          </w:tcPr>
          <w:p w14:paraId="3ABFC99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82" w:type="pct"/>
            <w:gridSpan w:val="2"/>
            <w:tcBorders>
              <w:right w:val="double" w:color="auto" w:sz="4" w:space="0"/>
            </w:tcBorders>
            <w:tcMar>
              <w:left w:w="28" w:type="dxa"/>
              <w:right w:w="28" w:type="dxa"/>
            </w:tcMar>
            <w:vAlign w:val="center"/>
          </w:tcPr>
          <w:p w14:paraId="20C2B60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496" w:type="pct"/>
            <w:vMerge w:val="continue"/>
            <w:tcBorders>
              <w:left w:val="double" w:color="auto" w:sz="4" w:space="0"/>
            </w:tcBorders>
            <w:tcMar>
              <w:left w:w="28" w:type="dxa"/>
              <w:right w:w="28" w:type="dxa"/>
            </w:tcMar>
            <w:vAlign w:val="center"/>
          </w:tcPr>
          <w:p w14:paraId="54228FFD">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692A2047">
            <w:pPr>
              <w:spacing w:line="0" w:lineRule="atLeast"/>
              <w:jc w:val="center"/>
              <w:textAlignment w:val="center"/>
              <w:rPr>
                <w:rFonts w:hint="eastAsia" w:hAnsi="宋体" w:cs="宋体"/>
                <w:color w:val="000000"/>
                <w:spacing w:val="-10"/>
                <w:sz w:val="21"/>
                <w:szCs w:val="21"/>
              </w:rPr>
            </w:pPr>
          </w:p>
        </w:tc>
        <w:tc>
          <w:tcPr>
            <w:tcW w:w="567" w:type="pct"/>
            <w:gridSpan w:val="2"/>
            <w:tcMar>
              <w:left w:w="28" w:type="dxa"/>
              <w:right w:w="28" w:type="dxa"/>
            </w:tcMar>
            <w:vAlign w:val="center"/>
          </w:tcPr>
          <w:p w14:paraId="326B21F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110A05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bl>
    <w:p w14:paraId="20AB0C01">
      <w:pPr>
        <w:spacing w:line="480" w:lineRule="exact"/>
        <w:ind w:firstLine="526" w:firstLineChars="200"/>
        <w:rPr>
          <w:rFonts w:hint="eastAsia" w:ascii="黑体" w:hAnsi="宋体" w:eastAsia="黑体"/>
          <w:color w:val="000000"/>
          <w:szCs w:val="24"/>
          <w:lang w:bidi="ar"/>
        </w:rPr>
      </w:pPr>
      <w:r>
        <w:br w:type="page"/>
      </w:r>
      <w:r>
        <w:rPr>
          <w:rFonts w:hint="eastAsia" w:ascii="黑体" w:hAnsi="黑体" w:eastAsia="黑体"/>
        </w:rPr>
        <w:t>续</w:t>
      </w:r>
      <w:r>
        <w:rPr>
          <w:rFonts w:hint="eastAsia" w:ascii="黑体" w:hAnsi="宋体" w:eastAsia="黑体"/>
          <w:color w:val="000000"/>
          <w:szCs w:val="24"/>
          <w:lang w:bidi="ar"/>
        </w:rPr>
        <w:t>表4.5-4</w:t>
      </w:r>
      <w:r>
        <w:rPr>
          <w:rFonts w:hint="eastAsia" w:ascii="黑体" w:hAnsi="宋体" w:eastAsia="黑体" w:cs="黑体"/>
          <w:color w:val="000000"/>
          <w:szCs w:val="24"/>
          <w:lang w:val="zh-CN"/>
        </w:rPr>
        <w:t xml:space="preserve">     土壤现状监测及评价结果一览表      </w:t>
      </w:r>
      <w:r>
        <w:rPr>
          <w:rFonts w:hint="eastAsia" w:ascii="黑体" w:hAnsi="宋体" w:eastAsia="黑体"/>
          <w:color w:val="000000"/>
          <w:szCs w:val="24"/>
          <w:lang w:bidi="ar"/>
        </w:rPr>
        <w:t>单位：mg/kg</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95"/>
        <w:gridCol w:w="867"/>
        <w:gridCol w:w="92"/>
        <w:gridCol w:w="953"/>
        <w:gridCol w:w="204"/>
        <w:gridCol w:w="1537"/>
        <w:gridCol w:w="14"/>
        <w:gridCol w:w="447"/>
        <w:gridCol w:w="461"/>
        <w:gridCol w:w="824"/>
        <w:gridCol w:w="714"/>
        <w:gridCol w:w="292"/>
        <w:gridCol w:w="16"/>
        <w:gridCol w:w="1694"/>
      </w:tblGrid>
      <w:tr w14:paraId="5F63F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58" w:type="pct"/>
            <w:gridSpan w:val="4"/>
            <w:vMerge w:val="restart"/>
            <w:tcBorders>
              <w:tl2br w:val="single" w:color="auto" w:sz="4" w:space="0"/>
            </w:tcBorders>
            <w:tcMar>
              <w:left w:w="28" w:type="dxa"/>
              <w:right w:w="28" w:type="dxa"/>
            </w:tcMar>
            <w:vAlign w:val="center"/>
          </w:tcPr>
          <w:p w14:paraId="0FB7BC15">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37710DA2">
            <w:pPr>
              <w:spacing w:line="0" w:lineRule="atLeast"/>
              <w:jc w:val="left"/>
              <w:rPr>
                <w:rFonts w:hint="eastAsia" w:hAnsi="宋体" w:cs="宋体"/>
                <w:color w:val="000000"/>
                <w:spacing w:val="-10"/>
                <w:sz w:val="21"/>
                <w:szCs w:val="21"/>
                <w:lang w:bidi="ar"/>
              </w:rPr>
            </w:pPr>
            <w:r>
              <w:rPr>
                <w:rFonts w:hint="eastAsia" w:hAnsi="宋体" w:cs="宋体"/>
                <w:color w:val="000000"/>
                <w:spacing w:val="-10"/>
                <w:sz w:val="21"/>
                <w:szCs w:val="21"/>
                <w:lang w:bidi="ar"/>
              </w:rPr>
              <w:t>监测因子</w:t>
            </w:r>
          </w:p>
        </w:tc>
        <w:tc>
          <w:tcPr>
            <w:tcW w:w="974" w:type="pct"/>
            <w:gridSpan w:val="3"/>
            <w:tcBorders>
              <w:right w:val="double" w:color="auto" w:sz="4" w:space="0"/>
            </w:tcBorders>
            <w:tcMar>
              <w:left w:w="28" w:type="dxa"/>
              <w:right w:w="28" w:type="dxa"/>
            </w:tcMar>
            <w:vAlign w:val="center"/>
          </w:tcPr>
          <w:p w14:paraId="61635E3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塔三联管线接口处</w:t>
            </w:r>
          </w:p>
        </w:tc>
        <w:tc>
          <w:tcPr>
            <w:tcW w:w="1519" w:type="pct"/>
            <w:gridSpan w:val="5"/>
            <w:vMerge w:val="restart"/>
            <w:tcBorders>
              <w:left w:val="double" w:color="auto" w:sz="4" w:space="0"/>
              <w:tl2br w:val="single" w:color="auto" w:sz="4" w:space="0"/>
            </w:tcBorders>
            <w:tcMar>
              <w:left w:w="28" w:type="dxa"/>
              <w:right w:w="28" w:type="dxa"/>
            </w:tcMar>
            <w:vAlign w:val="center"/>
          </w:tcPr>
          <w:p w14:paraId="45DCFAD1">
            <w:pPr>
              <w:spacing w:line="0" w:lineRule="atLeast"/>
              <w:jc w:val="right"/>
              <w:rPr>
                <w:rFonts w:hint="eastAsia" w:hAnsi="宋体" w:cs="宋体"/>
                <w:color w:val="000000"/>
                <w:spacing w:val="-10"/>
                <w:sz w:val="21"/>
                <w:szCs w:val="21"/>
                <w:lang w:bidi="ar"/>
              </w:rPr>
            </w:pPr>
            <w:r>
              <w:rPr>
                <w:rFonts w:hint="eastAsia" w:hAnsi="宋体" w:cs="宋体"/>
                <w:color w:val="000000"/>
                <w:spacing w:val="-10"/>
                <w:sz w:val="21"/>
                <w:szCs w:val="21"/>
                <w:lang w:bidi="ar"/>
              </w:rPr>
              <w:t xml:space="preserve"> 监测点</w:t>
            </w:r>
          </w:p>
          <w:p w14:paraId="680D89B5">
            <w:pPr>
              <w:spacing w:line="0" w:lineRule="atLeast"/>
              <w:jc w:val="left"/>
              <w:textAlignment w:val="center"/>
              <w:rPr>
                <w:rFonts w:hint="eastAsia" w:hAnsi="宋体" w:cs="宋体"/>
                <w:color w:val="000000"/>
                <w:spacing w:val="-10"/>
                <w:kern w:val="0"/>
                <w:sz w:val="21"/>
                <w:szCs w:val="21"/>
                <w:lang w:bidi="ar"/>
              </w:rPr>
            </w:pPr>
            <w:r>
              <w:rPr>
                <w:rFonts w:hint="eastAsia" w:hAnsi="宋体" w:cs="宋体"/>
                <w:color w:val="000000"/>
                <w:spacing w:val="-10"/>
                <w:sz w:val="21"/>
                <w:szCs w:val="21"/>
              </w:rPr>
              <w:t>监测因子</w:t>
            </w:r>
          </w:p>
        </w:tc>
        <w:tc>
          <w:tcPr>
            <w:tcW w:w="949" w:type="pct"/>
            <w:gridSpan w:val="2"/>
            <w:tcMar>
              <w:left w:w="28" w:type="dxa"/>
              <w:right w:w="28" w:type="dxa"/>
            </w:tcMar>
            <w:vAlign w:val="center"/>
          </w:tcPr>
          <w:p w14:paraId="43F565F3">
            <w:pPr>
              <w:spacing w:line="0" w:lineRule="atLeast"/>
              <w:jc w:val="center"/>
              <w:textAlignment w:val="center"/>
              <w:rPr>
                <w:rFonts w:hint="eastAsia" w:hAnsi="宋体" w:cs="宋体"/>
                <w:color w:val="000000"/>
                <w:spacing w:val="-10"/>
                <w:kern w:val="0"/>
                <w:sz w:val="21"/>
                <w:szCs w:val="21"/>
                <w:lang w:bidi="ar"/>
              </w:rPr>
            </w:pPr>
            <w:r>
              <w:rPr>
                <w:rFonts w:hint="eastAsia" w:hAnsi="宋体" w:cs="宋体"/>
                <w:color w:val="000000"/>
                <w:spacing w:val="-10"/>
                <w:kern w:val="0"/>
                <w:sz w:val="21"/>
                <w:szCs w:val="21"/>
                <w:lang w:bidi="ar"/>
              </w:rPr>
              <w:t>塔三联管线接口处</w:t>
            </w:r>
          </w:p>
        </w:tc>
      </w:tr>
      <w:tr w14:paraId="3E218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58" w:type="pct"/>
            <w:gridSpan w:val="4"/>
            <w:vMerge w:val="continue"/>
            <w:tcMar>
              <w:left w:w="28" w:type="dxa"/>
              <w:right w:w="28" w:type="dxa"/>
            </w:tcMar>
            <w:vAlign w:val="center"/>
          </w:tcPr>
          <w:p w14:paraId="7EF72499">
            <w:pPr>
              <w:spacing w:line="0" w:lineRule="atLeast"/>
              <w:jc w:val="center"/>
              <w:rPr>
                <w:rFonts w:hint="eastAsia" w:hAnsi="宋体" w:cs="宋体"/>
                <w:color w:val="000000"/>
                <w:spacing w:val="-10"/>
                <w:sz w:val="21"/>
                <w:szCs w:val="21"/>
                <w:lang w:bidi="ar"/>
              </w:rPr>
            </w:pPr>
          </w:p>
        </w:tc>
        <w:tc>
          <w:tcPr>
            <w:tcW w:w="974" w:type="pct"/>
            <w:gridSpan w:val="3"/>
            <w:tcBorders>
              <w:right w:val="double" w:color="auto" w:sz="4" w:space="0"/>
            </w:tcBorders>
            <w:tcMar>
              <w:left w:w="28" w:type="dxa"/>
              <w:right w:w="28" w:type="dxa"/>
            </w:tcMar>
            <w:vAlign w:val="center"/>
          </w:tcPr>
          <w:p w14:paraId="2D464A7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0.2m</w:t>
            </w:r>
          </w:p>
        </w:tc>
        <w:tc>
          <w:tcPr>
            <w:tcW w:w="1519" w:type="pct"/>
            <w:gridSpan w:val="5"/>
            <w:vMerge w:val="continue"/>
            <w:tcBorders>
              <w:left w:val="double" w:color="auto" w:sz="4" w:space="0"/>
            </w:tcBorders>
            <w:tcMar>
              <w:left w:w="28" w:type="dxa"/>
              <w:right w:w="28" w:type="dxa"/>
            </w:tcMar>
            <w:vAlign w:val="center"/>
          </w:tcPr>
          <w:p w14:paraId="4A2EECD3">
            <w:pPr>
              <w:spacing w:line="0" w:lineRule="atLeast"/>
              <w:jc w:val="center"/>
              <w:textAlignment w:val="center"/>
              <w:rPr>
                <w:rFonts w:hint="eastAsia" w:hAnsi="宋体" w:cs="宋体"/>
                <w:color w:val="000000"/>
                <w:spacing w:val="-10"/>
                <w:kern w:val="0"/>
                <w:sz w:val="21"/>
                <w:szCs w:val="21"/>
                <w:lang w:bidi="ar"/>
              </w:rPr>
            </w:pPr>
          </w:p>
        </w:tc>
        <w:tc>
          <w:tcPr>
            <w:tcW w:w="949" w:type="pct"/>
            <w:gridSpan w:val="2"/>
            <w:tcMar>
              <w:left w:w="28" w:type="dxa"/>
              <w:right w:w="28" w:type="dxa"/>
            </w:tcMar>
            <w:vAlign w:val="center"/>
          </w:tcPr>
          <w:p w14:paraId="4EDCFD2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lang w:bidi="ar"/>
              </w:rPr>
              <w:t>0.2m</w:t>
            </w:r>
          </w:p>
        </w:tc>
      </w:tr>
      <w:tr w14:paraId="6ABD8F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2B38D01C">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邻二甲苯</w:t>
            </w:r>
          </w:p>
        </w:tc>
        <w:tc>
          <w:tcPr>
            <w:tcW w:w="532" w:type="pct"/>
            <w:gridSpan w:val="2"/>
            <w:vMerge w:val="restart"/>
            <w:tcMar>
              <w:left w:w="28" w:type="dxa"/>
              <w:right w:w="28" w:type="dxa"/>
            </w:tcMar>
            <w:vAlign w:val="center"/>
          </w:tcPr>
          <w:p w14:paraId="1DA0719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760E88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≤640</w:t>
            </w:r>
          </w:p>
        </w:tc>
        <w:tc>
          <w:tcPr>
            <w:tcW w:w="529" w:type="pct"/>
            <w:tcMar>
              <w:left w:w="28" w:type="dxa"/>
              <w:right w:w="28" w:type="dxa"/>
            </w:tcMar>
            <w:vAlign w:val="center"/>
          </w:tcPr>
          <w:p w14:paraId="7BDD1A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5988C07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64BAAAC5">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硝基苯</w:t>
            </w:r>
          </w:p>
        </w:tc>
        <w:tc>
          <w:tcPr>
            <w:tcW w:w="457" w:type="pct"/>
            <w:vMerge w:val="restart"/>
            <w:tcMar>
              <w:left w:w="28" w:type="dxa"/>
              <w:right w:w="28" w:type="dxa"/>
            </w:tcMar>
            <w:vAlign w:val="center"/>
          </w:tcPr>
          <w:p w14:paraId="511165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111EA14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≤76</w:t>
            </w:r>
          </w:p>
        </w:tc>
        <w:tc>
          <w:tcPr>
            <w:tcW w:w="567" w:type="pct"/>
            <w:gridSpan w:val="3"/>
            <w:tcMar>
              <w:left w:w="28" w:type="dxa"/>
              <w:right w:w="28" w:type="dxa"/>
            </w:tcMar>
            <w:vAlign w:val="center"/>
          </w:tcPr>
          <w:p w14:paraId="0F7108F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068BC83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0658B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138D44D5">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3FFD70E3">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0E1C025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753596F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1D7BED83">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0B01F98">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2CA3E2C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6AFCC2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0D7E58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7F55034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苯胺</w:t>
            </w:r>
          </w:p>
        </w:tc>
        <w:tc>
          <w:tcPr>
            <w:tcW w:w="532" w:type="pct"/>
            <w:gridSpan w:val="2"/>
            <w:vMerge w:val="restart"/>
            <w:tcMar>
              <w:left w:w="28" w:type="dxa"/>
              <w:right w:w="28" w:type="dxa"/>
            </w:tcMar>
            <w:vAlign w:val="center"/>
          </w:tcPr>
          <w:p w14:paraId="3E60925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17F14D9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≤260</w:t>
            </w:r>
          </w:p>
        </w:tc>
        <w:tc>
          <w:tcPr>
            <w:tcW w:w="529" w:type="pct"/>
            <w:tcMar>
              <w:left w:w="28" w:type="dxa"/>
              <w:right w:w="28" w:type="dxa"/>
            </w:tcMar>
            <w:vAlign w:val="center"/>
          </w:tcPr>
          <w:p w14:paraId="50989E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5D12E43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0188B63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2-氯酚</w:t>
            </w:r>
          </w:p>
        </w:tc>
        <w:tc>
          <w:tcPr>
            <w:tcW w:w="457" w:type="pct"/>
            <w:vMerge w:val="restart"/>
            <w:tcMar>
              <w:left w:w="28" w:type="dxa"/>
              <w:right w:w="28" w:type="dxa"/>
            </w:tcMar>
            <w:vAlign w:val="center"/>
          </w:tcPr>
          <w:p w14:paraId="6D69D8A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F65F3D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≤2256</w:t>
            </w:r>
          </w:p>
        </w:tc>
        <w:tc>
          <w:tcPr>
            <w:tcW w:w="567" w:type="pct"/>
            <w:gridSpan w:val="3"/>
            <w:tcMar>
              <w:left w:w="28" w:type="dxa"/>
              <w:right w:w="28" w:type="dxa"/>
            </w:tcMar>
            <w:vAlign w:val="center"/>
          </w:tcPr>
          <w:p w14:paraId="7CFB14F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10E8604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450DD1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387BC205">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112D9159">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68F1B36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1FFF9A7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18856912">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EF5B769">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4E3A858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4253ADC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3824F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3929290E">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苯并〔a〕蒽</w:t>
            </w:r>
          </w:p>
        </w:tc>
        <w:tc>
          <w:tcPr>
            <w:tcW w:w="532" w:type="pct"/>
            <w:gridSpan w:val="2"/>
            <w:vMerge w:val="restart"/>
            <w:tcMar>
              <w:left w:w="28" w:type="dxa"/>
              <w:right w:w="28" w:type="dxa"/>
            </w:tcMar>
            <w:vAlign w:val="center"/>
          </w:tcPr>
          <w:p w14:paraId="684519C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1649BF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29" w:type="pct"/>
            <w:tcMar>
              <w:left w:w="28" w:type="dxa"/>
              <w:right w:w="28" w:type="dxa"/>
            </w:tcMar>
            <w:vAlign w:val="center"/>
          </w:tcPr>
          <w:p w14:paraId="014E583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2D2AF34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25DBA279">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苯并〔a〕芘</w:t>
            </w:r>
          </w:p>
        </w:tc>
        <w:tc>
          <w:tcPr>
            <w:tcW w:w="457" w:type="pct"/>
            <w:vMerge w:val="restart"/>
            <w:tcMar>
              <w:left w:w="28" w:type="dxa"/>
              <w:right w:w="28" w:type="dxa"/>
            </w:tcMar>
            <w:vAlign w:val="center"/>
          </w:tcPr>
          <w:p w14:paraId="36A746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4C5F8F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67" w:type="pct"/>
            <w:gridSpan w:val="3"/>
            <w:tcMar>
              <w:left w:w="28" w:type="dxa"/>
              <w:right w:w="28" w:type="dxa"/>
            </w:tcMar>
            <w:vAlign w:val="center"/>
          </w:tcPr>
          <w:p w14:paraId="4FF04FD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33465E2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17535F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3A3C1258">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49370187">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2397CB8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7D0CEE9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048E5A04">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3C25EC64">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7343C8A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48B9915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43060A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1D506258">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苯并〔b〕荧蒽</w:t>
            </w:r>
          </w:p>
        </w:tc>
        <w:tc>
          <w:tcPr>
            <w:tcW w:w="532" w:type="pct"/>
            <w:gridSpan w:val="2"/>
            <w:vMerge w:val="restart"/>
            <w:tcMar>
              <w:left w:w="28" w:type="dxa"/>
              <w:right w:w="28" w:type="dxa"/>
            </w:tcMar>
            <w:vAlign w:val="center"/>
          </w:tcPr>
          <w:p w14:paraId="3078B32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24239D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29" w:type="pct"/>
            <w:tcMar>
              <w:left w:w="28" w:type="dxa"/>
              <w:right w:w="28" w:type="dxa"/>
            </w:tcMar>
            <w:vAlign w:val="center"/>
          </w:tcPr>
          <w:p w14:paraId="74F91C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0D5F11B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5F0387C7">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苯并〔k〕荧蒽</w:t>
            </w:r>
          </w:p>
        </w:tc>
        <w:tc>
          <w:tcPr>
            <w:tcW w:w="457" w:type="pct"/>
            <w:vMerge w:val="restart"/>
            <w:tcMar>
              <w:left w:w="28" w:type="dxa"/>
              <w:right w:w="28" w:type="dxa"/>
            </w:tcMar>
            <w:vAlign w:val="center"/>
          </w:tcPr>
          <w:p w14:paraId="6141D3C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35EF8A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≤151</w:t>
            </w:r>
          </w:p>
        </w:tc>
        <w:tc>
          <w:tcPr>
            <w:tcW w:w="567" w:type="pct"/>
            <w:gridSpan w:val="3"/>
            <w:tcMar>
              <w:left w:w="28" w:type="dxa"/>
              <w:right w:w="28" w:type="dxa"/>
            </w:tcMar>
            <w:vAlign w:val="center"/>
          </w:tcPr>
          <w:p w14:paraId="2F40C6E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21D423D9">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73D81F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6B8A60CD">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01F668DD">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01BEC3A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6BCF7F6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5E58F39E">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1732B37E">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24C76F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2C1FB51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5DAD0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654AC473">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䓛</w:t>
            </w:r>
          </w:p>
        </w:tc>
        <w:tc>
          <w:tcPr>
            <w:tcW w:w="532" w:type="pct"/>
            <w:gridSpan w:val="2"/>
            <w:vMerge w:val="restart"/>
            <w:tcMar>
              <w:left w:w="28" w:type="dxa"/>
              <w:right w:w="28" w:type="dxa"/>
            </w:tcMar>
            <w:vAlign w:val="center"/>
          </w:tcPr>
          <w:p w14:paraId="6A03BA2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288CA1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≤1293</w:t>
            </w:r>
          </w:p>
        </w:tc>
        <w:tc>
          <w:tcPr>
            <w:tcW w:w="529" w:type="pct"/>
            <w:tcMar>
              <w:left w:w="28" w:type="dxa"/>
              <w:right w:w="28" w:type="dxa"/>
            </w:tcMar>
            <w:vAlign w:val="center"/>
          </w:tcPr>
          <w:p w14:paraId="227A95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62BC90C8">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13BEF46D">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二苯并〔a，h〕蒽</w:t>
            </w:r>
          </w:p>
        </w:tc>
        <w:tc>
          <w:tcPr>
            <w:tcW w:w="457" w:type="pct"/>
            <w:vMerge w:val="restart"/>
            <w:tcMar>
              <w:left w:w="28" w:type="dxa"/>
              <w:right w:w="28" w:type="dxa"/>
            </w:tcMar>
            <w:vAlign w:val="center"/>
          </w:tcPr>
          <w:p w14:paraId="472F08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DB19C5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67" w:type="pct"/>
            <w:gridSpan w:val="3"/>
            <w:tcMar>
              <w:left w:w="28" w:type="dxa"/>
              <w:right w:w="28" w:type="dxa"/>
            </w:tcMar>
            <w:vAlign w:val="center"/>
          </w:tcPr>
          <w:p w14:paraId="7504AF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51C1BE4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7F733A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6396C5DE">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74792F5E">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4C5506A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14168B7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16C601F8">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4F68FE9F">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340E40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1E69F81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2A8DF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restart"/>
            <w:tcMar>
              <w:left w:w="28" w:type="dxa"/>
              <w:right w:w="28" w:type="dxa"/>
            </w:tcMar>
            <w:vAlign w:val="center"/>
          </w:tcPr>
          <w:p w14:paraId="2FB13D26">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茚并（1，2，3-c，d）芘</w:t>
            </w:r>
          </w:p>
        </w:tc>
        <w:tc>
          <w:tcPr>
            <w:tcW w:w="532" w:type="pct"/>
            <w:gridSpan w:val="2"/>
            <w:vMerge w:val="restart"/>
            <w:tcMar>
              <w:left w:w="28" w:type="dxa"/>
              <w:right w:w="28" w:type="dxa"/>
            </w:tcMar>
            <w:vAlign w:val="center"/>
          </w:tcPr>
          <w:p w14:paraId="7EE2B13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57C419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529" w:type="pct"/>
            <w:tcMar>
              <w:left w:w="28" w:type="dxa"/>
              <w:right w:w="28" w:type="dxa"/>
            </w:tcMar>
            <w:vAlign w:val="center"/>
          </w:tcPr>
          <w:p w14:paraId="158190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6693B8E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c>
          <w:tcPr>
            <w:tcW w:w="512" w:type="pct"/>
            <w:gridSpan w:val="3"/>
            <w:vMerge w:val="restart"/>
            <w:tcBorders>
              <w:left w:val="double" w:color="auto" w:sz="4" w:space="0"/>
            </w:tcBorders>
            <w:tcMar>
              <w:left w:w="28" w:type="dxa"/>
              <w:right w:w="28" w:type="dxa"/>
            </w:tcMar>
            <w:vAlign w:val="center"/>
          </w:tcPr>
          <w:p w14:paraId="0DC746CA">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pacing w:val="-10"/>
                <w:sz w:val="21"/>
                <w:szCs w:val="21"/>
              </w:rPr>
              <w:t>萘</w:t>
            </w:r>
          </w:p>
        </w:tc>
        <w:tc>
          <w:tcPr>
            <w:tcW w:w="457" w:type="pct"/>
            <w:vMerge w:val="restart"/>
            <w:tcMar>
              <w:left w:w="28" w:type="dxa"/>
              <w:right w:w="28" w:type="dxa"/>
            </w:tcMar>
            <w:vAlign w:val="center"/>
          </w:tcPr>
          <w:p w14:paraId="1AF84D1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46BC77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≤70</w:t>
            </w:r>
          </w:p>
        </w:tc>
        <w:tc>
          <w:tcPr>
            <w:tcW w:w="567" w:type="pct"/>
            <w:gridSpan w:val="3"/>
            <w:tcMar>
              <w:left w:w="28" w:type="dxa"/>
              <w:right w:w="28" w:type="dxa"/>
            </w:tcMar>
            <w:vAlign w:val="center"/>
          </w:tcPr>
          <w:p w14:paraId="373EA17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06546DE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未检出</w:t>
            </w:r>
          </w:p>
        </w:tc>
      </w:tr>
      <w:tr w14:paraId="3E94D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497" w:type="pct"/>
            <w:vMerge w:val="continue"/>
            <w:tcMar>
              <w:left w:w="28" w:type="dxa"/>
              <w:right w:w="28" w:type="dxa"/>
            </w:tcMar>
            <w:vAlign w:val="center"/>
          </w:tcPr>
          <w:p w14:paraId="3844DAE6">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Mar>
              <w:left w:w="28" w:type="dxa"/>
              <w:right w:w="28" w:type="dxa"/>
            </w:tcMar>
            <w:vAlign w:val="center"/>
          </w:tcPr>
          <w:p w14:paraId="28D8BA81">
            <w:pPr>
              <w:spacing w:line="0" w:lineRule="atLeast"/>
              <w:jc w:val="center"/>
              <w:rPr>
                <w:rFonts w:hint="eastAsia" w:hAnsi="宋体" w:cs="宋体"/>
                <w:color w:val="000000"/>
                <w:spacing w:val="-10"/>
                <w:sz w:val="21"/>
                <w:szCs w:val="21"/>
              </w:rPr>
            </w:pPr>
          </w:p>
        </w:tc>
        <w:tc>
          <w:tcPr>
            <w:tcW w:w="529" w:type="pct"/>
            <w:tcMar>
              <w:left w:w="28" w:type="dxa"/>
              <w:right w:w="28" w:type="dxa"/>
            </w:tcMar>
            <w:vAlign w:val="center"/>
          </w:tcPr>
          <w:p w14:paraId="217E1BB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right w:val="double" w:color="auto" w:sz="4" w:space="0"/>
            </w:tcBorders>
            <w:tcMar>
              <w:left w:w="28" w:type="dxa"/>
              <w:right w:w="28" w:type="dxa"/>
            </w:tcMar>
            <w:vAlign w:val="center"/>
          </w:tcPr>
          <w:p w14:paraId="4FC321A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tcBorders>
            <w:tcMar>
              <w:left w:w="28" w:type="dxa"/>
              <w:right w:w="28" w:type="dxa"/>
            </w:tcMar>
            <w:vAlign w:val="center"/>
          </w:tcPr>
          <w:p w14:paraId="217DD9A4">
            <w:pPr>
              <w:spacing w:line="0" w:lineRule="atLeast"/>
              <w:jc w:val="center"/>
              <w:textAlignment w:val="center"/>
              <w:rPr>
                <w:rFonts w:hint="eastAsia" w:hAnsi="宋体" w:cs="宋体"/>
                <w:color w:val="000000"/>
                <w:spacing w:val="-10"/>
                <w:sz w:val="21"/>
                <w:szCs w:val="21"/>
              </w:rPr>
            </w:pPr>
          </w:p>
        </w:tc>
        <w:tc>
          <w:tcPr>
            <w:tcW w:w="457" w:type="pct"/>
            <w:vMerge w:val="continue"/>
            <w:tcMar>
              <w:left w:w="28" w:type="dxa"/>
              <w:right w:w="28" w:type="dxa"/>
            </w:tcMar>
            <w:vAlign w:val="center"/>
          </w:tcPr>
          <w:p w14:paraId="781FC492">
            <w:pPr>
              <w:spacing w:line="0" w:lineRule="atLeast"/>
              <w:jc w:val="center"/>
              <w:textAlignment w:val="center"/>
              <w:rPr>
                <w:rFonts w:hint="eastAsia" w:hAnsi="宋体" w:cs="宋体"/>
                <w:color w:val="000000"/>
                <w:spacing w:val="-10"/>
                <w:sz w:val="21"/>
                <w:szCs w:val="21"/>
              </w:rPr>
            </w:pPr>
          </w:p>
        </w:tc>
        <w:tc>
          <w:tcPr>
            <w:tcW w:w="567" w:type="pct"/>
            <w:gridSpan w:val="3"/>
            <w:tcMar>
              <w:left w:w="28" w:type="dxa"/>
              <w:right w:w="28" w:type="dxa"/>
            </w:tcMar>
            <w:vAlign w:val="center"/>
          </w:tcPr>
          <w:p w14:paraId="733A53C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40" w:type="pct"/>
            <w:tcMar>
              <w:left w:w="28" w:type="dxa"/>
              <w:right w:w="28" w:type="dxa"/>
            </w:tcMar>
            <w:vAlign w:val="center"/>
          </w:tcPr>
          <w:p w14:paraId="6C29D08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w:t>
            </w:r>
          </w:p>
        </w:tc>
      </w:tr>
      <w:tr w14:paraId="664B04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7" w:type="pct"/>
            <w:vMerge w:val="restart"/>
            <w:tcMar>
              <w:left w:w="28" w:type="dxa"/>
              <w:right w:w="28" w:type="dxa"/>
            </w:tcMar>
            <w:vAlign w:val="center"/>
          </w:tcPr>
          <w:p w14:paraId="53AC2FE4">
            <w:pPr>
              <w:pStyle w:val="136"/>
              <w:spacing w:line="0" w:lineRule="atLeast"/>
              <w:ind w:firstLine="0" w:firstLineChars="0"/>
              <w:jc w:val="center"/>
              <w:rPr>
                <w:rFonts w:hint="eastAsia" w:hAnsi="宋体" w:cs="宋体"/>
                <w:color w:val="000000"/>
                <w:spacing w:val="-10"/>
                <w:sz w:val="21"/>
                <w:szCs w:val="21"/>
              </w:rPr>
            </w:pPr>
            <w:r>
              <w:rPr>
                <w:rFonts w:hint="eastAsia" w:hAnsi="宋体" w:cs="宋体"/>
                <w:color w:val="000000"/>
                <w:sz w:val="21"/>
                <w:szCs w:val="21"/>
              </w:rPr>
              <w:br w:type="page"/>
            </w: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532" w:type="pct"/>
            <w:gridSpan w:val="2"/>
            <w:vMerge w:val="restart"/>
            <w:tcMar>
              <w:left w:w="28" w:type="dxa"/>
              <w:right w:w="28" w:type="dxa"/>
            </w:tcMar>
            <w:vAlign w:val="center"/>
          </w:tcPr>
          <w:p w14:paraId="2C9CC0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筛选值</w:t>
            </w:r>
          </w:p>
          <w:p w14:paraId="73D777F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≤4500</w:t>
            </w:r>
          </w:p>
        </w:tc>
        <w:tc>
          <w:tcPr>
            <w:tcW w:w="529" w:type="pct"/>
            <w:tcMar>
              <w:left w:w="28" w:type="dxa"/>
              <w:right w:w="28" w:type="dxa"/>
            </w:tcMar>
            <w:vAlign w:val="center"/>
          </w:tcPr>
          <w:p w14:paraId="652FEB6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66" w:type="pct"/>
            <w:gridSpan w:val="2"/>
            <w:tcBorders>
              <w:right w:val="double" w:color="auto" w:sz="4" w:space="0"/>
            </w:tcBorders>
            <w:tcMar>
              <w:left w:w="28" w:type="dxa"/>
              <w:right w:w="28" w:type="dxa"/>
            </w:tcMar>
            <w:vAlign w:val="center"/>
          </w:tcPr>
          <w:p w14:paraId="7D69932F">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未检查</w:t>
            </w:r>
          </w:p>
        </w:tc>
        <w:tc>
          <w:tcPr>
            <w:tcW w:w="512" w:type="pct"/>
            <w:gridSpan w:val="3"/>
            <w:vMerge w:val="restart"/>
            <w:tcBorders>
              <w:left w:val="double" w:color="auto" w:sz="4" w:space="0"/>
            </w:tcBorders>
            <w:tcMar>
              <w:left w:w="28" w:type="dxa"/>
              <w:right w:w="28" w:type="dxa"/>
            </w:tcMar>
            <w:vAlign w:val="center"/>
          </w:tcPr>
          <w:p w14:paraId="66B43F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全盐量（g/kg）</w:t>
            </w:r>
          </w:p>
        </w:tc>
        <w:tc>
          <w:tcPr>
            <w:tcW w:w="457" w:type="pct"/>
            <w:vMerge w:val="restart"/>
            <w:tcMar>
              <w:left w:w="28" w:type="dxa"/>
              <w:right w:w="28" w:type="dxa"/>
            </w:tcMar>
            <w:vAlign w:val="center"/>
          </w:tcPr>
          <w:p w14:paraId="3F73CE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567" w:type="pct"/>
            <w:gridSpan w:val="3"/>
            <w:tcMar>
              <w:left w:w="28" w:type="dxa"/>
              <w:right w:w="28" w:type="dxa"/>
            </w:tcMar>
            <w:vAlign w:val="center"/>
          </w:tcPr>
          <w:p w14:paraId="7A5FA42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监测值</w:t>
            </w:r>
          </w:p>
        </w:tc>
        <w:tc>
          <w:tcPr>
            <w:tcW w:w="940" w:type="pct"/>
            <w:tcMar>
              <w:left w:w="28" w:type="dxa"/>
              <w:right w:w="28" w:type="dxa"/>
            </w:tcMar>
            <w:vAlign w:val="center"/>
          </w:tcPr>
          <w:p w14:paraId="2E0A4C72">
            <w:pPr>
              <w:spacing w:line="0" w:lineRule="atLeast"/>
              <w:jc w:val="center"/>
              <w:rPr>
                <w:rFonts w:hint="eastAsia" w:hAnsi="宋体" w:cs="宋体"/>
                <w:color w:val="000000"/>
                <w:spacing w:val="-10"/>
                <w:sz w:val="21"/>
                <w:szCs w:val="21"/>
              </w:rPr>
            </w:pPr>
            <w:r>
              <w:rPr>
                <w:rFonts w:hint="eastAsia" w:ascii="Times New Roman" w:hAnsi="Times New Roman" w:eastAsia="仿宋_GB2312"/>
                <w:sz w:val="21"/>
                <w:szCs w:val="21"/>
              </w:rPr>
              <w:t>1.2</w:t>
            </w:r>
          </w:p>
        </w:tc>
      </w:tr>
      <w:tr w14:paraId="266CE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7" w:type="pct"/>
            <w:vMerge w:val="continue"/>
            <w:tcBorders>
              <w:bottom w:val="double" w:color="auto" w:sz="4" w:space="0"/>
            </w:tcBorders>
            <w:tcMar>
              <w:left w:w="28" w:type="dxa"/>
              <w:right w:w="28" w:type="dxa"/>
            </w:tcMar>
            <w:vAlign w:val="center"/>
          </w:tcPr>
          <w:p w14:paraId="7526EFC1">
            <w:pPr>
              <w:pStyle w:val="136"/>
              <w:spacing w:line="0" w:lineRule="atLeast"/>
              <w:ind w:firstLine="0" w:firstLineChars="0"/>
              <w:jc w:val="center"/>
              <w:rPr>
                <w:rFonts w:hint="eastAsia" w:hAnsi="宋体" w:cs="宋体"/>
                <w:color w:val="000000"/>
                <w:spacing w:val="-10"/>
                <w:sz w:val="21"/>
                <w:szCs w:val="21"/>
              </w:rPr>
            </w:pPr>
          </w:p>
        </w:tc>
        <w:tc>
          <w:tcPr>
            <w:tcW w:w="532" w:type="pct"/>
            <w:gridSpan w:val="2"/>
            <w:vMerge w:val="continue"/>
            <w:tcBorders>
              <w:bottom w:val="double" w:color="auto" w:sz="4" w:space="0"/>
            </w:tcBorders>
            <w:tcMar>
              <w:left w:w="28" w:type="dxa"/>
              <w:right w:w="28" w:type="dxa"/>
            </w:tcMar>
            <w:vAlign w:val="center"/>
          </w:tcPr>
          <w:p w14:paraId="0986C7FE">
            <w:pPr>
              <w:spacing w:line="0" w:lineRule="atLeast"/>
              <w:jc w:val="center"/>
              <w:rPr>
                <w:rFonts w:hint="eastAsia" w:hAnsi="宋体" w:cs="宋体"/>
                <w:color w:val="000000"/>
                <w:spacing w:val="-10"/>
                <w:sz w:val="21"/>
                <w:szCs w:val="21"/>
              </w:rPr>
            </w:pPr>
          </w:p>
        </w:tc>
        <w:tc>
          <w:tcPr>
            <w:tcW w:w="529" w:type="pct"/>
            <w:tcBorders>
              <w:bottom w:val="double" w:color="auto" w:sz="4" w:space="0"/>
            </w:tcBorders>
            <w:tcMar>
              <w:left w:w="28" w:type="dxa"/>
              <w:right w:w="28" w:type="dxa"/>
            </w:tcMar>
            <w:vAlign w:val="center"/>
          </w:tcPr>
          <w:p w14:paraId="51424F1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标准指数</w:t>
            </w:r>
          </w:p>
        </w:tc>
        <w:tc>
          <w:tcPr>
            <w:tcW w:w="966" w:type="pct"/>
            <w:gridSpan w:val="2"/>
            <w:tcBorders>
              <w:bottom w:val="double" w:color="auto" w:sz="4" w:space="0"/>
              <w:right w:val="double" w:color="auto" w:sz="4" w:space="0"/>
            </w:tcBorders>
            <w:tcMar>
              <w:left w:w="28" w:type="dxa"/>
              <w:right w:w="28" w:type="dxa"/>
            </w:tcMar>
            <w:vAlign w:val="center"/>
          </w:tcPr>
          <w:p w14:paraId="24FFFEC0">
            <w:pPr>
              <w:spacing w:line="0" w:lineRule="atLeast"/>
              <w:jc w:val="center"/>
              <w:textAlignment w:val="center"/>
              <w:rPr>
                <w:rFonts w:hAnsi="宋体" w:cs="宋体"/>
                <w:color w:val="000000"/>
                <w:spacing w:val="-10"/>
                <w:sz w:val="21"/>
                <w:szCs w:val="21"/>
              </w:rPr>
            </w:pPr>
            <w:r>
              <w:rPr>
                <w:rFonts w:hint="eastAsia" w:hAnsi="宋体" w:cs="宋体"/>
                <w:color w:val="000000"/>
                <w:spacing w:val="-10"/>
                <w:sz w:val="21"/>
                <w:szCs w:val="21"/>
              </w:rPr>
              <w:t>--</w:t>
            </w:r>
          </w:p>
        </w:tc>
        <w:tc>
          <w:tcPr>
            <w:tcW w:w="512" w:type="pct"/>
            <w:gridSpan w:val="3"/>
            <w:vMerge w:val="continue"/>
            <w:tcBorders>
              <w:left w:val="double" w:color="auto" w:sz="4" w:space="0"/>
              <w:bottom w:val="double" w:color="auto" w:sz="4" w:space="0"/>
            </w:tcBorders>
            <w:tcMar>
              <w:left w:w="28" w:type="dxa"/>
              <w:right w:w="28" w:type="dxa"/>
            </w:tcMar>
            <w:vAlign w:val="center"/>
          </w:tcPr>
          <w:p w14:paraId="177728B4">
            <w:pPr>
              <w:pStyle w:val="136"/>
              <w:spacing w:line="0" w:lineRule="atLeast"/>
              <w:ind w:firstLine="0" w:firstLineChars="0"/>
              <w:jc w:val="center"/>
              <w:rPr>
                <w:rFonts w:hint="eastAsia" w:hAnsi="宋体" w:cs="宋体"/>
                <w:color w:val="000000"/>
                <w:spacing w:val="-10"/>
                <w:sz w:val="21"/>
                <w:szCs w:val="21"/>
              </w:rPr>
            </w:pPr>
          </w:p>
        </w:tc>
        <w:tc>
          <w:tcPr>
            <w:tcW w:w="457" w:type="pct"/>
            <w:vMerge w:val="continue"/>
            <w:tcBorders>
              <w:bottom w:val="double" w:color="auto" w:sz="4" w:space="0"/>
            </w:tcBorders>
            <w:tcMar>
              <w:left w:w="28" w:type="dxa"/>
              <w:right w:w="28" w:type="dxa"/>
            </w:tcMar>
            <w:vAlign w:val="center"/>
          </w:tcPr>
          <w:p w14:paraId="0A5B8F61">
            <w:pPr>
              <w:spacing w:line="0" w:lineRule="atLeast"/>
              <w:jc w:val="center"/>
              <w:rPr>
                <w:rFonts w:hint="eastAsia" w:hAnsi="宋体" w:cs="宋体"/>
                <w:color w:val="000000"/>
                <w:spacing w:val="-10"/>
                <w:sz w:val="21"/>
                <w:szCs w:val="21"/>
              </w:rPr>
            </w:pPr>
          </w:p>
        </w:tc>
        <w:tc>
          <w:tcPr>
            <w:tcW w:w="567" w:type="pct"/>
            <w:gridSpan w:val="3"/>
            <w:tcBorders>
              <w:bottom w:val="double" w:color="auto" w:sz="4" w:space="0"/>
            </w:tcBorders>
            <w:tcMar>
              <w:left w:w="28" w:type="dxa"/>
              <w:right w:w="28" w:type="dxa"/>
            </w:tcMar>
            <w:vAlign w:val="center"/>
          </w:tcPr>
          <w:p w14:paraId="6E6EDC8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级别</w:t>
            </w:r>
          </w:p>
        </w:tc>
        <w:tc>
          <w:tcPr>
            <w:tcW w:w="940" w:type="pct"/>
            <w:tcBorders>
              <w:bottom w:val="double" w:color="auto" w:sz="4" w:space="0"/>
            </w:tcBorders>
            <w:tcMar>
              <w:left w:w="28" w:type="dxa"/>
              <w:right w:w="28" w:type="dxa"/>
            </w:tcMar>
            <w:vAlign w:val="center"/>
          </w:tcPr>
          <w:p w14:paraId="332FFE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未盐化</w:t>
            </w:r>
          </w:p>
        </w:tc>
      </w:tr>
      <w:tr w14:paraId="24F912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71" w:type="pct"/>
            <w:gridSpan w:val="5"/>
            <w:vMerge w:val="restart"/>
            <w:tcBorders>
              <w:top w:val="double" w:color="auto" w:sz="4" w:space="0"/>
            </w:tcBorders>
            <w:noWrap/>
            <w:vAlign w:val="center"/>
          </w:tcPr>
          <w:p w14:paraId="301652F8">
            <w:pPr>
              <w:spacing w:line="0" w:lineRule="atLeast"/>
              <w:jc w:val="center"/>
              <w:rPr>
                <w:rFonts w:hint="eastAsia" w:hAnsi="宋体" w:cs="宋体"/>
                <w:spacing w:val="-10"/>
                <w:sz w:val="21"/>
                <w:szCs w:val="21"/>
              </w:rPr>
            </w:pPr>
            <w:r>
              <w:rPr>
                <w:rFonts w:hint="eastAsia" w:hAnsi="宋体" w:cs="宋体"/>
                <w:spacing w:val="-10"/>
                <w:sz w:val="21"/>
                <w:szCs w:val="21"/>
                <w:lang w:bidi="ar"/>
              </w:rPr>
              <w:t>检测项目</w:t>
            </w:r>
          </w:p>
        </w:tc>
        <w:tc>
          <w:tcPr>
            <w:tcW w:w="3329" w:type="pct"/>
            <w:gridSpan w:val="9"/>
            <w:tcBorders>
              <w:top w:val="double" w:color="auto" w:sz="4" w:space="0"/>
            </w:tcBorders>
            <w:vAlign w:val="center"/>
          </w:tcPr>
          <w:p w14:paraId="1135049C">
            <w:pPr>
              <w:spacing w:line="0" w:lineRule="atLeast"/>
              <w:jc w:val="center"/>
              <w:rPr>
                <w:rFonts w:hint="eastAsia" w:hAnsi="宋体" w:cs="宋体"/>
                <w:spacing w:val="-10"/>
                <w:sz w:val="21"/>
                <w:szCs w:val="21"/>
                <w:lang w:bidi="ar"/>
              </w:rPr>
            </w:pPr>
            <w:r>
              <w:rPr>
                <w:rFonts w:hint="eastAsia" w:hAnsi="宋体" w:cs="宋体"/>
                <w:spacing w:val="-10"/>
                <w:sz w:val="21"/>
                <w:szCs w:val="21"/>
                <w:lang w:bidi="ar"/>
              </w:rPr>
              <w:t>检测结果</w:t>
            </w:r>
          </w:p>
        </w:tc>
      </w:tr>
      <w:tr w14:paraId="278D9D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71" w:type="pct"/>
            <w:gridSpan w:val="5"/>
            <w:vMerge w:val="continue"/>
            <w:vAlign w:val="center"/>
          </w:tcPr>
          <w:p w14:paraId="30301F4D">
            <w:pPr>
              <w:spacing w:line="0" w:lineRule="atLeast"/>
              <w:jc w:val="center"/>
              <w:rPr>
                <w:rFonts w:hint="eastAsia" w:hAnsi="宋体" w:cs="宋体"/>
                <w:spacing w:val="-10"/>
                <w:sz w:val="21"/>
                <w:szCs w:val="21"/>
              </w:rPr>
            </w:pPr>
          </w:p>
        </w:tc>
        <w:tc>
          <w:tcPr>
            <w:tcW w:w="1109" w:type="pct"/>
            <w:gridSpan w:val="3"/>
            <w:vAlign w:val="center"/>
          </w:tcPr>
          <w:p w14:paraId="169EDDC2">
            <w:pPr>
              <w:spacing w:line="0" w:lineRule="atLeast"/>
              <w:jc w:val="center"/>
              <w:rPr>
                <w:rFonts w:hint="eastAsia" w:hAnsi="宋体" w:cs="宋体"/>
                <w:spacing w:val="-10"/>
                <w:sz w:val="21"/>
                <w:szCs w:val="21"/>
              </w:rPr>
            </w:pPr>
            <w:r>
              <w:rPr>
                <w:rFonts w:hint="eastAsia" w:hAnsi="宋体" w:cs="宋体"/>
                <w:spacing w:val="-10"/>
                <w:sz w:val="21"/>
                <w:szCs w:val="21"/>
              </w:rPr>
              <w:t>2#集气站管线接口处</w:t>
            </w:r>
          </w:p>
        </w:tc>
        <w:tc>
          <w:tcPr>
            <w:tcW w:w="1109" w:type="pct"/>
            <w:gridSpan w:val="3"/>
            <w:vAlign w:val="center"/>
          </w:tcPr>
          <w:p w14:paraId="07B92F1C">
            <w:pPr>
              <w:spacing w:line="0" w:lineRule="atLeast"/>
              <w:jc w:val="center"/>
              <w:rPr>
                <w:rFonts w:hint="eastAsia" w:hAnsi="宋体" w:cs="宋体"/>
                <w:spacing w:val="-10"/>
                <w:sz w:val="21"/>
                <w:szCs w:val="21"/>
              </w:rPr>
            </w:pPr>
            <w:r>
              <w:rPr>
                <w:rFonts w:hint="eastAsia" w:hAnsi="宋体" w:cs="宋体"/>
                <w:spacing w:val="-10"/>
                <w:sz w:val="21"/>
                <w:szCs w:val="21"/>
              </w:rPr>
              <w:t>5#集气站管线接口处</w:t>
            </w:r>
          </w:p>
        </w:tc>
        <w:tc>
          <w:tcPr>
            <w:tcW w:w="1111" w:type="pct"/>
            <w:gridSpan w:val="3"/>
            <w:vAlign w:val="center"/>
          </w:tcPr>
          <w:p w14:paraId="5FFA904F">
            <w:pPr>
              <w:spacing w:line="0" w:lineRule="atLeast"/>
              <w:jc w:val="center"/>
              <w:rPr>
                <w:rFonts w:hint="eastAsia" w:hAnsi="宋体" w:cs="宋体"/>
                <w:spacing w:val="-10"/>
                <w:sz w:val="21"/>
                <w:szCs w:val="21"/>
              </w:rPr>
            </w:pPr>
            <w:r>
              <w:rPr>
                <w:rFonts w:hint="eastAsia" w:hAnsi="宋体" w:cs="宋体"/>
                <w:spacing w:val="-10"/>
                <w:sz w:val="21"/>
                <w:szCs w:val="21"/>
              </w:rPr>
              <w:t>ZG8-9井管线接口处</w:t>
            </w:r>
          </w:p>
        </w:tc>
      </w:tr>
      <w:tr w14:paraId="798F0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71" w:type="pct"/>
            <w:gridSpan w:val="5"/>
            <w:noWrap/>
            <w:vAlign w:val="center"/>
          </w:tcPr>
          <w:p w14:paraId="3F5982CC">
            <w:pPr>
              <w:spacing w:line="0" w:lineRule="atLeast"/>
              <w:jc w:val="center"/>
              <w:rPr>
                <w:rFonts w:hint="eastAsia" w:hAnsi="宋体" w:cs="宋体"/>
                <w:spacing w:val="-10"/>
                <w:sz w:val="21"/>
                <w:szCs w:val="21"/>
              </w:rPr>
            </w:pPr>
            <w:r>
              <w:rPr>
                <w:rFonts w:hint="eastAsia" w:hAnsi="宋体" w:cs="宋体"/>
                <w:spacing w:val="-10"/>
                <w:sz w:val="21"/>
                <w:szCs w:val="21"/>
              </w:rPr>
              <w:t>采样深度</w:t>
            </w:r>
          </w:p>
        </w:tc>
        <w:tc>
          <w:tcPr>
            <w:tcW w:w="1109" w:type="pct"/>
            <w:gridSpan w:val="3"/>
            <w:noWrap/>
            <w:vAlign w:val="center"/>
          </w:tcPr>
          <w:p w14:paraId="1DD22EB1">
            <w:pPr>
              <w:spacing w:line="0" w:lineRule="atLeast"/>
              <w:jc w:val="center"/>
              <w:rPr>
                <w:rFonts w:hint="eastAsia" w:hAnsi="宋体" w:cs="宋体"/>
                <w:spacing w:val="-10"/>
                <w:sz w:val="21"/>
                <w:szCs w:val="21"/>
                <w:lang w:bidi="ar"/>
              </w:rPr>
            </w:pPr>
            <w:r>
              <w:rPr>
                <w:rFonts w:hint="eastAsia" w:hAnsi="宋体" w:cs="宋体"/>
                <w:spacing w:val="-10"/>
                <w:sz w:val="21"/>
                <w:szCs w:val="21"/>
              </w:rPr>
              <w:t>0.2m</w:t>
            </w:r>
          </w:p>
        </w:tc>
        <w:tc>
          <w:tcPr>
            <w:tcW w:w="1109" w:type="pct"/>
            <w:gridSpan w:val="3"/>
            <w:noWrap/>
            <w:vAlign w:val="center"/>
          </w:tcPr>
          <w:p w14:paraId="51A8110B">
            <w:pPr>
              <w:spacing w:line="0" w:lineRule="atLeast"/>
              <w:jc w:val="center"/>
              <w:rPr>
                <w:rFonts w:hint="eastAsia" w:hAnsi="宋体" w:cs="宋体"/>
                <w:spacing w:val="-10"/>
                <w:sz w:val="21"/>
                <w:szCs w:val="21"/>
              </w:rPr>
            </w:pPr>
            <w:r>
              <w:rPr>
                <w:rFonts w:hint="eastAsia" w:hAnsi="宋体" w:cs="宋体"/>
                <w:spacing w:val="-10"/>
                <w:sz w:val="21"/>
                <w:szCs w:val="21"/>
              </w:rPr>
              <w:t>0.2m</w:t>
            </w:r>
          </w:p>
        </w:tc>
        <w:tc>
          <w:tcPr>
            <w:tcW w:w="1111" w:type="pct"/>
            <w:gridSpan w:val="3"/>
            <w:noWrap/>
            <w:vAlign w:val="center"/>
          </w:tcPr>
          <w:p w14:paraId="1AB51C15">
            <w:pPr>
              <w:spacing w:line="0" w:lineRule="atLeast"/>
              <w:jc w:val="center"/>
              <w:rPr>
                <w:rFonts w:hint="eastAsia" w:hAnsi="宋体" w:cs="宋体"/>
                <w:spacing w:val="-10"/>
                <w:sz w:val="21"/>
                <w:szCs w:val="21"/>
                <w:lang w:bidi="ar"/>
              </w:rPr>
            </w:pPr>
            <w:r>
              <w:rPr>
                <w:rFonts w:hint="eastAsia" w:hAnsi="宋体" w:cs="宋体"/>
                <w:spacing w:val="-10"/>
                <w:sz w:val="21"/>
                <w:szCs w:val="21"/>
              </w:rPr>
              <w:t>0.2m</w:t>
            </w:r>
          </w:p>
        </w:tc>
      </w:tr>
      <w:tr w14:paraId="6E6B29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78" w:type="pct"/>
            <w:gridSpan w:val="2"/>
            <w:vMerge w:val="restart"/>
            <w:vAlign w:val="center"/>
          </w:tcPr>
          <w:p w14:paraId="3CEDF2B5">
            <w:pPr>
              <w:spacing w:line="0" w:lineRule="atLeast"/>
              <w:jc w:val="center"/>
              <w:rPr>
                <w:rFonts w:hint="eastAsia" w:hAnsi="宋体" w:cs="宋体"/>
                <w:spacing w:val="-10"/>
                <w:sz w:val="21"/>
                <w:szCs w:val="21"/>
              </w:rPr>
            </w:pPr>
            <w:r>
              <w:rPr>
                <w:rFonts w:hint="eastAsia" w:hAnsi="宋体" w:cs="宋体"/>
                <w:spacing w:val="-10"/>
                <w:sz w:val="21"/>
                <w:szCs w:val="21"/>
              </w:rPr>
              <w:t>石油烃（C</w:t>
            </w:r>
            <w:r>
              <w:rPr>
                <w:rFonts w:hint="eastAsia" w:hAnsi="宋体" w:cs="宋体"/>
                <w:spacing w:val="-10"/>
                <w:sz w:val="21"/>
                <w:szCs w:val="21"/>
                <w:vertAlign w:val="subscript"/>
              </w:rPr>
              <w:t>10</w:t>
            </w:r>
            <w:r>
              <w:rPr>
                <w:rFonts w:hint="eastAsia" w:hAnsi="宋体" w:cs="宋体"/>
                <w:spacing w:val="-10"/>
                <w:sz w:val="21"/>
                <w:szCs w:val="21"/>
              </w:rPr>
              <w:t>-C</w:t>
            </w:r>
            <w:r>
              <w:rPr>
                <w:rFonts w:hint="eastAsia" w:hAnsi="宋体" w:cs="宋体"/>
                <w:spacing w:val="-10"/>
                <w:sz w:val="21"/>
                <w:szCs w:val="21"/>
                <w:vertAlign w:val="subscript"/>
              </w:rPr>
              <w:t>40</w:t>
            </w:r>
            <w:r>
              <w:rPr>
                <w:rFonts w:hint="eastAsia" w:hAnsi="宋体" w:cs="宋体"/>
                <w:spacing w:val="-10"/>
                <w:sz w:val="21"/>
                <w:szCs w:val="21"/>
              </w:rPr>
              <w:t>）</w:t>
            </w:r>
          </w:p>
        </w:tc>
        <w:tc>
          <w:tcPr>
            <w:tcW w:w="693" w:type="pct"/>
            <w:gridSpan w:val="3"/>
            <w:noWrap/>
            <w:vAlign w:val="center"/>
          </w:tcPr>
          <w:p w14:paraId="0C44692E">
            <w:pPr>
              <w:spacing w:line="0" w:lineRule="atLeast"/>
              <w:jc w:val="center"/>
              <w:rPr>
                <w:rFonts w:hint="eastAsia" w:hAnsi="宋体" w:cs="宋体"/>
                <w:spacing w:val="-10"/>
                <w:sz w:val="21"/>
                <w:szCs w:val="21"/>
              </w:rPr>
            </w:pPr>
            <w:r>
              <w:rPr>
                <w:rFonts w:hint="eastAsia" w:hAnsi="宋体" w:cs="宋体"/>
                <w:spacing w:val="-10"/>
                <w:sz w:val="21"/>
                <w:szCs w:val="21"/>
              </w:rPr>
              <w:t>监测值</w:t>
            </w:r>
          </w:p>
        </w:tc>
        <w:tc>
          <w:tcPr>
            <w:tcW w:w="1109" w:type="pct"/>
            <w:gridSpan w:val="3"/>
            <w:noWrap/>
            <w:vAlign w:val="center"/>
          </w:tcPr>
          <w:p w14:paraId="66740254">
            <w:pPr>
              <w:spacing w:line="0" w:lineRule="atLeast"/>
              <w:jc w:val="center"/>
              <w:rPr>
                <w:rFonts w:hint="eastAsia" w:hAnsi="宋体" w:cs="宋体"/>
                <w:spacing w:val="-10"/>
                <w:sz w:val="21"/>
                <w:szCs w:val="21"/>
              </w:rPr>
            </w:pPr>
            <w:r>
              <w:rPr>
                <w:rFonts w:hint="eastAsia" w:hAnsi="宋体" w:cs="宋体"/>
                <w:sz w:val="21"/>
                <w:szCs w:val="21"/>
              </w:rPr>
              <w:t>未检出</w:t>
            </w:r>
          </w:p>
        </w:tc>
        <w:tc>
          <w:tcPr>
            <w:tcW w:w="1109" w:type="pct"/>
            <w:gridSpan w:val="3"/>
            <w:noWrap/>
            <w:vAlign w:val="center"/>
          </w:tcPr>
          <w:p w14:paraId="4EEF3F08">
            <w:pPr>
              <w:spacing w:line="0" w:lineRule="atLeast"/>
              <w:jc w:val="center"/>
              <w:rPr>
                <w:rFonts w:hint="eastAsia" w:hAnsi="宋体" w:cs="宋体"/>
                <w:sz w:val="21"/>
                <w:szCs w:val="21"/>
              </w:rPr>
            </w:pPr>
            <w:r>
              <w:rPr>
                <w:rFonts w:hint="eastAsia" w:hAnsi="宋体" w:cs="宋体"/>
                <w:sz w:val="21"/>
                <w:szCs w:val="21"/>
              </w:rPr>
              <w:t>未检出</w:t>
            </w:r>
          </w:p>
        </w:tc>
        <w:tc>
          <w:tcPr>
            <w:tcW w:w="1111" w:type="pct"/>
            <w:gridSpan w:val="3"/>
            <w:noWrap/>
            <w:vAlign w:val="center"/>
          </w:tcPr>
          <w:p w14:paraId="3A7FA2A7">
            <w:pPr>
              <w:spacing w:line="0" w:lineRule="atLeast"/>
              <w:jc w:val="center"/>
              <w:rPr>
                <w:rFonts w:hint="eastAsia" w:hAnsi="宋体" w:cs="宋体"/>
                <w:spacing w:val="-10"/>
                <w:sz w:val="21"/>
                <w:szCs w:val="21"/>
              </w:rPr>
            </w:pPr>
            <w:r>
              <w:rPr>
                <w:rFonts w:hint="eastAsia" w:hAnsi="宋体" w:cs="宋体"/>
                <w:sz w:val="21"/>
                <w:szCs w:val="21"/>
              </w:rPr>
              <w:t>未检出</w:t>
            </w:r>
          </w:p>
        </w:tc>
      </w:tr>
      <w:tr w14:paraId="27F724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78" w:type="pct"/>
            <w:gridSpan w:val="2"/>
            <w:vMerge w:val="continue"/>
            <w:vAlign w:val="center"/>
          </w:tcPr>
          <w:p w14:paraId="2587E757">
            <w:pPr>
              <w:spacing w:line="0" w:lineRule="atLeast"/>
              <w:jc w:val="center"/>
              <w:rPr>
                <w:rFonts w:hint="eastAsia" w:hAnsi="宋体" w:cs="宋体"/>
                <w:spacing w:val="-10"/>
                <w:sz w:val="21"/>
                <w:szCs w:val="21"/>
              </w:rPr>
            </w:pPr>
          </w:p>
        </w:tc>
        <w:tc>
          <w:tcPr>
            <w:tcW w:w="693" w:type="pct"/>
            <w:gridSpan w:val="3"/>
            <w:noWrap/>
            <w:vAlign w:val="center"/>
          </w:tcPr>
          <w:p w14:paraId="0E508831">
            <w:pPr>
              <w:spacing w:line="0" w:lineRule="atLeast"/>
              <w:jc w:val="center"/>
              <w:rPr>
                <w:rFonts w:hint="eastAsia" w:hAnsi="宋体" w:cs="宋体"/>
                <w:spacing w:val="-10"/>
                <w:sz w:val="21"/>
                <w:szCs w:val="21"/>
              </w:rPr>
            </w:pPr>
            <w:r>
              <w:rPr>
                <w:rFonts w:hint="eastAsia" w:hAnsi="宋体" w:cs="宋体"/>
                <w:spacing w:val="-10"/>
                <w:sz w:val="21"/>
                <w:szCs w:val="21"/>
              </w:rPr>
              <w:t>筛选值</w:t>
            </w:r>
          </w:p>
        </w:tc>
        <w:tc>
          <w:tcPr>
            <w:tcW w:w="1109" w:type="pct"/>
            <w:gridSpan w:val="3"/>
            <w:noWrap/>
            <w:vAlign w:val="center"/>
          </w:tcPr>
          <w:p w14:paraId="148EDC65">
            <w:pPr>
              <w:spacing w:line="0" w:lineRule="atLeast"/>
              <w:jc w:val="center"/>
              <w:rPr>
                <w:rFonts w:hint="eastAsia" w:hAnsi="宋体" w:cs="宋体"/>
                <w:spacing w:val="-10"/>
                <w:sz w:val="21"/>
                <w:szCs w:val="21"/>
              </w:rPr>
            </w:pPr>
            <w:r>
              <w:rPr>
                <w:rFonts w:hint="eastAsia" w:hAnsi="宋体" w:cs="宋体"/>
                <w:spacing w:val="-10"/>
                <w:sz w:val="21"/>
                <w:szCs w:val="21"/>
              </w:rPr>
              <w:t>4500</w:t>
            </w:r>
          </w:p>
        </w:tc>
        <w:tc>
          <w:tcPr>
            <w:tcW w:w="1109" w:type="pct"/>
            <w:gridSpan w:val="3"/>
            <w:noWrap/>
            <w:vAlign w:val="center"/>
          </w:tcPr>
          <w:p w14:paraId="4751D542">
            <w:pPr>
              <w:spacing w:line="0" w:lineRule="atLeast"/>
              <w:jc w:val="center"/>
              <w:rPr>
                <w:rFonts w:hint="eastAsia" w:hAnsi="宋体" w:cs="宋体"/>
                <w:spacing w:val="-10"/>
                <w:sz w:val="21"/>
                <w:szCs w:val="21"/>
              </w:rPr>
            </w:pPr>
            <w:r>
              <w:rPr>
                <w:rFonts w:hint="eastAsia" w:hAnsi="宋体" w:cs="宋体"/>
                <w:spacing w:val="-10"/>
                <w:sz w:val="21"/>
                <w:szCs w:val="21"/>
              </w:rPr>
              <w:t>4500</w:t>
            </w:r>
          </w:p>
        </w:tc>
        <w:tc>
          <w:tcPr>
            <w:tcW w:w="1111" w:type="pct"/>
            <w:gridSpan w:val="3"/>
            <w:noWrap/>
            <w:vAlign w:val="center"/>
          </w:tcPr>
          <w:p w14:paraId="2BC17CB4">
            <w:pPr>
              <w:spacing w:line="0" w:lineRule="atLeast"/>
              <w:jc w:val="center"/>
              <w:rPr>
                <w:rFonts w:hint="eastAsia" w:hAnsi="宋体" w:cs="宋体"/>
                <w:spacing w:val="-10"/>
                <w:sz w:val="21"/>
                <w:szCs w:val="21"/>
              </w:rPr>
            </w:pPr>
            <w:r>
              <w:rPr>
                <w:rFonts w:hint="eastAsia" w:hAnsi="宋体" w:cs="宋体"/>
                <w:spacing w:val="-10"/>
                <w:sz w:val="21"/>
                <w:szCs w:val="21"/>
              </w:rPr>
              <w:t>4500</w:t>
            </w:r>
          </w:p>
        </w:tc>
      </w:tr>
      <w:tr w14:paraId="15462E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78" w:type="pct"/>
            <w:gridSpan w:val="2"/>
            <w:vMerge w:val="continue"/>
            <w:vAlign w:val="center"/>
          </w:tcPr>
          <w:p w14:paraId="6FFD3235">
            <w:pPr>
              <w:spacing w:line="0" w:lineRule="atLeast"/>
              <w:jc w:val="center"/>
              <w:rPr>
                <w:rFonts w:hint="eastAsia" w:hAnsi="宋体" w:cs="宋体"/>
                <w:spacing w:val="-10"/>
                <w:sz w:val="21"/>
                <w:szCs w:val="21"/>
                <w:lang w:bidi="ar"/>
              </w:rPr>
            </w:pPr>
          </w:p>
        </w:tc>
        <w:tc>
          <w:tcPr>
            <w:tcW w:w="693" w:type="pct"/>
            <w:gridSpan w:val="3"/>
            <w:noWrap/>
            <w:vAlign w:val="center"/>
          </w:tcPr>
          <w:p w14:paraId="48F62984">
            <w:pPr>
              <w:spacing w:line="0" w:lineRule="atLeast"/>
              <w:jc w:val="center"/>
              <w:rPr>
                <w:rFonts w:hint="eastAsia" w:hAnsi="宋体" w:cs="宋体"/>
                <w:spacing w:val="-10"/>
                <w:sz w:val="21"/>
                <w:szCs w:val="21"/>
                <w:lang w:bidi="ar"/>
              </w:rPr>
            </w:pPr>
            <w:r>
              <w:rPr>
                <w:rFonts w:hint="eastAsia" w:hAnsi="宋体" w:cs="宋体"/>
                <w:spacing w:val="-10"/>
                <w:sz w:val="21"/>
                <w:szCs w:val="21"/>
              </w:rPr>
              <w:t>标准指数</w:t>
            </w:r>
          </w:p>
        </w:tc>
        <w:tc>
          <w:tcPr>
            <w:tcW w:w="1109" w:type="pct"/>
            <w:gridSpan w:val="3"/>
            <w:noWrap/>
            <w:vAlign w:val="center"/>
          </w:tcPr>
          <w:p w14:paraId="52635710">
            <w:pPr>
              <w:spacing w:line="0" w:lineRule="atLeast"/>
              <w:jc w:val="center"/>
              <w:rPr>
                <w:rFonts w:hAnsi="宋体" w:cs="宋体"/>
                <w:spacing w:val="-10"/>
                <w:sz w:val="21"/>
                <w:szCs w:val="21"/>
                <w:lang w:bidi="ar"/>
              </w:rPr>
            </w:pPr>
            <w:r>
              <w:rPr>
                <w:rFonts w:hint="eastAsia" w:hAnsi="宋体" w:cs="宋体"/>
                <w:spacing w:val="-10"/>
                <w:sz w:val="21"/>
                <w:szCs w:val="21"/>
                <w:lang w:bidi="ar"/>
              </w:rPr>
              <w:t>--</w:t>
            </w:r>
          </w:p>
        </w:tc>
        <w:tc>
          <w:tcPr>
            <w:tcW w:w="1109" w:type="pct"/>
            <w:gridSpan w:val="3"/>
            <w:noWrap/>
            <w:vAlign w:val="center"/>
          </w:tcPr>
          <w:p w14:paraId="5124E65C">
            <w:pPr>
              <w:spacing w:line="0" w:lineRule="atLeast"/>
              <w:jc w:val="center"/>
              <w:rPr>
                <w:rFonts w:hint="eastAsia" w:hAnsi="宋体" w:cs="宋体"/>
                <w:spacing w:val="-10"/>
                <w:sz w:val="21"/>
                <w:szCs w:val="21"/>
                <w:lang w:bidi="ar"/>
              </w:rPr>
            </w:pPr>
            <w:r>
              <w:rPr>
                <w:rFonts w:hint="eastAsia" w:hAnsi="宋体" w:cs="宋体"/>
                <w:spacing w:val="-10"/>
                <w:sz w:val="21"/>
                <w:szCs w:val="21"/>
                <w:lang w:bidi="ar"/>
              </w:rPr>
              <w:t>--</w:t>
            </w:r>
          </w:p>
        </w:tc>
        <w:tc>
          <w:tcPr>
            <w:tcW w:w="1111" w:type="pct"/>
            <w:gridSpan w:val="3"/>
            <w:noWrap/>
            <w:vAlign w:val="center"/>
          </w:tcPr>
          <w:p w14:paraId="37CA3F55">
            <w:pPr>
              <w:spacing w:line="0" w:lineRule="atLeast"/>
              <w:jc w:val="center"/>
              <w:rPr>
                <w:rFonts w:hAnsi="宋体" w:cs="宋体"/>
                <w:spacing w:val="-10"/>
                <w:sz w:val="21"/>
                <w:szCs w:val="21"/>
                <w:lang w:bidi="ar"/>
              </w:rPr>
            </w:pPr>
            <w:r>
              <w:rPr>
                <w:rFonts w:hint="eastAsia" w:hAnsi="宋体" w:cs="宋体"/>
                <w:spacing w:val="-10"/>
                <w:sz w:val="21"/>
                <w:szCs w:val="21"/>
                <w:lang w:bidi="ar"/>
              </w:rPr>
              <w:t>--</w:t>
            </w:r>
          </w:p>
        </w:tc>
      </w:tr>
    </w:tbl>
    <w:p w14:paraId="2D0E15BB">
      <w:pPr>
        <w:pStyle w:val="10"/>
        <w:widowControl w:val="0"/>
        <w:spacing w:before="240" w:line="480" w:lineRule="exact"/>
        <w:ind w:firstLine="526" w:firstLineChars="200"/>
        <w:jc w:val="both"/>
        <w:rPr>
          <w:rFonts w:hint="eastAsia" w:ascii="宋体" w:hAnsi="宋体" w:eastAsia="宋体" w:cs="宋体"/>
          <w:color w:val="000000"/>
          <w:sz w:val="24"/>
          <w:szCs w:val="24"/>
        </w:rPr>
      </w:pPr>
      <w:r>
        <w:rPr>
          <w:rFonts w:hint="eastAsia" w:ascii="宋体" w:hAnsi="宋体" w:eastAsia="宋体" w:cs="宋体"/>
          <w:color w:val="000000"/>
          <w:sz w:val="24"/>
          <w:szCs w:val="24"/>
          <w:lang w:bidi="ar"/>
        </w:rPr>
        <w:t>由表4.5-4分析可知，占地范围内各土壤监测点监测因子均满足《土壤环境质量 建设用地土壤污染风险管控标准（试行）》（GB36600-2018）中第二类用地土壤污染风险筛选值。</w:t>
      </w:r>
    </w:p>
    <w:p w14:paraId="443318C0">
      <w:pPr>
        <w:spacing w:line="480" w:lineRule="exact"/>
        <w:outlineLvl w:val="1"/>
        <w:rPr>
          <w:rFonts w:hint="eastAsia" w:ascii="黑体" w:hAnsi="黑体" w:eastAsia="黑体" w:cs="黑体"/>
          <w:color w:val="000000"/>
          <w:sz w:val="28"/>
          <w:szCs w:val="28"/>
          <w:lang w:bidi="ar"/>
        </w:rPr>
      </w:pPr>
      <w:bookmarkStart w:id="189" w:name="_Toc230178796"/>
      <w:bookmarkStart w:id="190" w:name="_Toc198040330"/>
      <w:bookmarkStart w:id="191" w:name="_Toc198040186"/>
      <w:bookmarkStart w:id="192" w:name="_Toc208474680"/>
      <w:r>
        <w:rPr>
          <w:rFonts w:hint="eastAsia" w:ascii="黑体" w:hAnsi="黑体" w:eastAsia="黑体" w:cs="黑体"/>
          <w:color w:val="000000"/>
          <w:sz w:val="28"/>
          <w:szCs w:val="28"/>
          <w:lang w:bidi="ar"/>
        </w:rPr>
        <w:t>4.6 大气环境现状调查与评价</w:t>
      </w:r>
      <w:bookmarkEnd w:id="189"/>
      <w:bookmarkEnd w:id="190"/>
      <w:bookmarkEnd w:id="191"/>
      <w:bookmarkEnd w:id="192"/>
    </w:p>
    <w:p w14:paraId="15063574">
      <w:pPr>
        <w:spacing w:line="480" w:lineRule="exact"/>
        <w:ind w:firstLine="526" w:firstLineChars="200"/>
        <w:rPr>
          <w:rFonts w:hAnsi="宋体"/>
          <w:color w:val="000000"/>
          <w:szCs w:val="24"/>
        </w:rPr>
      </w:pPr>
      <w:bookmarkStart w:id="193" w:name="_Toc529970376"/>
      <w:r>
        <w:rPr>
          <w:rFonts w:hint="eastAsia" w:hAnsi="宋体" w:cs="宋体"/>
          <w:color w:val="000000"/>
          <w:szCs w:val="24"/>
          <w:lang w:bidi="ar"/>
        </w:rPr>
        <w:t>本次评价收集了2024年1月1日至2024年12月31日期间阿克苏地区、和田地区例行监测点的监测数据作为基本污染物环境空气质量现状数据，</w:t>
      </w:r>
      <w:r>
        <w:rPr>
          <w:rFonts w:hint="eastAsia" w:hAnsi="宋体"/>
          <w:color w:val="000000"/>
          <w:szCs w:val="24"/>
        </w:rPr>
        <w:t>并对各污染物的年评价指标进行评价，现状评价结果见表4.6-1所示。</w:t>
      </w:r>
    </w:p>
    <w:p w14:paraId="2543F2A9">
      <w:pPr>
        <w:spacing w:line="480" w:lineRule="exact"/>
        <w:ind w:firstLine="526" w:firstLineChars="200"/>
        <w:rPr>
          <w:rFonts w:ascii="黑体" w:hAnsi="宋体" w:eastAsia="黑体"/>
          <w:color w:val="000000"/>
          <w:szCs w:val="24"/>
        </w:rPr>
      </w:pPr>
      <w:r>
        <w:rPr>
          <w:rFonts w:hint="eastAsia" w:ascii="黑体" w:hAnsi="宋体" w:eastAsia="黑体"/>
          <w:color w:val="000000"/>
          <w:szCs w:val="24"/>
        </w:rPr>
        <w:t>表</w:t>
      </w:r>
      <w:r>
        <w:rPr>
          <w:rFonts w:hint="eastAsia" w:ascii="黑体" w:hAnsi="黑体" w:eastAsia="黑体" w:cs="宋体"/>
          <w:color w:val="000000"/>
          <w:szCs w:val="24"/>
        </w:rPr>
        <w:t>4.6-1</w:t>
      </w:r>
      <w:r>
        <w:rPr>
          <w:rFonts w:hint="eastAsia" w:ascii="黑体" w:hAnsi="宋体" w:eastAsia="黑体"/>
          <w:color w:val="000000"/>
          <w:szCs w:val="24"/>
        </w:rPr>
        <w:t xml:space="preserve">    阿克苏地区环境空气质量现状评价一览表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65"/>
        <w:gridCol w:w="3840"/>
        <w:gridCol w:w="1039"/>
        <w:gridCol w:w="1258"/>
        <w:gridCol w:w="918"/>
        <w:gridCol w:w="1095"/>
      </w:tblGrid>
      <w:tr w14:paraId="63A33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230D1B2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w:t>
            </w:r>
          </w:p>
        </w:tc>
        <w:tc>
          <w:tcPr>
            <w:tcW w:w="3840" w:type="dxa"/>
            <w:noWrap/>
            <w:tcMar>
              <w:left w:w="28" w:type="dxa"/>
              <w:right w:w="28" w:type="dxa"/>
            </w:tcMar>
            <w:vAlign w:val="center"/>
          </w:tcPr>
          <w:p w14:paraId="4901910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年评价指标</w:t>
            </w:r>
          </w:p>
        </w:tc>
        <w:tc>
          <w:tcPr>
            <w:tcW w:w="1039" w:type="dxa"/>
            <w:noWrap/>
            <w:tcMar>
              <w:left w:w="28" w:type="dxa"/>
              <w:right w:w="28" w:type="dxa"/>
            </w:tcMar>
            <w:vAlign w:val="center"/>
          </w:tcPr>
          <w:p w14:paraId="68270D6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评价标准</w:t>
            </w:r>
          </w:p>
          <w:p w14:paraId="2C6ABCE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1258" w:type="dxa"/>
            <w:noWrap/>
            <w:tcMar>
              <w:left w:w="28" w:type="dxa"/>
              <w:right w:w="28" w:type="dxa"/>
            </w:tcMar>
            <w:vAlign w:val="center"/>
          </w:tcPr>
          <w:p w14:paraId="7DC4B5B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现状浓度</w:t>
            </w:r>
          </w:p>
          <w:p w14:paraId="56FB9EA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918" w:type="dxa"/>
            <w:noWrap/>
            <w:tcMar>
              <w:left w:w="28" w:type="dxa"/>
              <w:right w:w="28" w:type="dxa"/>
            </w:tcMar>
            <w:vAlign w:val="center"/>
          </w:tcPr>
          <w:p w14:paraId="42DE16F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占标率（%）</w:t>
            </w:r>
          </w:p>
        </w:tc>
        <w:tc>
          <w:tcPr>
            <w:tcW w:w="1095" w:type="dxa"/>
            <w:noWrap/>
            <w:tcMar>
              <w:left w:w="28" w:type="dxa"/>
              <w:right w:w="28" w:type="dxa"/>
            </w:tcMar>
            <w:vAlign w:val="center"/>
          </w:tcPr>
          <w:p w14:paraId="2CA8A1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达标情况</w:t>
            </w:r>
          </w:p>
        </w:tc>
      </w:tr>
      <w:tr w14:paraId="0CE5A7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74BA6C9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10</w:t>
            </w:r>
          </w:p>
        </w:tc>
        <w:tc>
          <w:tcPr>
            <w:tcW w:w="3840" w:type="dxa"/>
            <w:noWrap/>
            <w:tcMar>
              <w:left w:w="28" w:type="dxa"/>
              <w:right w:w="28" w:type="dxa"/>
            </w:tcMar>
            <w:vAlign w:val="center"/>
          </w:tcPr>
          <w:p w14:paraId="055A790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039" w:type="dxa"/>
            <w:noWrap/>
            <w:tcMar>
              <w:left w:w="28" w:type="dxa"/>
              <w:right w:w="28" w:type="dxa"/>
            </w:tcMar>
            <w:vAlign w:val="center"/>
          </w:tcPr>
          <w:p w14:paraId="590586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1258" w:type="dxa"/>
            <w:noWrap/>
            <w:tcMar>
              <w:left w:w="28" w:type="dxa"/>
              <w:right w:w="28" w:type="dxa"/>
            </w:tcMar>
            <w:vAlign w:val="center"/>
          </w:tcPr>
          <w:p w14:paraId="290CC1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81</w:t>
            </w:r>
          </w:p>
        </w:tc>
        <w:tc>
          <w:tcPr>
            <w:tcW w:w="918" w:type="dxa"/>
            <w:noWrap/>
            <w:tcMar>
              <w:left w:w="28" w:type="dxa"/>
              <w:right w:w="28" w:type="dxa"/>
            </w:tcMar>
            <w:vAlign w:val="center"/>
          </w:tcPr>
          <w:p w14:paraId="183CBD1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135.0</w:t>
            </w:r>
          </w:p>
        </w:tc>
        <w:tc>
          <w:tcPr>
            <w:tcW w:w="1095" w:type="dxa"/>
            <w:noWrap/>
            <w:tcMar>
              <w:left w:w="28" w:type="dxa"/>
              <w:right w:w="28" w:type="dxa"/>
            </w:tcMar>
            <w:vAlign w:val="center"/>
          </w:tcPr>
          <w:p w14:paraId="61F66A3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w:t>
            </w:r>
          </w:p>
        </w:tc>
      </w:tr>
      <w:tr w14:paraId="0B228E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57801D9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2.5</w:t>
            </w:r>
          </w:p>
        </w:tc>
        <w:tc>
          <w:tcPr>
            <w:tcW w:w="3840" w:type="dxa"/>
            <w:noWrap/>
            <w:tcMar>
              <w:left w:w="28" w:type="dxa"/>
              <w:right w:w="28" w:type="dxa"/>
            </w:tcMar>
            <w:vAlign w:val="center"/>
          </w:tcPr>
          <w:p w14:paraId="647EA01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039" w:type="dxa"/>
            <w:noWrap/>
            <w:tcMar>
              <w:left w:w="28" w:type="dxa"/>
              <w:right w:w="28" w:type="dxa"/>
            </w:tcMar>
            <w:vAlign w:val="center"/>
          </w:tcPr>
          <w:p w14:paraId="37E9FD2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1258" w:type="dxa"/>
            <w:noWrap/>
            <w:tcMar>
              <w:left w:w="28" w:type="dxa"/>
              <w:right w:w="28" w:type="dxa"/>
            </w:tcMar>
            <w:vAlign w:val="center"/>
          </w:tcPr>
          <w:p w14:paraId="65D3BD3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35</w:t>
            </w:r>
          </w:p>
        </w:tc>
        <w:tc>
          <w:tcPr>
            <w:tcW w:w="918" w:type="dxa"/>
            <w:noWrap/>
            <w:tcMar>
              <w:left w:w="28" w:type="dxa"/>
              <w:right w:w="28" w:type="dxa"/>
            </w:tcMar>
            <w:vAlign w:val="center"/>
          </w:tcPr>
          <w:p w14:paraId="065D32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116.7</w:t>
            </w:r>
          </w:p>
        </w:tc>
        <w:tc>
          <w:tcPr>
            <w:tcW w:w="1095" w:type="dxa"/>
            <w:noWrap/>
            <w:tcMar>
              <w:left w:w="28" w:type="dxa"/>
              <w:right w:w="28" w:type="dxa"/>
            </w:tcMar>
            <w:vAlign w:val="center"/>
          </w:tcPr>
          <w:p w14:paraId="51DD72A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超标</w:t>
            </w:r>
          </w:p>
        </w:tc>
      </w:tr>
      <w:tr w14:paraId="456D26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602D58D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2</w:t>
            </w:r>
          </w:p>
        </w:tc>
        <w:tc>
          <w:tcPr>
            <w:tcW w:w="3840" w:type="dxa"/>
            <w:noWrap/>
            <w:tcMar>
              <w:left w:w="28" w:type="dxa"/>
              <w:right w:w="28" w:type="dxa"/>
            </w:tcMar>
            <w:vAlign w:val="center"/>
          </w:tcPr>
          <w:p w14:paraId="1E2FB5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039" w:type="dxa"/>
            <w:noWrap/>
            <w:tcMar>
              <w:left w:w="28" w:type="dxa"/>
              <w:right w:w="28" w:type="dxa"/>
            </w:tcMar>
            <w:vAlign w:val="center"/>
          </w:tcPr>
          <w:p w14:paraId="16B33EA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1258" w:type="dxa"/>
            <w:noWrap/>
            <w:tcMar>
              <w:left w:w="28" w:type="dxa"/>
              <w:right w:w="28" w:type="dxa"/>
            </w:tcMar>
            <w:vAlign w:val="center"/>
          </w:tcPr>
          <w:p w14:paraId="0778A0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918" w:type="dxa"/>
            <w:noWrap/>
            <w:tcMar>
              <w:left w:w="28" w:type="dxa"/>
              <w:right w:w="28" w:type="dxa"/>
            </w:tcMar>
            <w:vAlign w:val="center"/>
          </w:tcPr>
          <w:p w14:paraId="3732D1D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8.3 </w:t>
            </w:r>
          </w:p>
        </w:tc>
        <w:tc>
          <w:tcPr>
            <w:tcW w:w="1095" w:type="dxa"/>
            <w:noWrap/>
            <w:tcMar>
              <w:left w:w="28" w:type="dxa"/>
              <w:right w:w="28" w:type="dxa"/>
            </w:tcMar>
            <w:vAlign w:val="center"/>
          </w:tcPr>
          <w:p w14:paraId="68F77F1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7505AF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461934C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NO</w:t>
            </w:r>
            <w:r>
              <w:rPr>
                <w:rFonts w:hint="eastAsia" w:hAnsi="宋体" w:cs="宋体"/>
                <w:color w:val="000000"/>
                <w:spacing w:val="-10"/>
                <w:sz w:val="21"/>
                <w:szCs w:val="21"/>
                <w:vertAlign w:val="subscript"/>
              </w:rPr>
              <w:t>2</w:t>
            </w:r>
          </w:p>
        </w:tc>
        <w:tc>
          <w:tcPr>
            <w:tcW w:w="3840" w:type="dxa"/>
            <w:noWrap/>
            <w:tcMar>
              <w:left w:w="28" w:type="dxa"/>
              <w:right w:w="28" w:type="dxa"/>
            </w:tcMar>
            <w:vAlign w:val="center"/>
          </w:tcPr>
          <w:p w14:paraId="372C77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039" w:type="dxa"/>
            <w:noWrap/>
            <w:tcMar>
              <w:left w:w="28" w:type="dxa"/>
              <w:right w:w="28" w:type="dxa"/>
            </w:tcMar>
            <w:vAlign w:val="center"/>
          </w:tcPr>
          <w:p w14:paraId="29E668D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1258" w:type="dxa"/>
            <w:noWrap/>
            <w:tcMar>
              <w:left w:w="28" w:type="dxa"/>
              <w:right w:w="28" w:type="dxa"/>
            </w:tcMar>
            <w:vAlign w:val="center"/>
          </w:tcPr>
          <w:p w14:paraId="34FB40B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27</w:t>
            </w:r>
          </w:p>
        </w:tc>
        <w:tc>
          <w:tcPr>
            <w:tcW w:w="918" w:type="dxa"/>
            <w:noWrap/>
            <w:tcMar>
              <w:left w:w="28" w:type="dxa"/>
              <w:right w:w="28" w:type="dxa"/>
            </w:tcMar>
            <w:vAlign w:val="center"/>
          </w:tcPr>
          <w:p w14:paraId="361C0B3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67.5 </w:t>
            </w:r>
          </w:p>
        </w:tc>
        <w:tc>
          <w:tcPr>
            <w:tcW w:w="1095" w:type="dxa"/>
            <w:noWrap/>
            <w:tcMar>
              <w:left w:w="28" w:type="dxa"/>
              <w:right w:w="28" w:type="dxa"/>
            </w:tcMar>
            <w:vAlign w:val="center"/>
          </w:tcPr>
          <w:p w14:paraId="5DA1B01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29E7F2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522B020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CO</w:t>
            </w:r>
          </w:p>
        </w:tc>
        <w:tc>
          <w:tcPr>
            <w:tcW w:w="3840" w:type="dxa"/>
            <w:noWrap/>
            <w:tcMar>
              <w:left w:w="28" w:type="dxa"/>
              <w:right w:w="28" w:type="dxa"/>
            </w:tcMar>
            <w:vAlign w:val="center"/>
          </w:tcPr>
          <w:p w14:paraId="238F512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日均值第95百分位浓度</w:t>
            </w:r>
          </w:p>
        </w:tc>
        <w:tc>
          <w:tcPr>
            <w:tcW w:w="1039" w:type="dxa"/>
            <w:noWrap/>
            <w:tcMar>
              <w:left w:w="28" w:type="dxa"/>
              <w:right w:w="28" w:type="dxa"/>
            </w:tcMar>
            <w:vAlign w:val="center"/>
          </w:tcPr>
          <w:p w14:paraId="446F8BA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4000</w:t>
            </w:r>
          </w:p>
        </w:tc>
        <w:tc>
          <w:tcPr>
            <w:tcW w:w="1258" w:type="dxa"/>
            <w:noWrap/>
            <w:tcMar>
              <w:left w:w="28" w:type="dxa"/>
              <w:right w:w="28" w:type="dxa"/>
            </w:tcMar>
            <w:vAlign w:val="center"/>
          </w:tcPr>
          <w:p w14:paraId="3E5A5CC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1600</w:t>
            </w:r>
          </w:p>
        </w:tc>
        <w:tc>
          <w:tcPr>
            <w:tcW w:w="918" w:type="dxa"/>
            <w:noWrap/>
            <w:tcMar>
              <w:left w:w="28" w:type="dxa"/>
              <w:right w:w="28" w:type="dxa"/>
            </w:tcMar>
            <w:vAlign w:val="center"/>
          </w:tcPr>
          <w:p w14:paraId="0EB8618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40.0 </w:t>
            </w:r>
          </w:p>
        </w:tc>
        <w:tc>
          <w:tcPr>
            <w:tcW w:w="1095" w:type="dxa"/>
            <w:noWrap/>
            <w:tcMar>
              <w:left w:w="28" w:type="dxa"/>
              <w:right w:w="28" w:type="dxa"/>
            </w:tcMar>
            <w:vAlign w:val="center"/>
          </w:tcPr>
          <w:p w14:paraId="15EBCE0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2BCEB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865" w:type="dxa"/>
            <w:noWrap/>
            <w:tcMar>
              <w:left w:w="28" w:type="dxa"/>
              <w:right w:w="28" w:type="dxa"/>
            </w:tcMar>
            <w:vAlign w:val="center"/>
          </w:tcPr>
          <w:p w14:paraId="7DDC196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O</w:t>
            </w:r>
            <w:r>
              <w:rPr>
                <w:rFonts w:hint="eastAsia" w:hAnsi="宋体" w:cs="宋体"/>
                <w:color w:val="000000"/>
                <w:spacing w:val="-10"/>
                <w:sz w:val="21"/>
                <w:szCs w:val="21"/>
                <w:vertAlign w:val="subscript"/>
              </w:rPr>
              <w:t>3</w:t>
            </w:r>
          </w:p>
        </w:tc>
        <w:tc>
          <w:tcPr>
            <w:tcW w:w="3840" w:type="dxa"/>
            <w:noWrap/>
            <w:tcMar>
              <w:left w:w="28" w:type="dxa"/>
              <w:right w:w="28" w:type="dxa"/>
            </w:tcMar>
            <w:vAlign w:val="center"/>
          </w:tcPr>
          <w:p w14:paraId="40C55FA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日最大8小时滑动平均第90百分位浓度</w:t>
            </w:r>
          </w:p>
        </w:tc>
        <w:tc>
          <w:tcPr>
            <w:tcW w:w="1039" w:type="dxa"/>
            <w:noWrap/>
            <w:tcMar>
              <w:left w:w="28" w:type="dxa"/>
              <w:right w:w="28" w:type="dxa"/>
            </w:tcMar>
            <w:vAlign w:val="center"/>
          </w:tcPr>
          <w:p w14:paraId="7156AE5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160</w:t>
            </w:r>
          </w:p>
        </w:tc>
        <w:tc>
          <w:tcPr>
            <w:tcW w:w="1258" w:type="dxa"/>
            <w:noWrap/>
            <w:tcMar>
              <w:left w:w="28" w:type="dxa"/>
              <w:right w:w="28" w:type="dxa"/>
            </w:tcMar>
            <w:vAlign w:val="center"/>
          </w:tcPr>
          <w:p w14:paraId="301A81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132</w:t>
            </w:r>
          </w:p>
        </w:tc>
        <w:tc>
          <w:tcPr>
            <w:tcW w:w="918" w:type="dxa"/>
            <w:noWrap/>
            <w:tcMar>
              <w:left w:w="28" w:type="dxa"/>
              <w:right w:w="28" w:type="dxa"/>
            </w:tcMar>
            <w:vAlign w:val="center"/>
          </w:tcPr>
          <w:p w14:paraId="184FAB0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 xml:space="preserve">82.5 </w:t>
            </w:r>
          </w:p>
        </w:tc>
        <w:tc>
          <w:tcPr>
            <w:tcW w:w="1095" w:type="dxa"/>
            <w:noWrap/>
            <w:tcMar>
              <w:left w:w="28" w:type="dxa"/>
              <w:right w:w="28" w:type="dxa"/>
            </w:tcMar>
            <w:vAlign w:val="center"/>
          </w:tcPr>
          <w:p w14:paraId="527B411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bl>
    <w:p w14:paraId="3BACA79A">
      <w:pPr>
        <w:spacing w:before="240"/>
        <w:ind w:firstLine="526" w:firstLineChars="200"/>
        <w:rPr>
          <w:rFonts w:hint="eastAsia" w:ascii="黑体" w:hAnsi="黑体" w:eastAsia="黑体"/>
          <w:color w:val="000000"/>
        </w:rPr>
      </w:pPr>
      <w:r>
        <w:rPr>
          <w:rFonts w:hint="eastAsia" w:ascii="黑体" w:hAnsi="宋体" w:eastAsia="黑体"/>
          <w:color w:val="000000"/>
          <w:szCs w:val="24"/>
        </w:rPr>
        <w:t>表</w:t>
      </w:r>
      <w:r>
        <w:rPr>
          <w:rFonts w:hint="eastAsia" w:ascii="黑体" w:hAnsi="黑体" w:eastAsia="黑体" w:cs="宋体"/>
          <w:color w:val="000000"/>
          <w:szCs w:val="24"/>
        </w:rPr>
        <w:t>4.6-2</w:t>
      </w:r>
      <w:r>
        <w:rPr>
          <w:rFonts w:hint="eastAsia" w:ascii="黑体" w:hAnsi="宋体" w:eastAsia="黑体"/>
          <w:color w:val="000000"/>
          <w:szCs w:val="24"/>
        </w:rPr>
        <w:t xml:space="preserve"> </w:t>
      </w:r>
      <w:r>
        <w:rPr>
          <w:rFonts w:hint="eastAsia"/>
          <w:color w:val="000000"/>
        </w:rPr>
        <w:t xml:space="preserve">      </w:t>
      </w:r>
      <w:r>
        <w:rPr>
          <w:rFonts w:hint="eastAsia" w:ascii="黑体" w:hAnsi="黑体" w:eastAsia="黑体"/>
          <w:color w:val="000000"/>
        </w:rPr>
        <w:t xml:space="preserve"> 和田地区环境空气质量现状评价一览表</w:t>
      </w:r>
    </w:p>
    <w:tbl>
      <w:tblPr>
        <w:tblStyle w:val="48"/>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211"/>
        <w:gridCol w:w="3027"/>
        <w:gridCol w:w="1277"/>
        <w:gridCol w:w="1335"/>
        <w:gridCol w:w="1240"/>
        <w:gridCol w:w="923"/>
      </w:tblGrid>
      <w:tr w14:paraId="386F8C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146C17FC">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w:t>
            </w:r>
          </w:p>
        </w:tc>
        <w:tc>
          <w:tcPr>
            <w:tcW w:w="3027" w:type="dxa"/>
            <w:vAlign w:val="center"/>
          </w:tcPr>
          <w:p w14:paraId="11494B71">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年评价指标</w:t>
            </w:r>
          </w:p>
        </w:tc>
        <w:tc>
          <w:tcPr>
            <w:tcW w:w="1277" w:type="dxa"/>
            <w:vAlign w:val="center"/>
          </w:tcPr>
          <w:p w14:paraId="2683F05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评价标准</w:t>
            </w:r>
          </w:p>
          <w:p w14:paraId="3E8B55D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1335" w:type="dxa"/>
            <w:vAlign w:val="center"/>
          </w:tcPr>
          <w:p w14:paraId="38CA7BB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现状浓度</w:t>
            </w:r>
          </w:p>
          <w:p w14:paraId="07DE8B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（μg/m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c>
          <w:tcPr>
            <w:tcW w:w="1240" w:type="dxa"/>
            <w:vAlign w:val="center"/>
          </w:tcPr>
          <w:p w14:paraId="2D94D98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占标率（%）</w:t>
            </w:r>
          </w:p>
        </w:tc>
        <w:tc>
          <w:tcPr>
            <w:tcW w:w="923" w:type="dxa"/>
            <w:vAlign w:val="center"/>
          </w:tcPr>
          <w:p w14:paraId="68FE7CD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达标情况</w:t>
            </w:r>
          </w:p>
        </w:tc>
      </w:tr>
      <w:tr w14:paraId="247387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77BA97A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10</w:t>
            </w:r>
          </w:p>
        </w:tc>
        <w:tc>
          <w:tcPr>
            <w:tcW w:w="3027" w:type="dxa"/>
            <w:vAlign w:val="center"/>
          </w:tcPr>
          <w:p w14:paraId="537E91EA">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277" w:type="dxa"/>
            <w:vAlign w:val="center"/>
          </w:tcPr>
          <w:p w14:paraId="73137A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1335" w:type="dxa"/>
            <w:vAlign w:val="center"/>
          </w:tcPr>
          <w:p w14:paraId="13CF9F1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114</w:t>
            </w:r>
          </w:p>
        </w:tc>
        <w:tc>
          <w:tcPr>
            <w:tcW w:w="1240" w:type="dxa"/>
            <w:vAlign w:val="center"/>
          </w:tcPr>
          <w:p w14:paraId="78532782">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190</w:t>
            </w:r>
          </w:p>
        </w:tc>
        <w:tc>
          <w:tcPr>
            <w:tcW w:w="923" w:type="dxa"/>
            <w:vAlign w:val="center"/>
          </w:tcPr>
          <w:p w14:paraId="02CD9D9B">
            <w:pPr>
              <w:spacing w:line="0" w:lineRule="atLeast"/>
              <w:jc w:val="center"/>
              <w:rPr>
                <w:rFonts w:hint="eastAsia" w:hAnsi="宋体" w:cs="宋体"/>
                <w:color w:val="000000"/>
                <w:spacing w:val="-10"/>
                <w:sz w:val="21"/>
                <w:szCs w:val="21"/>
              </w:rPr>
            </w:pPr>
            <w:r>
              <w:rPr>
                <w:rFonts w:hint="eastAsia" w:hAnsi="宋体" w:cs="宋体"/>
                <w:b/>
                <w:bCs/>
                <w:color w:val="000000"/>
                <w:spacing w:val="-10"/>
                <w:sz w:val="21"/>
                <w:szCs w:val="21"/>
              </w:rPr>
              <w:t>超标</w:t>
            </w:r>
          </w:p>
        </w:tc>
      </w:tr>
      <w:tr w14:paraId="426F4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49366DFA">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PM</w:t>
            </w:r>
            <w:r>
              <w:rPr>
                <w:rFonts w:hint="eastAsia" w:hAnsi="宋体" w:cs="宋体"/>
                <w:color w:val="000000"/>
                <w:spacing w:val="-10"/>
                <w:sz w:val="21"/>
                <w:szCs w:val="21"/>
                <w:vertAlign w:val="subscript"/>
              </w:rPr>
              <w:t>2.5</w:t>
            </w:r>
          </w:p>
        </w:tc>
        <w:tc>
          <w:tcPr>
            <w:tcW w:w="3027" w:type="dxa"/>
            <w:vAlign w:val="center"/>
          </w:tcPr>
          <w:p w14:paraId="11946C5D">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277" w:type="dxa"/>
            <w:vAlign w:val="center"/>
          </w:tcPr>
          <w:p w14:paraId="4903587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w:t>
            </w:r>
          </w:p>
        </w:tc>
        <w:tc>
          <w:tcPr>
            <w:tcW w:w="1335" w:type="dxa"/>
            <w:vAlign w:val="center"/>
          </w:tcPr>
          <w:p w14:paraId="61B9816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44</w:t>
            </w:r>
          </w:p>
        </w:tc>
        <w:tc>
          <w:tcPr>
            <w:tcW w:w="1240" w:type="dxa"/>
            <w:vAlign w:val="center"/>
          </w:tcPr>
          <w:p w14:paraId="67C30395">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146.7</w:t>
            </w:r>
          </w:p>
        </w:tc>
        <w:tc>
          <w:tcPr>
            <w:tcW w:w="923" w:type="dxa"/>
            <w:vAlign w:val="center"/>
          </w:tcPr>
          <w:p w14:paraId="5D848349">
            <w:pPr>
              <w:spacing w:line="0" w:lineRule="atLeast"/>
              <w:jc w:val="center"/>
              <w:rPr>
                <w:rFonts w:hint="eastAsia" w:hAnsi="宋体" w:cs="宋体"/>
                <w:color w:val="000000"/>
                <w:spacing w:val="-10"/>
                <w:sz w:val="21"/>
                <w:szCs w:val="21"/>
              </w:rPr>
            </w:pPr>
            <w:r>
              <w:rPr>
                <w:rFonts w:hint="eastAsia" w:hAnsi="宋体" w:cs="宋体"/>
                <w:b/>
                <w:bCs/>
                <w:color w:val="000000"/>
                <w:spacing w:val="-10"/>
                <w:sz w:val="21"/>
                <w:szCs w:val="21"/>
              </w:rPr>
              <w:t>超标</w:t>
            </w:r>
          </w:p>
        </w:tc>
      </w:tr>
      <w:tr w14:paraId="7136FB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56397546">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SO</w:t>
            </w:r>
            <w:r>
              <w:rPr>
                <w:rFonts w:hint="eastAsia" w:hAnsi="宋体" w:cs="宋体"/>
                <w:color w:val="000000"/>
                <w:spacing w:val="-10"/>
                <w:sz w:val="21"/>
                <w:szCs w:val="21"/>
                <w:vertAlign w:val="subscript"/>
              </w:rPr>
              <w:t>2</w:t>
            </w:r>
          </w:p>
        </w:tc>
        <w:tc>
          <w:tcPr>
            <w:tcW w:w="3027" w:type="dxa"/>
            <w:vAlign w:val="center"/>
          </w:tcPr>
          <w:p w14:paraId="17478F7D">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277" w:type="dxa"/>
            <w:vAlign w:val="center"/>
          </w:tcPr>
          <w:p w14:paraId="0B3985C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w:t>
            </w:r>
          </w:p>
        </w:tc>
        <w:tc>
          <w:tcPr>
            <w:tcW w:w="1335" w:type="dxa"/>
            <w:vAlign w:val="center"/>
          </w:tcPr>
          <w:p w14:paraId="40E9F84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w:t>
            </w:r>
          </w:p>
        </w:tc>
        <w:tc>
          <w:tcPr>
            <w:tcW w:w="1240" w:type="dxa"/>
            <w:vAlign w:val="center"/>
          </w:tcPr>
          <w:p w14:paraId="2BD48102">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15.0</w:t>
            </w:r>
          </w:p>
        </w:tc>
        <w:tc>
          <w:tcPr>
            <w:tcW w:w="923" w:type="dxa"/>
            <w:vAlign w:val="center"/>
          </w:tcPr>
          <w:p w14:paraId="1AE6CE5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7000E2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395F12C3">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NO</w:t>
            </w:r>
            <w:r>
              <w:rPr>
                <w:rFonts w:hint="eastAsia" w:hAnsi="宋体" w:cs="宋体"/>
                <w:color w:val="000000"/>
                <w:spacing w:val="-10"/>
                <w:sz w:val="21"/>
                <w:szCs w:val="21"/>
                <w:vertAlign w:val="subscript"/>
              </w:rPr>
              <w:t>2</w:t>
            </w:r>
          </w:p>
        </w:tc>
        <w:tc>
          <w:tcPr>
            <w:tcW w:w="3027" w:type="dxa"/>
            <w:vAlign w:val="center"/>
          </w:tcPr>
          <w:p w14:paraId="7F956039">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年平均质量浓度</w:t>
            </w:r>
          </w:p>
        </w:tc>
        <w:tc>
          <w:tcPr>
            <w:tcW w:w="1277" w:type="dxa"/>
            <w:vAlign w:val="center"/>
          </w:tcPr>
          <w:p w14:paraId="74055087">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w:t>
            </w:r>
          </w:p>
        </w:tc>
        <w:tc>
          <w:tcPr>
            <w:tcW w:w="1335" w:type="dxa"/>
            <w:vAlign w:val="center"/>
          </w:tcPr>
          <w:p w14:paraId="1D3DE31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w:t>
            </w:r>
          </w:p>
        </w:tc>
        <w:tc>
          <w:tcPr>
            <w:tcW w:w="1240" w:type="dxa"/>
            <w:vAlign w:val="center"/>
          </w:tcPr>
          <w:p w14:paraId="6007DFE6">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50.0</w:t>
            </w:r>
          </w:p>
        </w:tc>
        <w:tc>
          <w:tcPr>
            <w:tcW w:w="923" w:type="dxa"/>
            <w:vAlign w:val="center"/>
          </w:tcPr>
          <w:p w14:paraId="320FB51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12F6B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341BC45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CO</w:t>
            </w:r>
          </w:p>
        </w:tc>
        <w:tc>
          <w:tcPr>
            <w:tcW w:w="3027" w:type="dxa"/>
            <w:vAlign w:val="center"/>
          </w:tcPr>
          <w:p w14:paraId="7486075C">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日均值第95百分位浓度</w:t>
            </w:r>
          </w:p>
        </w:tc>
        <w:tc>
          <w:tcPr>
            <w:tcW w:w="1277" w:type="dxa"/>
            <w:vAlign w:val="center"/>
          </w:tcPr>
          <w:p w14:paraId="70E58D53">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4000</w:t>
            </w:r>
          </w:p>
        </w:tc>
        <w:tc>
          <w:tcPr>
            <w:tcW w:w="1335" w:type="dxa"/>
            <w:vAlign w:val="center"/>
          </w:tcPr>
          <w:p w14:paraId="08F3E68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1800</w:t>
            </w:r>
          </w:p>
        </w:tc>
        <w:tc>
          <w:tcPr>
            <w:tcW w:w="1240" w:type="dxa"/>
            <w:vAlign w:val="center"/>
          </w:tcPr>
          <w:p w14:paraId="4601636C">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45.0</w:t>
            </w:r>
          </w:p>
        </w:tc>
        <w:tc>
          <w:tcPr>
            <w:tcW w:w="923" w:type="dxa"/>
            <w:vAlign w:val="center"/>
          </w:tcPr>
          <w:p w14:paraId="76C22DD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r w14:paraId="72662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12" w:type="dxa"/>
            <w:vAlign w:val="center"/>
          </w:tcPr>
          <w:p w14:paraId="231EA150">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O</w:t>
            </w:r>
            <w:r>
              <w:rPr>
                <w:rFonts w:hint="eastAsia" w:hAnsi="宋体" w:cs="宋体"/>
                <w:color w:val="000000"/>
                <w:spacing w:val="-10"/>
                <w:sz w:val="21"/>
                <w:szCs w:val="21"/>
                <w:vertAlign w:val="subscript"/>
              </w:rPr>
              <w:t>3</w:t>
            </w:r>
          </w:p>
        </w:tc>
        <w:tc>
          <w:tcPr>
            <w:tcW w:w="3027" w:type="dxa"/>
            <w:vAlign w:val="center"/>
          </w:tcPr>
          <w:p w14:paraId="105F0B08">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日最大8小时滑动平均第90百分位浓度</w:t>
            </w:r>
          </w:p>
        </w:tc>
        <w:tc>
          <w:tcPr>
            <w:tcW w:w="1277" w:type="dxa"/>
            <w:vAlign w:val="center"/>
          </w:tcPr>
          <w:p w14:paraId="117C776E">
            <w:pPr>
              <w:topLinePunct/>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160</w:t>
            </w:r>
          </w:p>
        </w:tc>
        <w:tc>
          <w:tcPr>
            <w:tcW w:w="1335" w:type="dxa"/>
            <w:vAlign w:val="center"/>
          </w:tcPr>
          <w:p w14:paraId="18B4FB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124</w:t>
            </w:r>
          </w:p>
        </w:tc>
        <w:tc>
          <w:tcPr>
            <w:tcW w:w="1240" w:type="dxa"/>
            <w:vAlign w:val="center"/>
          </w:tcPr>
          <w:p w14:paraId="24E19994">
            <w:pPr>
              <w:widowControl/>
              <w:spacing w:line="0" w:lineRule="atLeast"/>
              <w:jc w:val="center"/>
              <w:textAlignment w:val="center"/>
              <w:rPr>
                <w:rFonts w:hint="eastAsia" w:hAnsi="宋体" w:cs="宋体"/>
                <w:color w:val="000000"/>
                <w:spacing w:val="-10"/>
                <w:kern w:val="21"/>
                <w:sz w:val="21"/>
                <w:szCs w:val="21"/>
              </w:rPr>
            </w:pPr>
            <w:r>
              <w:rPr>
                <w:rFonts w:hint="eastAsia" w:hAnsi="宋体" w:cs="宋体"/>
                <w:color w:val="000000"/>
                <w:spacing w:val="-10"/>
                <w:kern w:val="0"/>
                <w:sz w:val="21"/>
                <w:szCs w:val="21"/>
                <w:lang w:bidi="ar"/>
              </w:rPr>
              <w:t>77.5</w:t>
            </w:r>
          </w:p>
        </w:tc>
        <w:tc>
          <w:tcPr>
            <w:tcW w:w="923" w:type="dxa"/>
            <w:vAlign w:val="center"/>
          </w:tcPr>
          <w:p w14:paraId="1D3D51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达标</w:t>
            </w:r>
          </w:p>
        </w:tc>
      </w:tr>
    </w:tbl>
    <w:p w14:paraId="70E4344F">
      <w:pPr>
        <w:spacing w:before="240" w:line="480" w:lineRule="exact"/>
        <w:ind w:firstLine="526" w:firstLineChars="200"/>
        <w:rPr>
          <w:rFonts w:hint="eastAsia" w:hAnsi="宋体"/>
          <w:color w:val="000000"/>
          <w:szCs w:val="24"/>
        </w:rPr>
      </w:pPr>
      <w:r>
        <w:rPr>
          <w:rFonts w:hint="eastAsia" w:hAnsi="宋体" w:cs="宋体"/>
          <w:color w:val="000000"/>
          <w:kern w:val="0"/>
          <w:szCs w:val="24"/>
        </w:rPr>
        <w:t>由表4.6-2可知，项目所在区域阿克苏地区、和田地区PM</w:t>
      </w:r>
      <w:r>
        <w:rPr>
          <w:rFonts w:hint="eastAsia" w:hAnsi="宋体" w:cs="宋体"/>
          <w:color w:val="000000"/>
          <w:kern w:val="0"/>
          <w:szCs w:val="24"/>
          <w:vertAlign w:val="subscript"/>
        </w:rPr>
        <w:t>10</w:t>
      </w:r>
      <w:r>
        <w:rPr>
          <w:rFonts w:hint="eastAsia" w:hAnsi="宋体" w:cs="宋体"/>
          <w:color w:val="000000"/>
          <w:kern w:val="0"/>
          <w:szCs w:val="24"/>
        </w:rPr>
        <w:t>、</w:t>
      </w:r>
      <w:r>
        <w:rPr>
          <w:rFonts w:hint="eastAsia" w:hAnsi="宋体"/>
          <w:color w:val="000000"/>
          <w:spacing w:val="-10"/>
          <w:szCs w:val="24"/>
        </w:rPr>
        <w:t>PM</w:t>
      </w:r>
      <w:r>
        <w:rPr>
          <w:rFonts w:hint="eastAsia" w:hAnsi="宋体"/>
          <w:color w:val="000000"/>
          <w:spacing w:val="-10"/>
          <w:szCs w:val="24"/>
          <w:vertAlign w:val="subscript"/>
        </w:rPr>
        <w:t>2.5</w:t>
      </w:r>
      <w:r>
        <w:rPr>
          <w:rFonts w:hint="eastAsia" w:hAnsi="宋体" w:cs="宋体"/>
          <w:color w:val="000000"/>
          <w:kern w:val="0"/>
          <w:szCs w:val="24"/>
        </w:rPr>
        <w:t>年均浓度值均超过《环境空气质量标准》（GB3095-2026）中二级标准要求，即项目所在区域为不达标区。</w:t>
      </w:r>
      <w:r>
        <w:rPr>
          <w:rFonts w:hint="eastAsia" w:hAnsi="宋体"/>
          <w:color w:val="000000"/>
          <w:szCs w:val="24"/>
        </w:rPr>
        <w:t>季节性沙尘天气对环境空气质量影响很大，是造成空气质量不达标的主要因素。</w:t>
      </w:r>
    </w:p>
    <w:bookmarkEnd w:id="193"/>
    <w:p w14:paraId="158A26D3">
      <w:pPr>
        <w:autoSpaceDE w:val="0"/>
        <w:autoSpaceDN w:val="0"/>
        <w:adjustRightInd w:val="0"/>
        <w:spacing w:line="460" w:lineRule="exact"/>
        <w:outlineLvl w:val="1"/>
        <w:rPr>
          <w:rFonts w:hint="eastAsia" w:ascii="黑体" w:hAnsi="黑体" w:eastAsia="黑体" w:cs="黑体"/>
          <w:color w:val="000000"/>
          <w:sz w:val="28"/>
          <w:szCs w:val="28"/>
          <w:lang w:val="zh-CN"/>
        </w:rPr>
      </w:pPr>
      <w:bookmarkStart w:id="194" w:name="_Toc230178797"/>
      <w:bookmarkStart w:id="195" w:name="_Toc225773776"/>
      <w:bookmarkStart w:id="196" w:name="_Toc534138571"/>
      <w:r>
        <w:rPr>
          <w:rFonts w:hint="eastAsia" w:ascii="黑体" w:hAnsi="黑体" w:eastAsia="黑体" w:cs="黑体"/>
          <w:color w:val="000000"/>
          <w:sz w:val="28"/>
          <w:szCs w:val="28"/>
          <w:lang w:val="zh-CN"/>
        </w:rPr>
        <w:t>4.7 声环境现状监测与评价</w:t>
      </w:r>
      <w:bookmarkEnd w:id="194"/>
      <w:bookmarkEnd w:id="195"/>
    </w:p>
    <w:p w14:paraId="40E67F11">
      <w:pPr>
        <w:spacing w:line="480" w:lineRule="exact"/>
        <w:ind w:firstLine="526" w:firstLineChars="200"/>
        <w:rPr>
          <w:rFonts w:hint="eastAsia" w:hAnsi="宋体"/>
          <w:color w:val="000000"/>
          <w:szCs w:val="24"/>
        </w:rPr>
      </w:pPr>
      <w:r>
        <w:rPr>
          <w:rFonts w:hint="eastAsia" w:hAnsi="宋体" w:cs="宋体"/>
          <w:color w:val="000000"/>
          <w:szCs w:val="24"/>
        </w:rPr>
        <w:t>拟建工程运营期无噪声产生，故不进行声环境现状监测与评价。</w:t>
      </w:r>
    </w:p>
    <w:bookmarkEnd w:id="196"/>
    <w:p w14:paraId="0A7C73EC">
      <w:pPr>
        <w:adjustRightInd w:val="0"/>
        <w:spacing w:line="480" w:lineRule="exact"/>
        <w:rPr>
          <w:rFonts w:hAnsi="宋体"/>
          <w:color w:val="000000"/>
          <w:szCs w:val="24"/>
        </w:rPr>
      </w:pPr>
      <w:r>
        <w:rPr>
          <w:rFonts w:hAnsi="宋体"/>
          <w:color w:val="000000"/>
          <w:szCs w:val="24"/>
        </w:rPr>
        <w:br w:type="page"/>
      </w:r>
    </w:p>
    <w:p w14:paraId="0AD9FBDB">
      <w:pPr>
        <w:tabs>
          <w:tab w:val="left" w:pos="2718"/>
        </w:tabs>
        <w:spacing w:line="480" w:lineRule="exact"/>
        <w:outlineLvl w:val="0"/>
        <w:rPr>
          <w:rFonts w:ascii="黑体" w:hAnsi="黑体" w:eastAsia="黑体"/>
          <w:color w:val="000000"/>
          <w:sz w:val="32"/>
          <w:szCs w:val="32"/>
        </w:rPr>
      </w:pPr>
      <w:bookmarkStart w:id="197" w:name="_Toc208474682"/>
      <w:bookmarkStart w:id="198" w:name="_Toc198040188"/>
      <w:bookmarkStart w:id="199" w:name="_Toc230178798"/>
      <w:bookmarkStart w:id="200" w:name="_Toc198040332"/>
      <w:r>
        <w:rPr>
          <w:rFonts w:hint="eastAsia" w:ascii="黑体" w:hAnsi="黑体" w:eastAsia="黑体"/>
          <w:color w:val="000000"/>
          <w:sz w:val="32"/>
          <w:szCs w:val="32"/>
        </w:rPr>
        <w:t>5 环境影响预测与评价</w:t>
      </w:r>
      <w:bookmarkEnd w:id="197"/>
      <w:bookmarkEnd w:id="198"/>
      <w:bookmarkEnd w:id="199"/>
      <w:bookmarkEnd w:id="200"/>
    </w:p>
    <w:p w14:paraId="26BA667D">
      <w:pPr>
        <w:spacing w:line="480" w:lineRule="exact"/>
        <w:outlineLvl w:val="1"/>
        <w:rPr>
          <w:rFonts w:hint="eastAsia" w:ascii="黑体" w:hAnsi="黑体" w:eastAsia="黑体" w:cs="黑体"/>
          <w:color w:val="000000"/>
          <w:sz w:val="28"/>
          <w:szCs w:val="28"/>
          <w:lang w:bidi="ar"/>
        </w:rPr>
      </w:pPr>
      <w:bookmarkStart w:id="201" w:name="_Toc198040333"/>
      <w:bookmarkStart w:id="202" w:name="_Toc230178799"/>
      <w:bookmarkStart w:id="203" w:name="_Toc208474683"/>
      <w:bookmarkStart w:id="204" w:name="_Toc198040189"/>
      <w:bookmarkStart w:id="205" w:name="_Toc38102049"/>
      <w:r>
        <w:rPr>
          <w:rFonts w:hint="eastAsia" w:ascii="黑体" w:hAnsi="黑体" w:eastAsia="黑体" w:cs="黑体"/>
          <w:color w:val="000000"/>
          <w:sz w:val="28"/>
          <w:szCs w:val="28"/>
          <w:lang w:bidi="ar"/>
        </w:rPr>
        <w:t>5.1 生态影响评价</w:t>
      </w:r>
      <w:bookmarkEnd w:id="201"/>
      <w:bookmarkEnd w:id="202"/>
      <w:bookmarkEnd w:id="203"/>
      <w:bookmarkEnd w:id="204"/>
    </w:p>
    <w:p w14:paraId="7C87AA6C">
      <w:pPr>
        <w:tabs>
          <w:tab w:val="left" w:pos="1134"/>
        </w:tabs>
        <w:spacing w:line="480" w:lineRule="exact"/>
        <w:outlineLvl w:val="2"/>
        <w:rPr>
          <w:rFonts w:hint="eastAsia" w:hAnsi="宋体" w:cs="宋体"/>
          <w:color w:val="000000"/>
          <w:szCs w:val="24"/>
        </w:rPr>
      </w:pPr>
      <w:r>
        <w:rPr>
          <w:rFonts w:hint="eastAsia" w:hAnsi="宋体" w:cs="宋体"/>
          <w:color w:val="000000"/>
          <w:szCs w:val="24"/>
        </w:rPr>
        <w:t>5.1.1施工期生态影响分析</w:t>
      </w:r>
    </w:p>
    <w:p w14:paraId="67C0F6DC">
      <w:pPr>
        <w:spacing w:line="480" w:lineRule="exact"/>
        <w:outlineLvl w:val="3"/>
        <w:rPr>
          <w:rFonts w:hint="eastAsia"/>
          <w:color w:val="000000"/>
          <w:szCs w:val="24"/>
        </w:rPr>
      </w:pPr>
      <w:r>
        <w:rPr>
          <w:rFonts w:hint="eastAsia"/>
          <w:color w:val="000000"/>
          <w:szCs w:val="24"/>
        </w:rPr>
        <w:t>5.1.1.1地表扰动影响分析</w:t>
      </w:r>
    </w:p>
    <w:p w14:paraId="667296E0">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拟建工程占地全部为临时占地，主要为管道施工作业带及操作坑占地。</w:t>
      </w:r>
    </w:p>
    <w:p w14:paraId="2375E2C1">
      <w:pPr>
        <w:autoSpaceDE w:val="0"/>
        <w:autoSpaceDN w:val="0"/>
        <w:adjustRightInd w:val="0"/>
        <w:spacing w:line="480" w:lineRule="exact"/>
        <w:ind w:firstLine="526" w:firstLineChars="200"/>
        <w:rPr>
          <w:rFonts w:ascii="黑体" w:hAnsi="黑体" w:eastAsia="黑体"/>
          <w:color w:val="000000"/>
          <w:szCs w:val="24"/>
        </w:rPr>
      </w:pPr>
      <w:r>
        <w:rPr>
          <w:rFonts w:hint="eastAsia" w:ascii="黑体" w:hAnsi="黑体" w:eastAsia="黑体" w:cs="宋体"/>
          <w:color w:val="000000"/>
          <w:szCs w:val="24"/>
        </w:rPr>
        <w:t xml:space="preserve">表5.1-1        </w:t>
      </w:r>
      <w:r>
        <w:rPr>
          <w:rFonts w:hint="eastAsia" w:ascii="黑体" w:hAnsi="黑体" w:eastAsia="黑体" w:cs="黑体"/>
          <w:color w:val="000000"/>
          <w:szCs w:val="24"/>
        </w:rPr>
        <w:t>拟建工程占用土地情况表</w:t>
      </w:r>
      <w:r>
        <w:rPr>
          <w:rFonts w:hint="eastAsia" w:ascii="黑体" w:hAnsi="黑体" w:eastAsia="黑体" w:cs="宋体"/>
          <w:color w:val="000000"/>
          <w:szCs w:val="24"/>
        </w:rPr>
        <w:t xml:space="preserve">        </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18"/>
        <w:gridCol w:w="1291"/>
        <w:gridCol w:w="1078"/>
        <w:gridCol w:w="1172"/>
        <w:gridCol w:w="4851"/>
      </w:tblGrid>
      <w:tr w14:paraId="5B437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3" w:type="pct"/>
            <w:vMerge w:val="restart"/>
            <w:tcMar>
              <w:left w:w="28" w:type="dxa"/>
              <w:right w:w="28" w:type="dxa"/>
            </w:tcMar>
            <w:vAlign w:val="center"/>
          </w:tcPr>
          <w:p w14:paraId="76B9DD58">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序号</w:t>
            </w:r>
          </w:p>
        </w:tc>
        <w:tc>
          <w:tcPr>
            <w:tcW w:w="716" w:type="pct"/>
            <w:vMerge w:val="restart"/>
            <w:tcMar>
              <w:left w:w="28" w:type="dxa"/>
              <w:right w:w="28" w:type="dxa"/>
            </w:tcMar>
            <w:vAlign w:val="center"/>
          </w:tcPr>
          <w:p w14:paraId="1431948F">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工程内容</w:t>
            </w:r>
          </w:p>
        </w:tc>
        <w:tc>
          <w:tcPr>
            <w:tcW w:w="1248" w:type="pct"/>
            <w:gridSpan w:val="2"/>
            <w:tcMar>
              <w:left w:w="28" w:type="dxa"/>
              <w:right w:w="28" w:type="dxa"/>
            </w:tcMar>
            <w:vAlign w:val="center"/>
          </w:tcPr>
          <w:p w14:paraId="6AFCFB3E">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占地面积（hm</w:t>
            </w:r>
            <w:r>
              <w:rPr>
                <w:rFonts w:hint="eastAsia"/>
                <w:color w:val="000000"/>
                <w:spacing w:val="-10"/>
                <w:sz w:val="21"/>
                <w:szCs w:val="21"/>
                <w:vertAlign w:val="superscript"/>
              </w:rPr>
              <w:t>2</w:t>
            </w:r>
            <w:r>
              <w:rPr>
                <w:rFonts w:hint="eastAsia"/>
                <w:color w:val="000000"/>
                <w:spacing w:val="-10"/>
                <w:sz w:val="21"/>
                <w:szCs w:val="21"/>
              </w:rPr>
              <w:t>）</w:t>
            </w:r>
          </w:p>
        </w:tc>
        <w:tc>
          <w:tcPr>
            <w:tcW w:w="2691" w:type="pct"/>
            <w:vMerge w:val="restart"/>
            <w:tcMar>
              <w:left w:w="28" w:type="dxa"/>
              <w:right w:w="28" w:type="dxa"/>
            </w:tcMar>
            <w:vAlign w:val="center"/>
          </w:tcPr>
          <w:p w14:paraId="5D059B63">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备注</w:t>
            </w:r>
          </w:p>
        </w:tc>
      </w:tr>
      <w:tr w14:paraId="369CA1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3" w:type="pct"/>
            <w:vMerge w:val="continue"/>
            <w:tcMar>
              <w:left w:w="28" w:type="dxa"/>
              <w:right w:w="28" w:type="dxa"/>
            </w:tcMar>
            <w:vAlign w:val="center"/>
          </w:tcPr>
          <w:p w14:paraId="190B2521">
            <w:pPr>
              <w:pStyle w:val="195"/>
              <w:adjustRightInd w:val="0"/>
              <w:spacing w:before="0" w:line="0" w:lineRule="atLeast"/>
              <w:ind w:left="0" w:firstLine="0"/>
              <w:jc w:val="center"/>
              <w:rPr>
                <w:rFonts w:hint="eastAsia"/>
                <w:color w:val="000000"/>
                <w:spacing w:val="-10"/>
                <w:sz w:val="21"/>
                <w:szCs w:val="21"/>
              </w:rPr>
            </w:pPr>
          </w:p>
        </w:tc>
        <w:tc>
          <w:tcPr>
            <w:tcW w:w="716" w:type="pct"/>
            <w:vMerge w:val="continue"/>
            <w:tcMar>
              <w:left w:w="28" w:type="dxa"/>
              <w:right w:w="28" w:type="dxa"/>
            </w:tcMar>
            <w:vAlign w:val="center"/>
          </w:tcPr>
          <w:p w14:paraId="6423544E">
            <w:pPr>
              <w:pStyle w:val="195"/>
              <w:adjustRightInd w:val="0"/>
              <w:spacing w:before="0" w:line="0" w:lineRule="atLeast"/>
              <w:ind w:left="0" w:firstLine="0"/>
              <w:jc w:val="center"/>
              <w:rPr>
                <w:rFonts w:hint="eastAsia"/>
                <w:color w:val="000000"/>
                <w:spacing w:val="-10"/>
                <w:sz w:val="21"/>
                <w:szCs w:val="21"/>
              </w:rPr>
            </w:pPr>
          </w:p>
        </w:tc>
        <w:tc>
          <w:tcPr>
            <w:tcW w:w="598" w:type="pct"/>
            <w:tcMar>
              <w:left w:w="28" w:type="dxa"/>
              <w:right w:w="28" w:type="dxa"/>
            </w:tcMar>
            <w:vAlign w:val="center"/>
          </w:tcPr>
          <w:p w14:paraId="4F9EB627">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永久占地</w:t>
            </w:r>
          </w:p>
        </w:tc>
        <w:tc>
          <w:tcPr>
            <w:tcW w:w="650" w:type="pct"/>
            <w:tcMar>
              <w:left w:w="28" w:type="dxa"/>
              <w:right w:w="28" w:type="dxa"/>
            </w:tcMar>
            <w:vAlign w:val="center"/>
          </w:tcPr>
          <w:p w14:paraId="304135B9">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临时占地</w:t>
            </w:r>
          </w:p>
        </w:tc>
        <w:tc>
          <w:tcPr>
            <w:tcW w:w="2691" w:type="pct"/>
            <w:vMerge w:val="continue"/>
            <w:tcMar>
              <w:left w:w="28" w:type="dxa"/>
              <w:right w:w="28" w:type="dxa"/>
            </w:tcMar>
            <w:vAlign w:val="center"/>
          </w:tcPr>
          <w:p w14:paraId="50B349F3">
            <w:pPr>
              <w:pStyle w:val="195"/>
              <w:adjustRightInd w:val="0"/>
              <w:spacing w:before="0" w:line="0" w:lineRule="atLeast"/>
              <w:ind w:left="0" w:firstLine="0"/>
              <w:jc w:val="center"/>
              <w:rPr>
                <w:rFonts w:hint="eastAsia"/>
                <w:color w:val="000000"/>
                <w:spacing w:val="-10"/>
                <w:sz w:val="21"/>
                <w:szCs w:val="21"/>
              </w:rPr>
            </w:pPr>
          </w:p>
        </w:tc>
      </w:tr>
      <w:tr w14:paraId="00405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3" w:type="pct"/>
            <w:tcMar>
              <w:left w:w="28" w:type="dxa"/>
              <w:right w:w="28" w:type="dxa"/>
            </w:tcMar>
            <w:vAlign w:val="center"/>
          </w:tcPr>
          <w:p w14:paraId="6F5AE5AD">
            <w:pPr>
              <w:pStyle w:val="195"/>
              <w:adjustRightInd w:val="0"/>
              <w:spacing w:before="0" w:line="0" w:lineRule="atLeast"/>
              <w:ind w:left="0" w:firstLine="0"/>
              <w:jc w:val="center"/>
              <w:rPr>
                <w:rFonts w:hint="eastAsia"/>
                <w:color w:val="000000"/>
                <w:spacing w:val="-10"/>
                <w:sz w:val="21"/>
                <w:szCs w:val="21"/>
                <w:lang w:val="en-US"/>
              </w:rPr>
            </w:pPr>
            <w:r>
              <w:rPr>
                <w:rFonts w:hint="eastAsia"/>
                <w:color w:val="000000"/>
                <w:spacing w:val="-10"/>
                <w:sz w:val="21"/>
                <w:szCs w:val="21"/>
                <w:lang w:val="en-US"/>
              </w:rPr>
              <w:t>3</w:t>
            </w:r>
          </w:p>
        </w:tc>
        <w:tc>
          <w:tcPr>
            <w:tcW w:w="716" w:type="pct"/>
            <w:tcMar>
              <w:left w:w="28" w:type="dxa"/>
              <w:right w:w="28" w:type="dxa"/>
            </w:tcMar>
            <w:vAlign w:val="center"/>
          </w:tcPr>
          <w:p w14:paraId="4B76193A">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管线工程</w:t>
            </w:r>
          </w:p>
        </w:tc>
        <w:tc>
          <w:tcPr>
            <w:tcW w:w="598" w:type="pct"/>
            <w:tcMar>
              <w:left w:w="28" w:type="dxa"/>
              <w:right w:w="28" w:type="dxa"/>
            </w:tcMar>
            <w:vAlign w:val="center"/>
          </w:tcPr>
          <w:p w14:paraId="18ED008C">
            <w:pPr>
              <w:pStyle w:val="195"/>
              <w:adjustRightInd w:val="0"/>
              <w:spacing w:before="0" w:line="0" w:lineRule="atLeast"/>
              <w:ind w:left="0" w:firstLine="0"/>
              <w:jc w:val="center"/>
              <w:rPr>
                <w:rFonts w:hint="eastAsia"/>
                <w:color w:val="000000"/>
                <w:spacing w:val="-10"/>
                <w:sz w:val="21"/>
                <w:szCs w:val="21"/>
              </w:rPr>
            </w:pPr>
            <w:r>
              <w:rPr>
                <w:rFonts w:hint="eastAsia"/>
                <w:color w:val="000000"/>
                <w:spacing w:val="-10"/>
                <w:sz w:val="21"/>
                <w:szCs w:val="21"/>
              </w:rPr>
              <w:t>0</w:t>
            </w:r>
          </w:p>
        </w:tc>
        <w:tc>
          <w:tcPr>
            <w:tcW w:w="650" w:type="pct"/>
            <w:tcMar>
              <w:left w:w="28" w:type="dxa"/>
              <w:right w:w="28" w:type="dxa"/>
            </w:tcMar>
            <w:vAlign w:val="center"/>
          </w:tcPr>
          <w:p w14:paraId="2E30F421">
            <w:pPr>
              <w:spacing w:line="0" w:lineRule="atLeast"/>
              <w:jc w:val="center"/>
              <w:rPr>
                <w:rFonts w:hAnsi="宋体" w:cs="宋体"/>
                <w:color w:val="000000"/>
                <w:spacing w:val="-10"/>
                <w:sz w:val="21"/>
                <w:szCs w:val="21"/>
              </w:rPr>
            </w:pPr>
            <w:r>
              <w:rPr>
                <w:rFonts w:hint="eastAsia" w:hAnsi="宋体" w:cs="宋体"/>
                <w:color w:val="000000"/>
                <w:spacing w:val="-10"/>
                <w:kern w:val="0"/>
                <w:sz w:val="21"/>
                <w:szCs w:val="21"/>
                <w:lang w:bidi="ar"/>
              </w:rPr>
              <w:t>5.96</w:t>
            </w:r>
          </w:p>
        </w:tc>
        <w:tc>
          <w:tcPr>
            <w:tcW w:w="2691" w:type="pct"/>
            <w:tcMar>
              <w:left w:w="28" w:type="dxa"/>
              <w:right w:w="28" w:type="dxa"/>
            </w:tcMar>
            <w:vAlign w:val="center"/>
          </w:tcPr>
          <w:p w14:paraId="18654D65">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新建管线合计3.5km，作业带宽度按12m计；操作坑尺寸为</w:t>
            </w:r>
            <w:r>
              <w:rPr>
                <w:rFonts w:hint="eastAsia"/>
                <w:color w:val="000000"/>
                <w:sz w:val="21"/>
                <w:szCs w:val="21"/>
              </w:rPr>
              <w:t>40m×20m，合计22个操作坑</w:t>
            </w:r>
          </w:p>
        </w:tc>
      </w:tr>
    </w:tbl>
    <w:p w14:paraId="033B91A6">
      <w:pPr>
        <w:spacing w:before="240" w:line="463" w:lineRule="exact"/>
        <w:ind w:firstLine="526" w:firstLineChars="200"/>
        <w:rPr>
          <w:rFonts w:hint="eastAsia" w:hAnsi="宋体"/>
          <w:color w:val="000000"/>
          <w:szCs w:val="24"/>
        </w:rPr>
      </w:pPr>
      <w:r>
        <w:rPr>
          <w:rFonts w:hint="eastAsia"/>
          <w:color w:val="000000"/>
          <w:szCs w:val="24"/>
        </w:rPr>
        <w:t>拟建项目施工过程中对地表的扰动主要来源于管道管沟开挖及操作坑开挖。管线施工过程中，对地表扰动面积较大，对地表的破坏程度较严重，施工过程中，管沟开挖将造成区域的土壤结构发生局部变化，同时管线沿线植被将全部损失。同时在回填后，由于地表的扰动，导致土壤松紧程度发生变化，区域水土流失程度将有一定程度的加剧</w:t>
      </w:r>
      <w:r>
        <w:rPr>
          <w:rFonts w:hint="eastAsia" w:hAnsi="宋体"/>
          <w:color w:val="000000"/>
          <w:szCs w:val="24"/>
        </w:rPr>
        <w:t>。</w:t>
      </w:r>
    </w:p>
    <w:p w14:paraId="375249CA">
      <w:pPr>
        <w:spacing w:line="463" w:lineRule="exact"/>
        <w:outlineLvl w:val="3"/>
        <w:rPr>
          <w:rFonts w:hint="eastAsia" w:hAnsi="宋体" w:cs="宋体"/>
          <w:color w:val="000000"/>
          <w:kern w:val="0"/>
          <w:szCs w:val="24"/>
        </w:rPr>
      </w:pPr>
      <w:r>
        <w:rPr>
          <w:rFonts w:hint="eastAsia" w:hAnsi="宋体" w:cs="宋体"/>
          <w:color w:val="000000"/>
          <w:kern w:val="0"/>
          <w:szCs w:val="24"/>
        </w:rPr>
        <w:t>5.1.1.2 对土壤肥力的影响分析</w:t>
      </w:r>
    </w:p>
    <w:p w14:paraId="066DB673">
      <w:pPr>
        <w:spacing w:line="463" w:lineRule="exact"/>
        <w:ind w:firstLine="526" w:firstLineChars="200"/>
        <w:rPr>
          <w:rFonts w:hint="eastAsia" w:hAnsi="宋体" w:cs="宋体"/>
          <w:color w:val="000000"/>
          <w:kern w:val="0"/>
          <w:szCs w:val="24"/>
        </w:rPr>
      </w:pPr>
      <w:r>
        <w:rPr>
          <w:rFonts w:hint="eastAsia" w:hAnsi="宋体"/>
          <w:bCs/>
          <w:color w:val="000000"/>
          <w:szCs w:val="24"/>
        </w:rPr>
        <w:t>拟建项目施工过程中对土壤肥力的影响主要来源于管线施工过程，开挖过程中以机械开挖为主，若前期未对土壤构造进行调研分析，开挖过程中极易造成不同肥力的土壤混合堆放在一起，在回填过程中，管沟区域的土壤肥力发生变化，影响了管线沿线区域土壤肥力，对后续植被自然恢复造成了一定的影响</w:t>
      </w:r>
      <w:r>
        <w:rPr>
          <w:rFonts w:hint="eastAsia"/>
          <w:bCs/>
          <w:color w:val="000000"/>
        </w:rPr>
        <w:t>。</w:t>
      </w:r>
    </w:p>
    <w:p w14:paraId="1DEC0CF2">
      <w:pPr>
        <w:spacing w:line="463" w:lineRule="exact"/>
        <w:outlineLvl w:val="3"/>
        <w:rPr>
          <w:rFonts w:hint="eastAsia" w:hAnsi="宋体" w:cs="宋体"/>
          <w:color w:val="000000"/>
          <w:kern w:val="0"/>
          <w:szCs w:val="24"/>
        </w:rPr>
      </w:pPr>
      <w:r>
        <w:rPr>
          <w:rFonts w:hint="eastAsia" w:hAnsi="宋体" w:cs="宋体"/>
          <w:color w:val="000000"/>
          <w:kern w:val="0"/>
          <w:szCs w:val="24"/>
        </w:rPr>
        <w:t>5.1.1.3 对植被的影响分析</w:t>
      </w:r>
    </w:p>
    <w:p w14:paraId="374A64FC">
      <w:pPr>
        <w:spacing w:line="463" w:lineRule="exact"/>
        <w:ind w:firstLine="526" w:firstLineChars="200"/>
        <w:rPr>
          <w:rFonts w:hAnsi="宋体"/>
          <w:color w:val="000000"/>
          <w:kern w:val="0"/>
          <w:szCs w:val="24"/>
        </w:rPr>
      </w:pPr>
      <w:r>
        <w:rPr>
          <w:rFonts w:hint="eastAsia" w:cs="宋体"/>
          <w:color w:val="000000"/>
          <w:kern w:val="0"/>
          <w:szCs w:val="24"/>
        </w:rPr>
        <w:t>根据项目建设的特点，对植被环境影响主要体现在管线施工对地表植被的扰动和破坏。在施工过程中，开挖管沟区将底土翻出，使土体结构几乎完全改变。管沟开挖区域内的植被全部被破坏，管道两侧的植被则受到不同程度的破坏和影响。管线施工过程中对区域原有占地内植被彻底破坏。</w:t>
      </w:r>
    </w:p>
    <w:p w14:paraId="3966FAF2">
      <w:pPr>
        <w:autoSpaceDE w:val="0"/>
        <w:autoSpaceDN w:val="0"/>
        <w:adjustRightInd w:val="0"/>
        <w:spacing w:line="480" w:lineRule="exact"/>
        <w:ind w:firstLine="526" w:firstLineChars="200"/>
        <w:rPr>
          <w:color w:val="000000"/>
          <w:szCs w:val="24"/>
        </w:rPr>
      </w:pPr>
      <w:r>
        <w:rPr>
          <w:rFonts w:hint="eastAsia"/>
          <w:bCs/>
          <w:color w:val="000000"/>
        </w:rPr>
        <w:t>拟建工程植被影响主要表现为临时性施工对植被的破坏影响，但由于拟建工程区域地表基本无植被覆盖，仅在一些高大沙丘间低地、地下水位较高的地段生长有柽柳等植物，且项目管线临时占地范围内无植被覆盖，因此工程的建设对植被影响较小</w:t>
      </w:r>
      <w:r>
        <w:rPr>
          <w:rFonts w:hint="eastAsia"/>
          <w:color w:val="000000"/>
        </w:rPr>
        <w:t>。</w:t>
      </w:r>
    </w:p>
    <w:p w14:paraId="6AC20F81">
      <w:pPr>
        <w:spacing w:line="480" w:lineRule="exact"/>
        <w:outlineLvl w:val="3"/>
        <w:rPr>
          <w:rFonts w:hint="eastAsia" w:hAnsi="宋体" w:cs="宋体"/>
          <w:color w:val="000000"/>
          <w:kern w:val="0"/>
          <w:szCs w:val="24"/>
        </w:rPr>
      </w:pPr>
      <w:r>
        <w:rPr>
          <w:rFonts w:hint="eastAsia" w:hAnsi="宋体" w:cs="宋体"/>
          <w:color w:val="000000"/>
          <w:kern w:val="0"/>
          <w:szCs w:val="24"/>
        </w:rPr>
        <w:t>5.1.1.4 对野生动物的影响分析</w:t>
      </w:r>
    </w:p>
    <w:p w14:paraId="5FDC4876">
      <w:pPr>
        <w:spacing w:line="480" w:lineRule="exact"/>
        <w:ind w:firstLine="526" w:firstLineChars="200"/>
        <w:rPr>
          <w:rFonts w:hAnsi="宋体" w:cs="宋体"/>
          <w:color w:val="000000"/>
          <w:kern w:val="0"/>
          <w:szCs w:val="24"/>
        </w:rPr>
      </w:pPr>
      <w:r>
        <w:rPr>
          <w:rFonts w:hint="eastAsia" w:hAnsi="宋体" w:cs="宋体"/>
          <w:color w:val="000000"/>
          <w:kern w:val="0"/>
          <w:szCs w:val="24"/>
        </w:rPr>
        <w:t>（1）对野生动物生境的破坏</w:t>
      </w:r>
    </w:p>
    <w:p w14:paraId="5C8407FC">
      <w:pPr>
        <w:ind w:firstLine="526" w:firstLineChars="200"/>
        <w:rPr>
          <w:rFonts w:hAnsi="宋体" w:cs="宋体"/>
          <w:color w:val="000000"/>
          <w:kern w:val="0"/>
          <w:szCs w:val="24"/>
        </w:rPr>
      </w:pPr>
      <w:r>
        <w:rPr>
          <w:rFonts w:hint="eastAsia" w:hAnsi="宋体" w:cs="宋体"/>
          <w:color w:val="000000"/>
          <w:kern w:val="0"/>
        </w:rPr>
        <w:t>施工期间的各种人为活动，施工机械，对野生动物有一定的惊吓，破坏了其正常生境。</w:t>
      </w:r>
    </w:p>
    <w:p w14:paraId="74171013">
      <w:pPr>
        <w:spacing w:line="480" w:lineRule="exact"/>
        <w:ind w:firstLine="526" w:firstLineChars="200"/>
        <w:rPr>
          <w:rFonts w:hAnsi="宋体" w:cs="宋体"/>
          <w:color w:val="000000"/>
          <w:kern w:val="0"/>
          <w:szCs w:val="24"/>
        </w:rPr>
      </w:pPr>
      <w:r>
        <w:rPr>
          <w:rFonts w:hint="eastAsia" w:hAnsi="宋体" w:cs="宋体"/>
          <w:color w:val="000000"/>
          <w:kern w:val="0"/>
          <w:szCs w:val="24"/>
        </w:rPr>
        <w:t>（2）对野生动物分布的影响</w:t>
      </w:r>
    </w:p>
    <w:p w14:paraId="41265540">
      <w:pPr>
        <w:ind w:firstLine="526" w:firstLineChars="200"/>
        <w:rPr>
          <w:rFonts w:hint="eastAsia" w:hAnsi="宋体" w:cs="宋体"/>
          <w:color w:val="000000"/>
          <w:kern w:val="0"/>
          <w:szCs w:val="24"/>
        </w:rPr>
      </w:pPr>
      <w:r>
        <w:rPr>
          <w:rFonts w:hint="eastAsia" w:hAnsi="宋体" w:cs="宋体"/>
          <w:color w:val="000000"/>
          <w:kern w:val="0"/>
        </w:rPr>
        <w:t>在施工生产过程中，由于油田机械设备的轰鸣声惊扰，大多数野生脊椎动物种类将避行远离，使区域内单位面积上的动物种群数量下降，但此类影响对爬行类和小型啮齿类动物的干扰不大。一些伴人型鸟类等，一般在离作业区50m以远处活动，待无噪声干扰时较常见于人类生活区附近。因此，随着</w:t>
      </w:r>
      <w:r>
        <w:rPr>
          <w:rFonts w:hint="eastAsia" w:hAnsi="宋体" w:cs="宋体"/>
          <w:bCs/>
          <w:color w:val="000000"/>
        </w:rPr>
        <w:t>拟建</w:t>
      </w:r>
      <w:r>
        <w:rPr>
          <w:rFonts w:hint="eastAsia" w:hAnsi="宋体" w:cs="宋体"/>
          <w:color w:val="000000"/>
        </w:rPr>
        <w:t>工程</w:t>
      </w:r>
      <w:r>
        <w:rPr>
          <w:rFonts w:hint="eastAsia" w:hAnsi="宋体" w:cs="宋体"/>
          <w:color w:val="000000"/>
          <w:kern w:val="0"/>
        </w:rPr>
        <w:t>建设的各个过程，野生动物的种类和数量发生一定的变化，原有的荒漠型鸟类和哺乳类将逐渐避开人类活动的干扰迁至其它区域，而常见的伴人型野生动物种类有所增加。</w:t>
      </w:r>
    </w:p>
    <w:p w14:paraId="65425188">
      <w:pPr>
        <w:spacing w:line="460" w:lineRule="exact"/>
        <w:ind w:firstLine="520" w:firstLineChars="198"/>
        <w:rPr>
          <w:rFonts w:hint="eastAsia" w:hAnsi="宋体" w:cs="宋体"/>
          <w:color w:val="000000"/>
          <w:kern w:val="0"/>
          <w:szCs w:val="24"/>
        </w:rPr>
      </w:pPr>
      <w:r>
        <w:rPr>
          <w:rFonts w:hint="eastAsia" w:hAnsi="宋体" w:cs="宋体"/>
          <w:color w:val="000000"/>
          <w:kern w:val="0"/>
          <w:szCs w:val="24"/>
        </w:rPr>
        <w:t>塔中Ⅰ号气田Ⅲ区已开发多年，因而大型的野生脊椎动物早已离开此地，因而此次油田开发所影响的只是一些鼠类和鸟类。</w:t>
      </w:r>
    </w:p>
    <w:p w14:paraId="7D232C7D">
      <w:pPr>
        <w:spacing w:line="460" w:lineRule="exact"/>
        <w:outlineLvl w:val="3"/>
        <w:rPr>
          <w:rFonts w:hint="eastAsia" w:hAnsi="宋体" w:cs="宋体"/>
          <w:color w:val="000000"/>
          <w:kern w:val="0"/>
          <w:szCs w:val="24"/>
        </w:rPr>
      </w:pPr>
      <w:r>
        <w:rPr>
          <w:rFonts w:hint="eastAsia" w:hAnsi="宋体" w:cs="宋体"/>
          <w:color w:val="000000"/>
          <w:kern w:val="0"/>
          <w:szCs w:val="24"/>
        </w:rPr>
        <w:t xml:space="preserve">5.1.1.5 对生态系统的影响分析 </w:t>
      </w:r>
    </w:p>
    <w:p w14:paraId="5EF1F3DC">
      <w:pPr>
        <w:ind w:firstLine="526" w:firstLineChars="200"/>
        <w:rPr>
          <w:color w:val="000000"/>
          <w:szCs w:val="24"/>
        </w:rPr>
      </w:pPr>
      <w:r>
        <w:rPr>
          <w:rFonts w:hint="eastAsia" w:hAnsi="宋体" w:cs="宋体"/>
          <w:color w:val="000000"/>
          <w:kern w:val="0"/>
          <w:szCs w:val="24"/>
          <w:lang w:bidi="ar"/>
        </w:rPr>
        <w:t>拟建工程对生态系统的影响主要是对土地的占用以及由此带来的土壤侵蚀等，拟建工程</w:t>
      </w:r>
      <w:r>
        <w:rPr>
          <w:rFonts w:hint="eastAsia"/>
          <w:color w:val="000000"/>
          <w:szCs w:val="24"/>
        </w:rPr>
        <w:t>临时占地主要为管道施工作业带占地，占地面积约5.96h</w:t>
      </w:r>
      <w:r>
        <w:rPr>
          <w:color w:val="000000"/>
          <w:szCs w:val="24"/>
        </w:rPr>
        <w:t>m</w:t>
      </w:r>
      <w:r>
        <w:rPr>
          <w:color w:val="000000"/>
          <w:szCs w:val="24"/>
          <w:vertAlign w:val="superscript"/>
        </w:rPr>
        <w:t>2</w:t>
      </w:r>
      <w:r>
        <w:rPr>
          <w:rFonts w:hint="eastAsia" w:hAnsi="宋体"/>
          <w:color w:val="000000"/>
          <w:szCs w:val="24"/>
        </w:rPr>
        <w:t>。</w:t>
      </w:r>
      <w:r>
        <w:rPr>
          <w:rFonts w:hint="eastAsia" w:hAnsi="宋体" w:cs="宋体"/>
          <w:color w:val="000000"/>
          <w:kern w:val="0"/>
          <w:szCs w:val="24"/>
          <w:lang w:bidi="ar"/>
        </w:rPr>
        <w:t>由于管线呈线状分布在开发区块内，相对于整体油区来说是非常小且分散的。</w:t>
      </w:r>
      <w:r>
        <w:rPr>
          <w:rFonts w:hint="eastAsia" w:hAnsi="宋体" w:cs="宋体"/>
          <w:color w:val="000000"/>
          <w:kern w:val="0"/>
          <w:lang w:bidi="ar"/>
        </w:rPr>
        <w:t>施工活动、运输的噪声以及土地的占用会对</w:t>
      </w:r>
      <w:r>
        <w:rPr>
          <w:rFonts w:hint="eastAsia"/>
          <w:color w:val="000000"/>
        </w:rPr>
        <w:t>荒漠生态系统</w:t>
      </w:r>
      <w:r>
        <w:rPr>
          <w:rFonts w:hint="eastAsia" w:hAnsi="宋体" w:cs="宋体"/>
          <w:color w:val="000000"/>
          <w:kern w:val="0"/>
          <w:lang w:bidi="ar"/>
        </w:rPr>
        <w:t xml:space="preserve">植被生长地和动物栖息地造成直接破坏，使生态系统的生境特征发生变化，导致动植物生境破碎化，如项目建设区域动物活动的干扰等。由于工程建设一般为局限于小范围的施工活动，工程施工会对它们产生影响，造成部分栖息地和活动范围的丧失，使其迁往他处，但评价区动物多为常见种类，在评价区及周边地区分布广泛，且一般具有趋避性，随着工程建设的结束，生态环境逐渐恢复，种群又会得以恢复。在施工结束后及时进行施工迹地恢复，采取严格生态恢复、水土保持、防沙治沙等措施，区域生态系统服务功能能够在较短的时间内得到有效地恢复。 </w:t>
      </w:r>
    </w:p>
    <w:p w14:paraId="69B5524C">
      <w:pPr>
        <w:spacing w:line="460" w:lineRule="exact"/>
        <w:ind w:firstLine="526" w:firstLineChars="200"/>
        <w:rPr>
          <w:color w:val="000000"/>
          <w:szCs w:val="24"/>
        </w:rPr>
      </w:pPr>
      <w:r>
        <w:rPr>
          <w:rFonts w:hint="eastAsia" w:hAnsi="宋体" w:cs="宋体"/>
          <w:color w:val="000000"/>
          <w:kern w:val="0"/>
          <w:szCs w:val="24"/>
          <w:lang w:bidi="ar"/>
        </w:rPr>
        <w:t>从整个评价区来看，拟建工程不会减少生态系统的数量，不会改变评价区生态系统的完整性和稳定性。评价认为，采取必要的生态保护措施后，对评价区内的生态系统和生态系统服务功能的影响较小。</w:t>
      </w:r>
    </w:p>
    <w:p w14:paraId="6C6495EE">
      <w:pPr>
        <w:spacing w:line="480" w:lineRule="exact"/>
        <w:outlineLvl w:val="3"/>
        <w:rPr>
          <w:rFonts w:hint="eastAsia" w:hAnsi="宋体" w:cs="宋体"/>
          <w:color w:val="000000"/>
          <w:szCs w:val="24"/>
        </w:rPr>
      </w:pPr>
      <w:r>
        <w:rPr>
          <w:rFonts w:hint="eastAsia" w:hAnsi="宋体" w:cs="宋体"/>
          <w:color w:val="000000"/>
          <w:szCs w:val="24"/>
        </w:rPr>
        <w:t xml:space="preserve">5.1.1.7 </w:t>
      </w:r>
      <w:r>
        <w:rPr>
          <w:rFonts w:hint="eastAsia"/>
          <w:color w:val="000000"/>
          <w:szCs w:val="24"/>
        </w:rPr>
        <w:t>水土</w:t>
      </w:r>
      <w:r>
        <w:rPr>
          <w:rFonts w:hint="eastAsia" w:hAnsi="宋体" w:cs="宋体"/>
          <w:color w:val="000000"/>
          <w:szCs w:val="24"/>
        </w:rPr>
        <w:t>流失影响分析</w:t>
      </w:r>
    </w:p>
    <w:p w14:paraId="2C86C1E7">
      <w:pPr>
        <w:spacing w:line="480" w:lineRule="exact"/>
        <w:ind w:firstLine="526" w:firstLineChars="200"/>
        <w:rPr>
          <w:rFonts w:hint="eastAsia" w:hAnsi="宋体" w:cs="宋体"/>
          <w:color w:val="000000"/>
          <w:szCs w:val="24"/>
        </w:rPr>
      </w:pPr>
      <w:bookmarkStart w:id="206" w:name="4.2.1工程建设与生产对水土流失的影响"/>
      <w:bookmarkEnd w:id="206"/>
      <w:r>
        <w:rPr>
          <w:rFonts w:hint="eastAsia" w:hAnsi="宋体" w:cs="宋体"/>
          <w:color w:val="000000"/>
          <w:szCs w:val="24"/>
        </w:rPr>
        <w:t>拟建工程建设过程中人为活动造成水土流失的原因主要是破坏地面表层结构以及大风季节临时堆土对周边环境带来的影响，可能造成的水土流失危害主要有以下几个方面：</w:t>
      </w:r>
    </w:p>
    <w:p w14:paraId="0AD1C663">
      <w:pPr>
        <w:spacing w:line="480" w:lineRule="exact"/>
        <w:ind w:firstLine="526" w:firstLineChars="200"/>
        <w:rPr>
          <w:rFonts w:hAnsi="宋体" w:cs="宋体"/>
          <w:color w:val="000000"/>
          <w:szCs w:val="24"/>
        </w:rPr>
      </w:pPr>
      <w:r>
        <w:rPr>
          <w:rFonts w:hint="eastAsia" w:hAnsi="宋体" w:cs="宋体"/>
          <w:color w:val="000000"/>
          <w:szCs w:val="24"/>
        </w:rPr>
        <w:t>（</w:t>
      </w:r>
      <w:r>
        <w:rPr>
          <w:rFonts w:hAnsi="宋体" w:cs="宋体"/>
          <w:color w:val="000000"/>
          <w:szCs w:val="24"/>
        </w:rPr>
        <w:t>1</w:t>
      </w:r>
      <w:r>
        <w:rPr>
          <w:rFonts w:hint="eastAsia" w:hAnsi="宋体" w:cs="宋体"/>
          <w:color w:val="000000"/>
          <w:szCs w:val="24"/>
        </w:rPr>
        <w:t>）扩大侵蚀面积，加剧水土流失。拟建工程地处内陆地区，风沙较大，空气干燥，加上</w:t>
      </w:r>
      <w:r>
        <w:rPr>
          <w:rFonts w:hint="eastAsia"/>
          <w:color w:val="000000"/>
          <w:szCs w:val="24"/>
        </w:rPr>
        <w:t>地表植被覆盖度较低</w:t>
      </w:r>
      <w:r>
        <w:rPr>
          <w:rFonts w:hint="eastAsia" w:hAnsi="宋体" w:cs="宋体"/>
          <w:color w:val="000000"/>
          <w:szCs w:val="24"/>
        </w:rPr>
        <w:t>，项目建设过程中对原地貌的扰动大大降低了项目占地范围内的土壤抗侵蚀能力，若在施工过程中不加以治理和防护，遇大风天气易产生严重的水土流失现象。</w:t>
      </w:r>
    </w:p>
    <w:p w14:paraId="61F71D85">
      <w:pPr>
        <w:spacing w:line="460" w:lineRule="exact"/>
        <w:ind w:firstLine="526" w:firstLineChars="200"/>
        <w:rPr>
          <w:rFonts w:hAnsi="宋体" w:cs="宋体"/>
          <w:color w:val="000000"/>
          <w:szCs w:val="24"/>
        </w:rPr>
      </w:pPr>
      <w:r>
        <w:rPr>
          <w:rFonts w:hint="eastAsia" w:hAnsi="宋体" w:cs="宋体"/>
          <w:color w:val="000000"/>
          <w:szCs w:val="24"/>
        </w:rPr>
        <w:t>（</w:t>
      </w:r>
      <w:r>
        <w:rPr>
          <w:rFonts w:hAnsi="宋体" w:cs="宋体"/>
          <w:color w:val="000000"/>
          <w:szCs w:val="24"/>
        </w:rPr>
        <w:t>2</w:t>
      </w:r>
      <w:r>
        <w:rPr>
          <w:rFonts w:hint="eastAsia" w:hAnsi="宋体" w:cs="宋体"/>
          <w:color w:val="000000"/>
          <w:szCs w:val="24"/>
        </w:rPr>
        <w:t>）扰动土地面积、降低土壤抗侵蚀能力，工程建设由于车辆行驶，改变了扰动区域的原地貌、土壤结构和地面物质组成，降低了土壤抗侵蚀能力。</w:t>
      </w:r>
    </w:p>
    <w:p w14:paraId="24280429">
      <w:pPr>
        <w:spacing w:line="460" w:lineRule="exact"/>
        <w:ind w:firstLine="526" w:firstLineChars="200"/>
        <w:rPr>
          <w:rFonts w:hAnsi="宋体" w:cs="宋体"/>
          <w:color w:val="000000"/>
          <w:szCs w:val="24"/>
        </w:rPr>
      </w:pPr>
      <w:r>
        <w:rPr>
          <w:rFonts w:hint="eastAsia" w:hAnsi="宋体" w:cs="宋体"/>
          <w:color w:val="000000"/>
          <w:szCs w:val="24"/>
        </w:rPr>
        <w:t>拟建工程所在区域属于塔里木河流域水土流失重点治理区</w:t>
      </w:r>
      <w:r>
        <w:rPr>
          <w:rFonts w:hint="eastAsia"/>
          <w:color w:val="000000"/>
          <w:szCs w:val="24"/>
        </w:rPr>
        <w:t>范围，区域地表植被覆盖度较低，生态环境质量较差，应加强</w:t>
      </w:r>
      <w:r>
        <w:rPr>
          <w:rFonts w:hint="eastAsia" w:hAnsi="宋体" w:cs="宋体"/>
          <w:color w:val="000000"/>
          <w:szCs w:val="24"/>
        </w:rPr>
        <w:t>水土保持综合治理工作，减小因拟建工程的建设而产生的水土流失。</w:t>
      </w:r>
    </w:p>
    <w:p w14:paraId="22D64024">
      <w:pPr>
        <w:spacing w:line="460" w:lineRule="exact"/>
        <w:outlineLvl w:val="3"/>
        <w:rPr>
          <w:rFonts w:hint="eastAsia" w:hAnsi="宋体"/>
          <w:color w:val="000000"/>
          <w:szCs w:val="24"/>
        </w:rPr>
      </w:pPr>
      <w:r>
        <w:rPr>
          <w:rFonts w:hint="eastAsia" w:hAnsi="宋体" w:cs="宋体"/>
          <w:color w:val="000000"/>
          <w:szCs w:val="24"/>
        </w:rPr>
        <w:t>5.1.1.8</w:t>
      </w:r>
      <w:r>
        <w:rPr>
          <w:rFonts w:hint="eastAsia" w:hAnsi="宋体"/>
          <w:color w:val="000000"/>
          <w:szCs w:val="24"/>
        </w:rPr>
        <w:t xml:space="preserve"> 防沙治沙分析</w:t>
      </w:r>
    </w:p>
    <w:p w14:paraId="7D6DA608">
      <w:pPr>
        <w:spacing w:line="460" w:lineRule="exact"/>
        <w:ind w:firstLine="526" w:firstLineChars="200"/>
        <w:rPr>
          <w:rFonts w:hint="eastAsia" w:hAnsi="宋体" w:cs="宋体"/>
          <w:color w:val="000000"/>
          <w:szCs w:val="24"/>
        </w:rPr>
      </w:pPr>
      <w:r>
        <w:rPr>
          <w:rFonts w:hint="eastAsia" w:hAnsi="宋体" w:cs="宋体"/>
          <w:color w:val="000000"/>
          <w:szCs w:val="24"/>
        </w:rPr>
        <w:t>（1）占用和影响的沙漠、戈壁、沙地等其他沙化土地的面积等情况。</w:t>
      </w:r>
    </w:p>
    <w:p w14:paraId="241578C6">
      <w:pPr>
        <w:spacing w:line="460" w:lineRule="exact"/>
        <w:ind w:firstLine="526" w:firstLineChars="200"/>
        <w:rPr>
          <w:rFonts w:hint="eastAsia"/>
          <w:color w:val="000000"/>
          <w:szCs w:val="24"/>
        </w:rPr>
      </w:pPr>
      <w:r>
        <w:rPr>
          <w:rFonts w:hint="eastAsia" w:hAnsi="宋体" w:cs="宋体"/>
          <w:color w:val="000000"/>
          <w:szCs w:val="24"/>
        </w:rPr>
        <w:t>拟建工程总占地面积5.96hm</w:t>
      </w:r>
      <w:r>
        <w:rPr>
          <w:rFonts w:hint="eastAsia" w:hAnsi="宋体" w:cs="宋体"/>
          <w:color w:val="000000"/>
          <w:szCs w:val="24"/>
          <w:vertAlign w:val="superscript"/>
        </w:rPr>
        <w:t>2</w:t>
      </w:r>
      <w:r>
        <w:rPr>
          <w:rFonts w:hint="eastAsia" w:hAnsi="宋体" w:cs="宋体"/>
          <w:color w:val="000000"/>
          <w:szCs w:val="24"/>
        </w:rPr>
        <w:t>（全部为临时占地面积）。</w:t>
      </w:r>
    </w:p>
    <w:p w14:paraId="00316B71">
      <w:pPr>
        <w:spacing w:line="460" w:lineRule="exact"/>
        <w:ind w:firstLine="526" w:firstLineChars="200"/>
        <w:rPr>
          <w:rFonts w:hint="eastAsia" w:hAnsi="宋体" w:cs="宋体"/>
          <w:color w:val="000000"/>
          <w:szCs w:val="24"/>
        </w:rPr>
      </w:pPr>
      <w:r>
        <w:rPr>
          <w:rFonts w:hint="eastAsia" w:hAnsi="宋体" w:cs="宋体"/>
          <w:color w:val="000000"/>
          <w:szCs w:val="24"/>
        </w:rPr>
        <w:t>（2）项目实施过程中的弃土、石、渣地等对当地土地沙化和沙尘天气的影响。</w:t>
      </w:r>
    </w:p>
    <w:p w14:paraId="1C2BD19F">
      <w:pPr>
        <w:spacing w:line="460" w:lineRule="exact"/>
        <w:ind w:firstLine="526" w:firstLineChars="200"/>
        <w:rPr>
          <w:rFonts w:hint="eastAsia" w:hAnsi="宋体" w:cs="宋体"/>
          <w:color w:val="000000"/>
          <w:szCs w:val="24"/>
        </w:rPr>
      </w:pPr>
      <w:r>
        <w:rPr>
          <w:rFonts w:hint="eastAsia" w:hAnsi="宋体" w:cs="宋体"/>
          <w:color w:val="000000"/>
          <w:szCs w:val="24"/>
        </w:rPr>
        <w:t>拟建工程管沟开挖作业时会产生土石方，产生的土石方全部用于回填管沟。项目建设过程中对原地貌的扰动将降低项目占地范围内的土壤抗侵蚀能力，造成土地沙化；此外，由于项目地处内陆地区，风沙较大，空气干燥，加上地表植被覆盖度低，若项目土石方堆存过程中未采取防尘网苫盖、洒水抑尘等措施，地表沙化的土壤及废土等遇大风天气易产生严重的扬尘，形成沙尘天气。</w:t>
      </w:r>
    </w:p>
    <w:p w14:paraId="5EDACC37">
      <w:pPr>
        <w:spacing w:line="460" w:lineRule="exact"/>
        <w:ind w:firstLine="526" w:firstLineChars="200"/>
        <w:rPr>
          <w:rFonts w:hint="eastAsia" w:hAnsi="宋体" w:cs="宋体"/>
          <w:color w:val="000000"/>
          <w:szCs w:val="24"/>
        </w:rPr>
      </w:pPr>
      <w:r>
        <w:rPr>
          <w:rFonts w:hint="eastAsia" w:hAnsi="宋体" w:cs="宋体"/>
          <w:color w:val="000000"/>
          <w:szCs w:val="24"/>
        </w:rPr>
        <w:t>（3）损坏的防沙治沙设施（包括生物、物理或化学固沙等措施）。</w:t>
      </w:r>
    </w:p>
    <w:p w14:paraId="70A16870">
      <w:pPr>
        <w:spacing w:line="460" w:lineRule="exact"/>
        <w:ind w:firstLine="526" w:firstLineChars="200"/>
        <w:rPr>
          <w:rFonts w:hint="eastAsia" w:hAnsi="宋体" w:cs="宋体"/>
          <w:color w:val="000000"/>
          <w:szCs w:val="24"/>
        </w:rPr>
      </w:pPr>
      <w:r>
        <w:rPr>
          <w:rFonts w:hint="eastAsia" w:hAnsi="宋体" w:cs="宋体"/>
          <w:color w:val="000000"/>
          <w:szCs w:val="24"/>
        </w:rPr>
        <w:t>拟建工程占地范围不涉及已建设的防沙治沙设施。</w:t>
      </w:r>
    </w:p>
    <w:p w14:paraId="5EFF7B41">
      <w:pPr>
        <w:spacing w:line="460" w:lineRule="exact"/>
        <w:ind w:firstLine="526" w:firstLineChars="200"/>
        <w:rPr>
          <w:rFonts w:hint="eastAsia" w:hAnsi="宋体" w:cs="宋体"/>
          <w:color w:val="000000"/>
          <w:szCs w:val="24"/>
        </w:rPr>
      </w:pPr>
      <w:r>
        <w:rPr>
          <w:rFonts w:hint="eastAsia" w:hAnsi="宋体" w:cs="宋体"/>
          <w:color w:val="000000"/>
          <w:szCs w:val="24"/>
        </w:rPr>
        <w:t>（4）可能造成的土地沙化和沙尘等生态危害。</w:t>
      </w:r>
    </w:p>
    <w:p w14:paraId="28C3CE55">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项目施工期主要包括管沟开挖等。施工过程中，对原有地表土壤造成扰动，造成地表原有结构的破坏，降低风沙区地表稳定性，在风蚀的作用下，有可能使流动风沙土移动速度增加，加快该区域沙漠化进程。上述施工作业过程中，对原地貌的扰动大大降低了项目占地范围内的土壤抗侵蚀能力，若未采取相应的防护措施，遇大风天气，极易加重区域沙尘天气。</w:t>
      </w:r>
    </w:p>
    <w:p w14:paraId="64D002F0">
      <w:pPr>
        <w:tabs>
          <w:tab w:val="left" w:pos="1134"/>
        </w:tabs>
        <w:spacing w:line="460" w:lineRule="exact"/>
        <w:outlineLvl w:val="2"/>
        <w:rPr>
          <w:rFonts w:hint="eastAsia" w:hAnsi="宋体" w:cs="宋体"/>
          <w:color w:val="000000"/>
          <w:szCs w:val="24"/>
        </w:rPr>
      </w:pPr>
      <w:r>
        <w:rPr>
          <w:rFonts w:hint="eastAsia" w:hAnsi="宋体" w:cs="宋体"/>
          <w:color w:val="000000"/>
          <w:szCs w:val="24"/>
        </w:rPr>
        <w:t>5.1.2运营期生态影响分析</w:t>
      </w:r>
    </w:p>
    <w:p w14:paraId="7232FA4B">
      <w:pPr>
        <w:spacing w:line="460" w:lineRule="exact"/>
        <w:ind w:firstLine="526" w:firstLineChars="200"/>
        <w:rPr>
          <w:rFonts w:hAnsi="宋体" w:cs="宋体"/>
          <w:color w:val="000000"/>
          <w:szCs w:val="24"/>
        </w:rPr>
      </w:pPr>
      <w:r>
        <w:rPr>
          <w:rFonts w:hint="eastAsia" w:hAnsi="宋体" w:cs="宋体"/>
          <w:color w:val="000000"/>
          <w:szCs w:val="24"/>
        </w:rPr>
        <w:t>项目运营期对生态的影响主要表现在对野生动物、生态系统完整性等影响。</w:t>
      </w:r>
    </w:p>
    <w:p w14:paraId="1778E6C7">
      <w:pPr>
        <w:spacing w:line="460" w:lineRule="exact"/>
        <w:ind w:firstLine="526" w:firstLineChars="200"/>
        <w:rPr>
          <w:rFonts w:hAnsi="宋体"/>
          <w:color w:val="000000"/>
          <w:szCs w:val="24"/>
        </w:rPr>
      </w:pPr>
      <w:r>
        <w:rPr>
          <w:rFonts w:hint="eastAsia" w:hAnsi="宋体"/>
          <w:color w:val="000000"/>
          <w:szCs w:val="24"/>
        </w:rPr>
        <w:t>（1）对野生动物的影响分析</w:t>
      </w:r>
    </w:p>
    <w:p w14:paraId="41C57DA4">
      <w:pPr>
        <w:spacing w:line="460" w:lineRule="exact"/>
        <w:ind w:firstLine="526" w:firstLineChars="200"/>
        <w:rPr>
          <w:rFonts w:hint="eastAsia" w:hAnsi="宋体" w:cs="宋体"/>
          <w:color w:val="000000"/>
          <w:szCs w:val="24"/>
        </w:rPr>
      </w:pPr>
      <w:r>
        <w:rPr>
          <w:rFonts w:hint="eastAsia" w:hAnsi="宋体" w:cs="宋体"/>
          <w:color w:val="000000"/>
          <w:szCs w:val="24"/>
        </w:rPr>
        <w:t>运营期项目不新增用地，占地对野生动物的影响不再增加。车辆运输和机械噪声相对施工期有所减小，对野生动物的影响也相对减小。人为活动相对施工也有所减少，并加强管理禁止油气田职工对野生动物的猎杀。</w:t>
      </w:r>
    </w:p>
    <w:p w14:paraId="6E0D1CE4">
      <w:pPr>
        <w:spacing w:line="460" w:lineRule="exact"/>
        <w:ind w:firstLine="526" w:firstLineChars="200"/>
        <w:rPr>
          <w:rFonts w:hAnsi="宋体"/>
          <w:color w:val="000000"/>
          <w:szCs w:val="24"/>
        </w:rPr>
      </w:pPr>
      <w:r>
        <w:rPr>
          <w:rFonts w:hint="eastAsia" w:hAnsi="宋体" w:cs="宋体"/>
          <w:color w:val="000000"/>
          <w:szCs w:val="24"/>
        </w:rPr>
        <w:t>运营期道路行车主要是油气田巡线的自备车辆，车流量很小，夜间无车行驶，一般情况下，野生动物会自行规避或适应，不会对野生动物产生明显影响。</w:t>
      </w:r>
      <w:r>
        <w:rPr>
          <w:rFonts w:hint="eastAsia" w:hAnsi="宋体"/>
          <w:color w:val="000000"/>
          <w:szCs w:val="24"/>
        </w:rPr>
        <w:t>并从管理上对工作人员加强宣传教育，切实提高保护生态环境的意识，车辆行驶过程中不得鸣笛惊吓野生动物，</w:t>
      </w:r>
      <w:r>
        <w:rPr>
          <w:rFonts w:hint="eastAsia" w:hAnsi="宋体" w:cs="宋体"/>
          <w:color w:val="000000"/>
          <w:szCs w:val="24"/>
        </w:rPr>
        <w:t>进行野生动物保护法的宣传教育，严禁惊扰、猎杀野生动物</w:t>
      </w:r>
      <w:r>
        <w:rPr>
          <w:rFonts w:hint="eastAsia" w:hAnsi="宋体"/>
          <w:color w:val="000000"/>
          <w:szCs w:val="24"/>
        </w:rPr>
        <w:t>。</w:t>
      </w:r>
    </w:p>
    <w:p w14:paraId="1A8B1D59">
      <w:pPr>
        <w:spacing w:line="460" w:lineRule="exact"/>
        <w:ind w:firstLine="526" w:firstLineChars="200"/>
        <w:rPr>
          <w:rFonts w:hAnsi="宋体"/>
          <w:color w:val="000000"/>
          <w:szCs w:val="24"/>
        </w:rPr>
      </w:pPr>
      <w:r>
        <w:rPr>
          <w:rFonts w:hint="eastAsia" w:hAnsi="宋体"/>
          <w:color w:val="000000"/>
          <w:szCs w:val="24"/>
        </w:rPr>
        <w:t>（2）</w:t>
      </w:r>
      <w:r>
        <w:rPr>
          <w:rFonts w:hint="eastAsia" w:hAnsi="宋体" w:cs="宋体"/>
          <w:color w:val="000000"/>
          <w:szCs w:val="24"/>
        </w:rPr>
        <w:t>生态系统完整性</w:t>
      </w:r>
      <w:r>
        <w:rPr>
          <w:rFonts w:hint="eastAsia" w:hAnsi="宋体"/>
          <w:color w:val="000000"/>
          <w:szCs w:val="24"/>
        </w:rPr>
        <w:t>影响分析</w:t>
      </w:r>
    </w:p>
    <w:p w14:paraId="333A272D">
      <w:pPr>
        <w:tabs>
          <w:tab w:val="left" w:pos="1134"/>
        </w:tabs>
        <w:spacing w:line="460" w:lineRule="exact"/>
        <w:ind w:firstLine="526" w:firstLineChars="200"/>
        <w:rPr>
          <w:rFonts w:hint="eastAsia" w:hAnsi="宋体" w:cs="宋体"/>
          <w:color w:val="000000"/>
          <w:szCs w:val="24"/>
        </w:rPr>
      </w:pPr>
      <w:r>
        <w:rPr>
          <w:rFonts w:hint="eastAsia" w:hAnsi="宋体" w:cs="宋体"/>
          <w:color w:val="000000"/>
          <w:szCs w:val="24"/>
        </w:rPr>
        <w:t>在油气田开发如管线建设中，新设施的增加不但不会使区域内异质化程度降低，反而在一定程度上会增加区域的异质性。区域的异质性越大，抵抗外界干扰的能力就越大，同时</w:t>
      </w:r>
      <w:r>
        <w:rPr>
          <w:rFonts w:hint="eastAsia" w:hAnsi="宋体" w:cs="宋体"/>
          <w:color w:val="000000"/>
          <w:szCs w:val="24"/>
          <w:lang w:val="zh-CN"/>
        </w:rPr>
        <w:t>由于项目占地面积有限，区域生态系统仍保持开放、物质循环和能量流动</w:t>
      </w:r>
      <w:r>
        <w:rPr>
          <w:rFonts w:hint="eastAsia" w:hAnsi="宋体" w:cs="宋体"/>
          <w:color w:val="000000"/>
          <w:szCs w:val="24"/>
        </w:rPr>
        <w:t>。因而项目开发建设不会改变区域内景观生态的稳定性及完整性。</w:t>
      </w:r>
    </w:p>
    <w:p w14:paraId="3C66AA22">
      <w:pPr>
        <w:tabs>
          <w:tab w:val="left" w:pos="1134"/>
        </w:tabs>
        <w:spacing w:line="460" w:lineRule="exact"/>
        <w:outlineLvl w:val="2"/>
        <w:rPr>
          <w:rFonts w:hint="eastAsia" w:hAnsi="宋体" w:cs="宋体"/>
          <w:color w:val="000000"/>
          <w:szCs w:val="24"/>
        </w:rPr>
      </w:pPr>
      <w:r>
        <w:rPr>
          <w:rFonts w:hint="eastAsia" w:hAnsi="宋体" w:cs="宋体"/>
          <w:color w:val="000000"/>
          <w:szCs w:val="24"/>
        </w:rPr>
        <w:t>5.1.3退役期生态影响分析</w:t>
      </w:r>
    </w:p>
    <w:p w14:paraId="16724DB2">
      <w:pPr>
        <w:spacing w:line="460" w:lineRule="exact"/>
        <w:ind w:firstLine="526" w:firstLineChars="200"/>
        <w:rPr>
          <w:rFonts w:hint="eastAsia" w:hAnsi="宋体" w:cs="宋体"/>
          <w:color w:val="000000"/>
          <w:szCs w:val="24"/>
        </w:rPr>
      </w:pPr>
      <w:r>
        <w:rPr>
          <w:rFonts w:hint="eastAsia" w:hAnsi="宋体" w:cs="宋体"/>
          <w:color w:val="000000"/>
        </w:rPr>
        <w:t>随着油田开采的不断进行，管线由于腐蚀老化等原因不能承担油田输送任务而停用。退役期埋地管线维持现状，避免因开挖管线对区域生态环境造成二次破坏。管线内物质应清空干净，并按要求进行清洗，管线两端使用盲板封堵；地上管线清洗干净后进行分段拆卸，拆卸后的管线拉运至库房存放，以备后续使用</w:t>
      </w:r>
      <w:r>
        <w:rPr>
          <w:rFonts w:hint="eastAsia" w:hAnsi="宋体"/>
          <w:color w:val="000000"/>
          <w:szCs w:val="24"/>
        </w:rPr>
        <w:t>。</w:t>
      </w:r>
    </w:p>
    <w:p w14:paraId="6276B20C">
      <w:pPr>
        <w:tabs>
          <w:tab w:val="left" w:pos="1134"/>
        </w:tabs>
        <w:spacing w:line="460" w:lineRule="exact"/>
        <w:outlineLvl w:val="2"/>
        <w:rPr>
          <w:rFonts w:hint="eastAsia" w:hAnsi="宋体" w:cs="宋体"/>
          <w:color w:val="000000"/>
          <w:szCs w:val="24"/>
        </w:rPr>
      </w:pPr>
      <w:r>
        <w:rPr>
          <w:rFonts w:hint="eastAsia" w:hAnsi="宋体" w:cs="宋体"/>
          <w:color w:val="000000"/>
          <w:szCs w:val="24"/>
        </w:rPr>
        <w:t>5.1.4生态影响评价结论</w:t>
      </w:r>
    </w:p>
    <w:p w14:paraId="7FB7CD0C">
      <w:pPr>
        <w:tabs>
          <w:tab w:val="left" w:pos="1134"/>
        </w:tabs>
        <w:spacing w:line="480" w:lineRule="exact"/>
        <w:ind w:firstLine="526" w:firstLineChars="200"/>
        <w:rPr>
          <w:rFonts w:hint="eastAsia" w:hAnsi="宋体" w:cs="宋体"/>
          <w:color w:val="000000"/>
          <w:szCs w:val="24"/>
        </w:rPr>
      </w:pPr>
      <w:r>
        <w:rPr>
          <w:rFonts w:hint="eastAsia" w:hAnsi="宋体" w:cs="宋体"/>
          <w:color w:val="000000"/>
          <w:szCs w:val="24"/>
        </w:rPr>
        <w:t>拟建工程对生态环境的影响主要在施工期，主要为临时施工等建设带来的生态环境影响。临时性工程占地仅在施工阶段对沿线土地利用产生短期影响，且在施工结束后能恢复原有的利用功能。总体而言，施工结束后，随着生态补偿或生态恢复措施的实施，临时施工占地影响将逐渐消失。</w:t>
      </w:r>
    </w:p>
    <w:p w14:paraId="0C0A541A">
      <w:pPr>
        <w:spacing w:line="480" w:lineRule="exact"/>
        <w:ind w:firstLine="526" w:firstLineChars="200"/>
        <w:rPr>
          <w:rFonts w:hint="eastAsia" w:hAnsi="宋体"/>
          <w:color w:val="000000"/>
          <w:szCs w:val="24"/>
        </w:rPr>
      </w:pPr>
      <w:r>
        <w:rPr>
          <w:rFonts w:hint="eastAsia" w:hAnsi="宋体"/>
          <w:color w:val="000000"/>
          <w:szCs w:val="24"/>
        </w:rPr>
        <w:t>运营期</w:t>
      </w:r>
      <w:r>
        <w:rPr>
          <w:rFonts w:hint="eastAsia"/>
          <w:color w:val="000000"/>
        </w:rPr>
        <w:t>由于占地活动的结束，管线所经地区处于正常状态，对地表植被无不良影响</w:t>
      </w:r>
      <w:r>
        <w:rPr>
          <w:rFonts w:hint="eastAsia" w:hAnsi="宋体"/>
          <w:color w:val="000000"/>
          <w:szCs w:val="24"/>
        </w:rPr>
        <w:t>。</w:t>
      </w:r>
    </w:p>
    <w:p w14:paraId="63B467F3">
      <w:pPr>
        <w:spacing w:line="480" w:lineRule="exact"/>
        <w:ind w:firstLine="526" w:firstLineChars="200"/>
        <w:rPr>
          <w:rFonts w:hint="eastAsia" w:hAnsi="宋体"/>
          <w:color w:val="000000"/>
          <w:szCs w:val="24"/>
        </w:rPr>
      </w:pPr>
      <w:r>
        <w:rPr>
          <w:rFonts w:hint="eastAsia" w:hAnsi="宋体" w:cs="宋体"/>
          <w:color w:val="000000"/>
        </w:rPr>
        <w:t>退役期埋地管线维持现状，避免因开挖管线对区域生态环境造成二次破坏。管线内物质应清空干净，并按要求进行清洗，管线两端使用盲板封堵，地上管线清洗干净后进行分段拆卸，拆卸后的管线拉运至库房存放，以备后续使用</w:t>
      </w:r>
      <w:r>
        <w:rPr>
          <w:rFonts w:hint="eastAsia" w:hAnsi="宋体"/>
          <w:color w:val="000000"/>
          <w:szCs w:val="24"/>
        </w:rPr>
        <w:t>。</w:t>
      </w:r>
    </w:p>
    <w:p w14:paraId="07FB48F4">
      <w:pPr>
        <w:spacing w:line="480" w:lineRule="exact"/>
        <w:ind w:firstLine="526" w:firstLineChars="200"/>
        <w:rPr>
          <w:rFonts w:hAnsi="宋体"/>
          <w:color w:val="000000"/>
          <w:szCs w:val="24"/>
        </w:rPr>
      </w:pPr>
      <w:r>
        <w:rPr>
          <w:rFonts w:hint="eastAsia" w:hAnsi="宋体"/>
          <w:color w:val="000000"/>
          <w:szCs w:val="24"/>
        </w:rPr>
        <w:t>综上，从生态影响的角度，拟建工程建设可行。</w:t>
      </w:r>
    </w:p>
    <w:p w14:paraId="7E0508F4">
      <w:pPr>
        <w:tabs>
          <w:tab w:val="left" w:pos="1134"/>
        </w:tabs>
        <w:spacing w:line="480" w:lineRule="exact"/>
        <w:outlineLvl w:val="2"/>
        <w:rPr>
          <w:rFonts w:hint="eastAsia" w:hAnsi="宋体" w:cs="宋体"/>
          <w:color w:val="000000"/>
          <w:szCs w:val="24"/>
        </w:rPr>
      </w:pPr>
      <w:r>
        <w:rPr>
          <w:rFonts w:hint="eastAsia" w:hAnsi="宋体" w:cs="宋体"/>
          <w:color w:val="000000"/>
          <w:szCs w:val="24"/>
        </w:rPr>
        <w:t>5.1.5生态影响评价自查表</w:t>
      </w:r>
    </w:p>
    <w:p w14:paraId="20791D7B">
      <w:pPr>
        <w:pStyle w:val="135"/>
        <w:spacing w:line="480" w:lineRule="exact"/>
        <w:ind w:firstLine="526" w:firstLineChars="200"/>
        <w:jc w:val="left"/>
        <w:textAlignment w:val="auto"/>
        <w:rPr>
          <w:rFonts w:ascii="黑体" w:hAnsi="宋体" w:eastAsia="黑体"/>
          <w:color w:val="000000"/>
          <w:spacing w:val="5"/>
          <w:szCs w:val="24"/>
        </w:rPr>
      </w:pPr>
      <w:r>
        <w:rPr>
          <w:rFonts w:ascii="黑体" w:hAnsi="宋体" w:eastAsia="黑体"/>
          <w:color w:val="000000"/>
          <w:spacing w:val="5"/>
          <w:szCs w:val="24"/>
        </w:rPr>
        <w:t>表</w:t>
      </w:r>
      <w:r>
        <w:rPr>
          <w:rFonts w:hint="eastAsia" w:ascii="黑体" w:hAnsi="宋体" w:eastAsia="黑体"/>
          <w:color w:val="000000"/>
          <w:spacing w:val="5"/>
          <w:szCs w:val="24"/>
        </w:rPr>
        <w:t>5.1-2              生态影响评价自查表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37"/>
        <w:gridCol w:w="1153"/>
        <w:gridCol w:w="7125"/>
      </w:tblGrid>
      <w:tr w14:paraId="735F06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90" w:type="dxa"/>
            <w:gridSpan w:val="2"/>
            <w:noWrap/>
            <w:tcMar>
              <w:left w:w="28" w:type="dxa"/>
              <w:right w:w="28" w:type="dxa"/>
            </w:tcMar>
            <w:vAlign w:val="center"/>
          </w:tcPr>
          <w:p w14:paraId="0223AA0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工作内容</w:t>
            </w:r>
          </w:p>
        </w:tc>
        <w:tc>
          <w:tcPr>
            <w:tcW w:w="7125" w:type="dxa"/>
            <w:noWrap/>
            <w:tcMar>
              <w:left w:w="28" w:type="dxa"/>
              <w:right w:w="28" w:type="dxa"/>
            </w:tcMar>
            <w:vAlign w:val="center"/>
          </w:tcPr>
          <w:p w14:paraId="4467D4F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自查项目</w:t>
            </w:r>
          </w:p>
        </w:tc>
      </w:tr>
      <w:tr w14:paraId="5BA366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restart"/>
            <w:noWrap/>
            <w:tcMar>
              <w:left w:w="28" w:type="dxa"/>
              <w:right w:w="28" w:type="dxa"/>
            </w:tcMar>
            <w:vAlign w:val="center"/>
          </w:tcPr>
          <w:p w14:paraId="670214B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生态影响识别</w:t>
            </w:r>
          </w:p>
        </w:tc>
        <w:tc>
          <w:tcPr>
            <w:tcW w:w="1153" w:type="dxa"/>
            <w:noWrap/>
            <w:tcMar>
              <w:left w:w="28" w:type="dxa"/>
              <w:right w:w="28" w:type="dxa"/>
            </w:tcMar>
            <w:vAlign w:val="center"/>
          </w:tcPr>
          <w:p w14:paraId="3AAC2951">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生态保护</w:t>
            </w:r>
          </w:p>
          <w:p w14:paraId="19BEF1C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目标</w:t>
            </w:r>
          </w:p>
        </w:tc>
        <w:tc>
          <w:tcPr>
            <w:tcW w:w="7125" w:type="dxa"/>
            <w:noWrap/>
            <w:tcMar>
              <w:left w:w="28" w:type="dxa"/>
              <w:right w:w="28" w:type="dxa"/>
            </w:tcMar>
            <w:vAlign w:val="center"/>
          </w:tcPr>
          <w:p w14:paraId="4F260944">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重要物种</w:t>
            </w:r>
            <w:r>
              <w:rPr>
                <w:rFonts w:hint="eastAsia" w:hAnsi="宋体" w:cs="宋体"/>
                <w:color w:val="000000"/>
                <w:spacing w:val="-10"/>
                <w:sz w:val="21"/>
                <w:szCs w:val="21"/>
              </w:rPr>
              <w:t>□；国家公园□；自然保护区□；自然公园□；世界自然遗产□；生态保护红线□；重要生境□；其他具有重要生态功能、对保护生物多样性具有重要意义的区域□；其他☑</w:t>
            </w:r>
          </w:p>
        </w:tc>
      </w:tr>
      <w:tr w14:paraId="2998D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continue"/>
            <w:noWrap/>
            <w:tcMar>
              <w:left w:w="28" w:type="dxa"/>
              <w:right w:w="28" w:type="dxa"/>
            </w:tcMar>
            <w:vAlign w:val="center"/>
          </w:tcPr>
          <w:p w14:paraId="7E753384">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53C635E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影响方式</w:t>
            </w:r>
          </w:p>
        </w:tc>
        <w:tc>
          <w:tcPr>
            <w:tcW w:w="7125" w:type="dxa"/>
            <w:noWrap/>
            <w:tcMar>
              <w:left w:w="28" w:type="dxa"/>
              <w:right w:w="28" w:type="dxa"/>
            </w:tcMar>
            <w:vAlign w:val="center"/>
          </w:tcPr>
          <w:p w14:paraId="44CB7232">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工程占用</w:t>
            </w:r>
            <w:r>
              <w:rPr>
                <w:rFonts w:hint="eastAsia" w:hAnsi="宋体" w:cs="宋体"/>
                <w:color w:val="000000"/>
                <w:spacing w:val="-10"/>
                <w:sz w:val="21"/>
                <w:szCs w:val="21"/>
              </w:rPr>
              <w:t>☑；施工活动干扰☑；改变环境条件□；其他☑</w:t>
            </w:r>
          </w:p>
        </w:tc>
      </w:tr>
      <w:tr w14:paraId="003072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18" w:hRule="atLeast"/>
          <w:jc w:val="center"/>
        </w:trPr>
        <w:tc>
          <w:tcPr>
            <w:tcW w:w="737" w:type="dxa"/>
            <w:vMerge w:val="continue"/>
            <w:noWrap/>
            <w:tcMar>
              <w:left w:w="28" w:type="dxa"/>
              <w:right w:w="28" w:type="dxa"/>
            </w:tcMar>
            <w:vAlign w:val="center"/>
          </w:tcPr>
          <w:p w14:paraId="685EDD1E">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42E1F6F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评价因子</w:t>
            </w:r>
          </w:p>
        </w:tc>
        <w:tc>
          <w:tcPr>
            <w:tcW w:w="7125" w:type="dxa"/>
            <w:noWrap/>
            <w:tcMar>
              <w:left w:w="28" w:type="dxa"/>
              <w:right w:w="28" w:type="dxa"/>
            </w:tcMar>
            <w:vAlign w:val="center"/>
          </w:tcPr>
          <w:p w14:paraId="38B617B8">
            <w:pPr>
              <w:spacing w:line="0" w:lineRule="atLeast"/>
              <w:rPr>
                <w:rFonts w:hint="eastAsia" w:hAnsi="宋体" w:cs="宋体"/>
                <w:color w:val="000000"/>
                <w:spacing w:val="-10"/>
                <w:sz w:val="21"/>
                <w:szCs w:val="21"/>
              </w:rPr>
            </w:pPr>
            <w:r>
              <w:rPr>
                <w:rFonts w:hint="eastAsia" w:hAnsi="宋体" w:cs="宋体"/>
                <w:color w:val="000000"/>
                <w:spacing w:val="-10"/>
                <w:sz w:val="21"/>
                <w:szCs w:val="21"/>
              </w:rPr>
              <w:t>物种☑（）</w:t>
            </w:r>
          </w:p>
          <w:p w14:paraId="0052EE63">
            <w:pPr>
              <w:spacing w:line="0" w:lineRule="atLeast"/>
              <w:rPr>
                <w:rFonts w:hint="eastAsia" w:hAnsi="宋体" w:cs="宋体"/>
                <w:color w:val="000000"/>
                <w:spacing w:val="-10"/>
                <w:sz w:val="21"/>
                <w:szCs w:val="21"/>
              </w:rPr>
            </w:pPr>
            <w:r>
              <w:rPr>
                <w:rFonts w:hint="eastAsia" w:hAnsi="宋体" w:cs="宋体"/>
                <w:color w:val="000000"/>
                <w:spacing w:val="-10"/>
                <w:sz w:val="21"/>
                <w:szCs w:val="21"/>
              </w:rPr>
              <w:t>生境☑（地表扰动）</w:t>
            </w:r>
          </w:p>
          <w:p w14:paraId="632F5624">
            <w:pPr>
              <w:spacing w:line="0" w:lineRule="atLeast"/>
              <w:rPr>
                <w:rFonts w:hint="eastAsia" w:hAnsi="宋体" w:cs="宋体"/>
                <w:color w:val="000000"/>
                <w:spacing w:val="-10"/>
                <w:sz w:val="21"/>
                <w:szCs w:val="21"/>
              </w:rPr>
            </w:pPr>
            <w:r>
              <w:rPr>
                <w:rFonts w:hint="eastAsia" w:hAnsi="宋体" w:cs="宋体"/>
                <w:color w:val="000000"/>
                <w:spacing w:val="-10"/>
                <w:sz w:val="21"/>
                <w:szCs w:val="21"/>
              </w:rPr>
              <w:t>生物群落□（）</w:t>
            </w:r>
          </w:p>
          <w:p w14:paraId="7F04E0C6">
            <w:pPr>
              <w:spacing w:line="0" w:lineRule="atLeast"/>
              <w:rPr>
                <w:rFonts w:hint="eastAsia" w:hAnsi="宋体" w:cs="宋体"/>
                <w:color w:val="000000"/>
                <w:spacing w:val="-10"/>
                <w:sz w:val="21"/>
                <w:szCs w:val="21"/>
              </w:rPr>
            </w:pPr>
            <w:r>
              <w:rPr>
                <w:rFonts w:hint="eastAsia" w:hAnsi="宋体" w:cs="宋体"/>
                <w:color w:val="000000"/>
                <w:spacing w:val="-10"/>
                <w:sz w:val="21"/>
                <w:szCs w:val="21"/>
              </w:rPr>
              <w:t>生态系统☑（生态系统完整性）</w:t>
            </w:r>
          </w:p>
          <w:p w14:paraId="15604B20">
            <w:pPr>
              <w:spacing w:line="0" w:lineRule="atLeast"/>
              <w:rPr>
                <w:rFonts w:hint="eastAsia" w:hAnsi="宋体" w:cs="宋体"/>
                <w:color w:val="000000"/>
                <w:spacing w:val="-10"/>
                <w:sz w:val="21"/>
                <w:szCs w:val="21"/>
              </w:rPr>
            </w:pPr>
            <w:r>
              <w:rPr>
                <w:rFonts w:hint="eastAsia" w:hAnsi="宋体" w:cs="宋体"/>
                <w:color w:val="000000"/>
                <w:spacing w:val="-10"/>
                <w:sz w:val="21"/>
                <w:szCs w:val="21"/>
              </w:rPr>
              <w:t>生物多样性☑（物种丰富度）</w:t>
            </w:r>
          </w:p>
          <w:p w14:paraId="14D8B038">
            <w:pPr>
              <w:spacing w:line="0" w:lineRule="atLeast"/>
              <w:rPr>
                <w:rFonts w:hint="eastAsia" w:hAnsi="宋体" w:cs="宋体"/>
                <w:color w:val="000000"/>
                <w:spacing w:val="-10"/>
                <w:sz w:val="21"/>
                <w:szCs w:val="21"/>
              </w:rPr>
            </w:pPr>
            <w:r>
              <w:rPr>
                <w:rFonts w:hint="eastAsia" w:hAnsi="宋体" w:cs="宋体"/>
                <w:color w:val="000000"/>
                <w:spacing w:val="-10"/>
                <w:sz w:val="21"/>
                <w:szCs w:val="21"/>
              </w:rPr>
              <w:t>生态敏感区□（）</w:t>
            </w:r>
          </w:p>
          <w:p w14:paraId="2A4ED31F">
            <w:pPr>
              <w:spacing w:line="0" w:lineRule="atLeast"/>
              <w:rPr>
                <w:rFonts w:hint="eastAsia" w:hAnsi="宋体" w:cs="宋体"/>
                <w:color w:val="000000"/>
                <w:spacing w:val="-10"/>
                <w:sz w:val="21"/>
                <w:szCs w:val="21"/>
              </w:rPr>
            </w:pPr>
            <w:r>
              <w:rPr>
                <w:rFonts w:hint="eastAsia" w:hAnsi="宋体" w:cs="宋体"/>
                <w:color w:val="000000"/>
                <w:spacing w:val="-10"/>
                <w:sz w:val="21"/>
                <w:szCs w:val="21"/>
              </w:rPr>
              <w:t>自然景观□（）</w:t>
            </w:r>
          </w:p>
          <w:p w14:paraId="3390BB62">
            <w:pPr>
              <w:spacing w:line="0" w:lineRule="atLeast"/>
              <w:rPr>
                <w:rFonts w:hint="eastAsia" w:hAnsi="宋体" w:cs="宋体"/>
                <w:color w:val="000000"/>
                <w:spacing w:val="-10"/>
                <w:sz w:val="21"/>
                <w:szCs w:val="21"/>
              </w:rPr>
            </w:pPr>
            <w:r>
              <w:rPr>
                <w:rFonts w:hint="eastAsia" w:hAnsi="宋体" w:cs="宋体"/>
                <w:color w:val="000000"/>
                <w:spacing w:val="-10"/>
                <w:sz w:val="21"/>
                <w:szCs w:val="21"/>
              </w:rPr>
              <w:t>自然遗迹□（）</w:t>
            </w:r>
          </w:p>
          <w:p w14:paraId="675B108C">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rPr>
              <w:t>其他□（）</w:t>
            </w:r>
          </w:p>
        </w:tc>
      </w:tr>
      <w:tr w14:paraId="7BF6F5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90" w:type="dxa"/>
            <w:gridSpan w:val="2"/>
            <w:noWrap/>
            <w:tcMar>
              <w:left w:w="28" w:type="dxa"/>
              <w:right w:w="28" w:type="dxa"/>
            </w:tcMar>
            <w:vAlign w:val="center"/>
          </w:tcPr>
          <w:p w14:paraId="34A2B29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评价等级</w:t>
            </w:r>
          </w:p>
        </w:tc>
        <w:tc>
          <w:tcPr>
            <w:tcW w:w="7125" w:type="dxa"/>
            <w:noWrap/>
            <w:tcMar>
              <w:left w:w="28" w:type="dxa"/>
              <w:right w:w="28" w:type="dxa"/>
            </w:tcMar>
            <w:vAlign w:val="center"/>
          </w:tcPr>
          <w:p w14:paraId="3FB4747D">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一级</w:t>
            </w:r>
            <w:r>
              <w:rPr>
                <w:rFonts w:hint="eastAsia" w:hAnsi="宋体" w:cs="宋体"/>
                <w:color w:val="000000"/>
                <w:spacing w:val="-10"/>
                <w:sz w:val="21"/>
                <w:szCs w:val="21"/>
              </w:rPr>
              <w:t>□       二级□        三级☑       生态影响简单分析□</w:t>
            </w:r>
          </w:p>
        </w:tc>
      </w:tr>
      <w:tr w14:paraId="17929E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90" w:type="dxa"/>
            <w:gridSpan w:val="2"/>
            <w:noWrap/>
            <w:tcMar>
              <w:left w:w="28" w:type="dxa"/>
              <w:right w:w="28" w:type="dxa"/>
            </w:tcMar>
            <w:vAlign w:val="center"/>
          </w:tcPr>
          <w:p w14:paraId="68AFADD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评价范围</w:t>
            </w:r>
          </w:p>
        </w:tc>
        <w:tc>
          <w:tcPr>
            <w:tcW w:w="7125" w:type="dxa"/>
            <w:noWrap/>
            <w:tcMar>
              <w:left w:w="28" w:type="dxa"/>
              <w:right w:w="28" w:type="dxa"/>
            </w:tcMar>
            <w:vAlign w:val="center"/>
          </w:tcPr>
          <w:p w14:paraId="7E7652DE">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陆域面积：（8.31）km</w:t>
            </w:r>
            <w:r>
              <w:rPr>
                <w:rFonts w:hint="eastAsia" w:hAnsi="宋体" w:cs="宋体"/>
                <w:color w:val="000000"/>
                <w:spacing w:val="-10"/>
                <w:sz w:val="21"/>
                <w:szCs w:val="21"/>
                <w:vertAlign w:val="superscript"/>
                <w:lang w:bidi="ar"/>
              </w:rPr>
              <w:t>2</w:t>
            </w:r>
            <w:r>
              <w:rPr>
                <w:rFonts w:hint="eastAsia" w:hAnsi="宋体" w:cs="宋体"/>
                <w:color w:val="000000"/>
                <w:spacing w:val="-10"/>
                <w:sz w:val="21"/>
                <w:szCs w:val="21"/>
                <w:lang w:bidi="ar"/>
              </w:rPr>
              <w:t>；水域面积：（）km</w:t>
            </w:r>
            <w:r>
              <w:rPr>
                <w:rFonts w:hint="eastAsia" w:hAnsi="宋体" w:cs="宋体"/>
                <w:color w:val="000000"/>
                <w:spacing w:val="-10"/>
                <w:sz w:val="21"/>
                <w:szCs w:val="21"/>
                <w:vertAlign w:val="superscript"/>
                <w:lang w:bidi="ar"/>
              </w:rPr>
              <w:t>2</w:t>
            </w:r>
          </w:p>
        </w:tc>
      </w:tr>
      <w:tr w14:paraId="3901F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20" w:hRule="atLeast"/>
          <w:jc w:val="center"/>
        </w:trPr>
        <w:tc>
          <w:tcPr>
            <w:tcW w:w="737" w:type="dxa"/>
            <w:vMerge w:val="restart"/>
            <w:noWrap/>
            <w:tcMar>
              <w:left w:w="28" w:type="dxa"/>
              <w:right w:w="28" w:type="dxa"/>
            </w:tcMar>
            <w:vAlign w:val="center"/>
          </w:tcPr>
          <w:p w14:paraId="10B9255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生态现状调查与评价</w:t>
            </w:r>
          </w:p>
        </w:tc>
        <w:tc>
          <w:tcPr>
            <w:tcW w:w="1153" w:type="dxa"/>
            <w:noWrap/>
            <w:tcMar>
              <w:left w:w="28" w:type="dxa"/>
              <w:right w:w="28" w:type="dxa"/>
            </w:tcMar>
            <w:vAlign w:val="center"/>
          </w:tcPr>
          <w:p w14:paraId="2A50E76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调查方法</w:t>
            </w:r>
          </w:p>
        </w:tc>
        <w:tc>
          <w:tcPr>
            <w:tcW w:w="7125" w:type="dxa"/>
            <w:noWrap/>
            <w:tcMar>
              <w:left w:w="28" w:type="dxa"/>
              <w:right w:w="28" w:type="dxa"/>
            </w:tcMar>
            <w:vAlign w:val="center"/>
          </w:tcPr>
          <w:p w14:paraId="63151901">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资料收集</w:t>
            </w:r>
            <w:r>
              <w:rPr>
                <w:rFonts w:hint="eastAsia" w:hAnsi="宋体" w:cs="宋体"/>
                <w:color w:val="000000"/>
                <w:spacing w:val="-10"/>
                <w:sz w:val="21"/>
                <w:szCs w:val="21"/>
              </w:rPr>
              <w:t>☑；遥感调查☑；调查样方、样线□；调查点位、断面□；专家和公众咨询法☑；其他☑</w:t>
            </w:r>
          </w:p>
        </w:tc>
      </w:tr>
      <w:tr w14:paraId="2E811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91" w:hRule="atLeast"/>
          <w:jc w:val="center"/>
        </w:trPr>
        <w:tc>
          <w:tcPr>
            <w:tcW w:w="737" w:type="dxa"/>
            <w:vMerge w:val="continue"/>
            <w:noWrap/>
            <w:tcMar>
              <w:left w:w="28" w:type="dxa"/>
              <w:right w:w="28" w:type="dxa"/>
            </w:tcMar>
            <w:vAlign w:val="center"/>
          </w:tcPr>
          <w:p w14:paraId="44D0A643">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727447C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调查时间</w:t>
            </w:r>
          </w:p>
        </w:tc>
        <w:tc>
          <w:tcPr>
            <w:tcW w:w="7125" w:type="dxa"/>
            <w:noWrap/>
            <w:tcMar>
              <w:left w:w="28" w:type="dxa"/>
              <w:right w:w="28" w:type="dxa"/>
            </w:tcMar>
            <w:vAlign w:val="center"/>
          </w:tcPr>
          <w:p w14:paraId="27D9BD79">
            <w:pPr>
              <w:spacing w:line="0" w:lineRule="atLeast"/>
              <w:rPr>
                <w:rFonts w:hint="eastAsia" w:hAnsi="宋体" w:cs="宋体"/>
                <w:color w:val="000000"/>
                <w:spacing w:val="-10"/>
                <w:sz w:val="21"/>
                <w:szCs w:val="21"/>
              </w:rPr>
            </w:pPr>
            <w:r>
              <w:rPr>
                <w:rFonts w:hint="eastAsia" w:hAnsi="宋体" w:cs="宋体"/>
                <w:color w:val="000000"/>
                <w:spacing w:val="-10"/>
                <w:sz w:val="21"/>
                <w:szCs w:val="21"/>
                <w:lang w:bidi="ar"/>
              </w:rPr>
              <w:t>春季</w:t>
            </w:r>
            <w:r>
              <w:rPr>
                <w:rFonts w:hint="eastAsia" w:hAnsi="宋体" w:cs="宋体"/>
                <w:color w:val="000000"/>
                <w:spacing w:val="-10"/>
                <w:sz w:val="21"/>
                <w:szCs w:val="21"/>
              </w:rPr>
              <w:t>☑；夏季□；秋季□；冬季□</w:t>
            </w:r>
          </w:p>
          <w:p w14:paraId="0EECC9A3">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rPr>
              <w:t>丰水期□；枯水期□；平水期□</w:t>
            </w:r>
          </w:p>
        </w:tc>
      </w:tr>
      <w:tr w14:paraId="63310D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22" w:hRule="atLeast"/>
          <w:jc w:val="center"/>
        </w:trPr>
        <w:tc>
          <w:tcPr>
            <w:tcW w:w="737" w:type="dxa"/>
            <w:vMerge w:val="continue"/>
            <w:noWrap/>
            <w:tcMar>
              <w:left w:w="28" w:type="dxa"/>
              <w:right w:w="28" w:type="dxa"/>
            </w:tcMar>
            <w:vAlign w:val="center"/>
          </w:tcPr>
          <w:p w14:paraId="2B5F6F2E">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7270DF4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所在区域的生态问题</w:t>
            </w:r>
          </w:p>
        </w:tc>
        <w:tc>
          <w:tcPr>
            <w:tcW w:w="7125" w:type="dxa"/>
            <w:noWrap/>
            <w:tcMar>
              <w:left w:w="28" w:type="dxa"/>
              <w:right w:w="28" w:type="dxa"/>
            </w:tcMar>
            <w:vAlign w:val="center"/>
          </w:tcPr>
          <w:p w14:paraId="393AEDCE">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水土流失</w:t>
            </w:r>
            <w:r>
              <w:rPr>
                <w:rFonts w:hint="eastAsia" w:hAnsi="宋体" w:cs="宋体"/>
                <w:color w:val="000000"/>
                <w:spacing w:val="-10"/>
                <w:sz w:val="21"/>
                <w:szCs w:val="21"/>
              </w:rPr>
              <w:t>☑；沙漠化☑；石漠化□；盐渍化□；生物入侵□；重要物种□；生态敏感区□；其他□</w:t>
            </w:r>
          </w:p>
        </w:tc>
      </w:tr>
      <w:tr w14:paraId="04833B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63" w:hRule="atLeast"/>
          <w:jc w:val="center"/>
        </w:trPr>
        <w:tc>
          <w:tcPr>
            <w:tcW w:w="737" w:type="dxa"/>
            <w:vMerge w:val="continue"/>
            <w:noWrap/>
            <w:tcMar>
              <w:left w:w="28" w:type="dxa"/>
              <w:right w:w="28" w:type="dxa"/>
            </w:tcMar>
            <w:vAlign w:val="center"/>
          </w:tcPr>
          <w:p w14:paraId="4C3D1815">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61535861">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评价内容</w:t>
            </w:r>
          </w:p>
        </w:tc>
        <w:tc>
          <w:tcPr>
            <w:tcW w:w="7125" w:type="dxa"/>
            <w:noWrap/>
            <w:tcMar>
              <w:left w:w="28" w:type="dxa"/>
              <w:right w:w="28" w:type="dxa"/>
            </w:tcMar>
            <w:vAlign w:val="center"/>
          </w:tcPr>
          <w:p w14:paraId="38774566">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植被/植物群落</w:t>
            </w:r>
            <w:r>
              <w:rPr>
                <w:rFonts w:hint="eastAsia" w:hAnsi="宋体" w:cs="宋体"/>
                <w:color w:val="000000"/>
                <w:spacing w:val="-10"/>
                <w:sz w:val="21"/>
                <w:szCs w:val="21"/>
              </w:rPr>
              <w:t>☑；土地利用☑；生态系统☑；生物多样性☑；重要物种☑；生态敏感区□；其他□</w:t>
            </w:r>
          </w:p>
        </w:tc>
      </w:tr>
    </w:tbl>
    <w:p w14:paraId="32D9EBA9">
      <w:pPr>
        <w:pStyle w:val="135"/>
        <w:spacing w:line="480" w:lineRule="exact"/>
        <w:ind w:firstLine="506" w:firstLineChars="200"/>
        <w:jc w:val="left"/>
        <w:textAlignment w:val="auto"/>
        <w:rPr>
          <w:rFonts w:ascii="黑体" w:hAnsi="宋体" w:eastAsia="黑体"/>
          <w:color w:val="000000"/>
          <w:spacing w:val="5"/>
          <w:szCs w:val="24"/>
        </w:rPr>
      </w:pPr>
      <w:r>
        <w:br w:type="page"/>
      </w:r>
      <w:r>
        <w:rPr>
          <w:rFonts w:hint="eastAsia" w:ascii="黑体" w:hAnsi="宋体" w:eastAsia="黑体"/>
          <w:color w:val="000000"/>
          <w:spacing w:val="5"/>
          <w:szCs w:val="24"/>
        </w:rPr>
        <w:t>续</w:t>
      </w:r>
      <w:r>
        <w:rPr>
          <w:rFonts w:ascii="黑体" w:hAnsi="宋体" w:eastAsia="黑体"/>
          <w:color w:val="000000"/>
          <w:spacing w:val="5"/>
          <w:szCs w:val="24"/>
        </w:rPr>
        <w:t>表</w:t>
      </w:r>
      <w:r>
        <w:rPr>
          <w:rFonts w:hint="eastAsia" w:ascii="黑体" w:hAnsi="宋体" w:eastAsia="黑体"/>
          <w:color w:val="000000"/>
          <w:spacing w:val="5"/>
          <w:szCs w:val="24"/>
        </w:rPr>
        <w:t>5.1-2           生态影响评价自查表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37"/>
        <w:gridCol w:w="1153"/>
        <w:gridCol w:w="7125"/>
      </w:tblGrid>
      <w:tr w14:paraId="0D6621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90" w:type="dxa"/>
            <w:gridSpan w:val="2"/>
            <w:noWrap/>
            <w:tcMar>
              <w:left w:w="28" w:type="dxa"/>
              <w:right w:w="28" w:type="dxa"/>
            </w:tcMar>
            <w:vAlign w:val="center"/>
          </w:tcPr>
          <w:p w14:paraId="71F25E6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工作内容</w:t>
            </w:r>
          </w:p>
        </w:tc>
        <w:tc>
          <w:tcPr>
            <w:tcW w:w="7125" w:type="dxa"/>
            <w:noWrap/>
            <w:tcMar>
              <w:left w:w="28" w:type="dxa"/>
              <w:right w:w="28" w:type="dxa"/>
            </w:tcMar>
            <w:vAlign w:val="center"/>
          </w:tcPr>
          <w:p w14:paraId="08B674C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自查项目</w:t>
            </w:r>
          </w:p>
        </w:tc>
      </w:tr>
      <w:tr w14:paraId="04D93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restart"/>
            <w:noWrap/>
            <w:tcMar>
              <w:left w:w="28" w:type="dxa"/>
              <w:right w:w="28" w:type="dxa"/>
            </w:tcMar>
            <w:vAlign w:val="center"/>
          </w:tcPr>
          <w:p w14:paraId="7AD4611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生态影响预测与评价</w:t>
            </w:r>
          </w:p>
        </w:tc>
        <w:tc>
          <w:tcPr>
            <w:tcW w:w="1153" w:type="dxa"/>
            <w:noWrap/>
            <w:tcMar>
              <w:left w:w="28" w:type="dxa"/>
              <w:right w:w="28" w:type="dxa"/>
            </w:tcMar>
            <w:vAlign w:val="center"/>
          </w:tcPr>
          <w:p w14:paraId="5864403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评价方法</w:t>
            </w:r>
          </w:p>
        </w:tc>
        <w:tc>
          <w:tcPr>
            <w:tcW w:w="7125" w:type="dxa"/>
            <w:noWrap/>
            <w:tcMar>
              <w:left w:w="28" w:type="dxa"/>
              <w:right w:w="28" w:type="dxa"/>
            </w:tcMar>
            <w:vAlign w:val="center"/>
          </w:tcPr>
          <w:p w14:paraId="41429C2F">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定性</w:t>
            </w:r>
            <w:r>
              <w:rPr>
                <w:rFonts w:hint="eastAsia" w:hAnsi="宋体" w:cs="宋体"/>
                <w:color w:val="000000"/>
                <w:spacing w:val="-10"/>
                <w:sz w:val="21"/>
                <w:szCs w:val="21"/>
              </w:rPr>
              <w:t>□；定性和定量☑</w:t>
            </w:r>
          </w:p>
        </w:tc>
      </w:tr>
      <w:tr w14:paraId="2C0D4D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continue"/>
            <w:noWrap/>
            <w:tcMar>
              <w:left w:w="28" w:type="dxa"/>
              <w:right w:w="28" w:type="dxa"/>
            </w:tcMar>
            <w:vAlign w:val="center"/>
          </w:tcPr>
          <w:p w14:paraId="2C6613E0">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22B059D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评价内容</w:t>
            </w:r>
          </w:p>
        </w:tc>
        <w:tc>
          <w:tcPr>
            <w:tcW w:w="7125" w:type="dxa"/>
            <w:noWrap/>
            <w:tcMar>
              <w:left w:w="28" w:type="dxa"/>
              <w:right w:w="28" w:type="dxa"/>
            </w:tcMar>
            <w:vAlign w:val="center"/>
          </w:tcPr>
          <w:p w14:paraId="2FE0E5C3">
            <w:pPr>
              <w:pStyle w:val="135"/>
              <w:adjustRightInd/>
              <w:spacing w:line="0" w:lineRule="atLeast"/>
              <w:ind w:firstLine="0"/>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lang w:bidi="ar"/>
              </w:rPr>
              <w:t>植被/植物群落</w:t>
            </w:r>
            <w:r>
              <w:rPr>
                <w:rFonts w:hint="eastAsia" w:ascii="宋体" w:hAnsi="宋体" w:eastAsia="宋体" w:cs="宋体"/>
                <w:color w:val="000000"/>
                <w:spacing w:val="-10"/>
                <w:sz w:val="21"/>
                <w:szCs w:val="21"/>
              </w:rPr>
              <w:t>☑；土地利用☑；生态系统☑；生物多样性□；重要物种□；生态敏感区□；生物入侵风险□；其他□</w:t>
            </w:r>
          </w:p>
        </w:tc>
      </w:tr>
      <w:tr w14:paraId="7C3C4C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restart"/>
            <w:noWrap/>
            <w:tcMar>
              <w:left w:w="28" w:type="dxa"/>
              <w:right w:w="28" w:type="dxa"/>
            </w:tcMar>
            <w:vAlign w:val="center"/>
          </w:tcPr>
          <w:p w14:paraId="132C052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生态保护对策措施</w:t>
            </w:r>
          </w:p>
        </w:tc>
        <w:tc>
          <w:tcPr>
            <w:tcW w:w="1153" w:type="dxa"/>
            <w:noWrap/>
            <w:tcMar>
              <w:left w:w="28" w:type="dxa"/>
              <w:right w:w="28" w:type="dxa"/>
            </w:tcMar>
            <w:vAlign w:val="center"/>
          </w:tcPr>
          <w:p w14:paraId="18C659A7">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对策措施</w:t>
            </w:r>
          </w:p>
        </w:tc>
        <w:tc>
          <w:tcPr>
            <w:tcW w:w="7125" w:type="dxa"/>
            <w:noWrap/>
            <w:tcMar>
              <w:left w:w="28" w:type="dxa"/>
              <w:right w:w="28" w:type="dxa"/>
            </w:tcMar>
            <w:vAlign w:val="center"/>
          </w:tcPr>
          <w:p w14:paraId="40F24B6A">
            <w:pPr>
              <w:pStyle w:val="135"/>
              <w:adjustRightInd/>
              <w:spacing w:line="0" w:lineRule="atLeast"/>
              <w:ind w:firstLine="0"/>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避让☑；减缓☑；生态修复□；生态补偿□；科研□；其他□</w:t>
            </w:r>
          </w:p>
        </w:tc>
      </w:tr>
      <w:tr w14:paraId="51DFC3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continue"/>
            <w:noWrap/>
            <w:tcMar>
              <w:left w:w="28" w:type="dxa"/>
              <w:right w:w="28" w:type="dxa"/>
            </w:tcMar>
            <w:vAlign w:val="center"/>
          </w:tcPr>
          <w:p w14:paraId="29818A6F">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2ABC2A9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生态监测</w:t>
            </w:r>
          </w:p>
          <w:p w14:paraId="2303798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计划</w:t>
            </w:r>
          </w:p>
        </w:tc>
        <w:tc>
          <w:tcPr>
            <w:tcW w:w="7125" w:type="dxa"/>
            <w:noWrap/>
            <w:tcMar>
              <w:left w:w="28" w:type="dxa"/>
              <w:right w:w="28" w:type="dxa"/>
            </w:tcMar>
            <w:vAlign w:val="center"/>
          </w:tcPr>
          <w:p w14:paraId="0128997A">
            <w:pPr>
              <w:spacing w:line="0" w:lineRule="atLeast"/>
              <w:rPr>
                <w:rFonts w:hint="eastAsia" w:hAnsi="宋体" w:cs="宋体"/>
                <w:color w:val="000000"/>
                <w:spacing w:val="-10"/>
                <w:sz w:val="21"/>
                <w:szCs w:val="21"/>
              </w:rPr>
            </w:pPr>
            <w:r>
              <w:rPr>
                <w:rFonts w:hint="eastAsia" w:hAnsi="宋体" w:cs="宋体"/>
                <w:color w:val="000000"/>
                <w:spacing w:val="-10"/>
                <w:sz w:val="21"/>
                <w:szCs w:val="21"/>
              </w:rPr>
              <w:t>全生命周期□；长期跟踪□；常规☑；无□</w:t>
            </w:r>
          </w:p>
        </w:tc>
      </w:tr>
      <w:tr w14:paraId="1A581E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vMerge w:val="continue"/>
            <w:noWrap/>
            <w:tcMar>
              <w:left w:w="28" w:type="dxa"/>
              <w:right w:w="28" w:type="dxa"/>
            </w:tcMar>
            <w:vAlign w:val="center"/>
          </w:tcPr>
          <w:p w14:paraId="4EB5DB04">
            <w:pPr>
              <w:spacing w:line="0" w:lineRule="atLeast"/>
              <w:jc w:val="center"/>
              <w:rPr>
                <w:rFonts w:hint="eastAsia" w:hAnsi="宋体" w:cs="宋体"/>
                <w:color w:val="000000"/>
                <w:spacing w:val="-10"/>
                <w:sz w:val="21"/>
                <w:szCs w:val="21"/>
                <w:lang w:bidi="ar"/>
              </w:rPr>
            </w:pPr>
          </w:p>
        </w:tc>
        <w:tc>
          <w:tcPr>
            <w:tcW w:w="1153" w:type="dxa"/>
            <w:noWrap/>
            <w:tcMar>
              <w:left w:w="28" w:type="dxa"/>
              <w:right w:w="28" w:type="dxa"/>
            </w:tcMar>
            <w:vAlign w:val="center"/>
          </w:tcPr>
          <w:p w14:paraId="47ABFE2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环境管理</w:t>
            </w:r>
          </w:p>
        </w:tc>
        <w:tc>
          <w:tcPr>
            <w:tcW w:w="7125" w:type="dxa"/>
            <w:noWrap/>
            <w:tcMar>
              <w:left w:w="28" w:type="dxa"/>
              <w:right w:w="28" w:type="dxa"/>
            </w:tcMar>
            <w:vAlign w:val="center"/>
          </w:tcPr>
          <w:p w14:paraId="48F23CD7">
            <w:pPr>
              <w:spacing w:line="0" w:lineRule="atLeast"/>
              <w:rPr>
                <w:rFonts w:hint="eastAsia" w:hAnsi="宋体" w:cs="宋体"/>
                <w:color w:val="000000"/>
                <w:spacing w:val="-10"/>
                <w:sz w:val="21"/>
                <w:szCs w:val="21"/>
                <w:lang w:bidi="ar"/>
              </w:rPr>
            </w:pPr>
            <w:r>
              <w:rPr>
                <w:rFonts w:hint="eastAsia" w:hAnsi="宋体" w:cs="宋体"/>
                <w:color w:val="000000"/>
                <w:spacing w:val="-10"/>
                <w:sz w:val="21"/>
                <w:szCs w:val="21"/>
                <w:lang w:bidi="ar"/>
              </w:rPr>
              <w:t>环境监理</w:t>
            </w:r>
            <w:r>
              <w:rPr>
                <w:rFonts w:hint="eastAsia" w:hAnsi="宋体" w:cs="宋体"/>
                <w:color w:val="000000"/>
                <w:spacing w:val="-10"/>
                <w:sz w:val="21"/>
                <w:szCs w:val="21"/>
              </w:rPr>
              <w:t>☑；环境影响后评价□；其他□</w:t>
            </w:r>
          </w:p>
        </w:tc>
      </w:tr>
      <w:tr w14:paraId="1F56D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37" w:type="dxa"/>
            <w:noWrap/>
            <w:tcMar>
              <w:left w:w="28" w:type="dxa"/>
              <w:right w:w="28" w:type="dxa"/>
            </w:tcMar>
            <w:vAlign w:val="center"/>
          </w:tcPr>
          <w:p w14:paraId="53B350A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w:t>
            </w:r>
          </w:p>
          <w:p w14:paraId="333CD6D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结论</w:t>
            </w:r>
          </w:p>
        </w:tc>
        <w:tc>
          <w:tcPr>
            <w:tcW w:w="1153" w:type="dxa"/>
            <w:noWrap/>
            <w:tcMar>
              <w:left w:w="28" w:type="dxa"/>
              <w:right w:w="28" w:type="dxa"/>
            </w:tcMar>
            <w:vAlign w:val="center"/>
          </w:tcPr>
          <w:p w14:paraId="03D6E3A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生态影响</w:t>
            </w:r>
          </w:p>
        </w:tc>
        <w:tc>
          <w:tcPr>
            <w:tcW w:w="7125" w:type="dxa"/>
            <w:noWrap/>
            <w:tcMar>
              <w:left w:w="28" w:type="dxa"/>
              <w:right w:w="28" w:type="dxa"/>
            </w:tcMar>
            <w:vAlign w:val="center"/>
          </w:tcPr>
          <w:p w14:paraId="20DEC7E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可行☑；不可行□</w:t>
            </w:r>
          </w:p>
        </w:tc>
      </w:tr>
      <w:tr w14:paraId="16004F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15" w:type="dxa"/>
            <w:gridSpan w:val="3"/>
            <w:noWrap/>
            <w:tcMar>
              <w:left w:w="28" w:type="dxa"/>
              <w:right w:w="28" w:type="dxa"/>
            </w:tcMar>
            <w:vAlign w:val="center"/>
          </w:tcPr>
          <w:p w14:paraId="602C7C39">
            <w:pPr>
              <w:pStyle w:val="34"/>
              <w:spacing w:line="0" w:lineRule="atLeast"/>
              <w:rPr>
                <w:rFonts w:ascii="宋体" w:hAnsi="宋体" w:cs="宋体"/>
                <w:b w:val="0"/>
                <w:color w:val="000000"/>
                <w:spacing w:val="-10"/>
                <w:sz w:val="21"/>
                <w:szCs w:val="21"/>
              </w:rPr>
            </w:pPr>
            <w:r>
              <w:rPr>
                <w:rFonts w:ascii="宋体" w:hAnsi="宋体" w:cs="宋体"/>
                <w:b w:val="0"/>
                <w:color w:val="000000"/>
                <w:spacing w:val="-10"/>
                <w:sz w:val="21"/>
                <w:szCs w:val="21"/>
              </w:rPr>
              <w:t>注：“□”为勾选项，可√；“（）”为内容填写项。</w:t>
            </w:r>
          </w:p>
        </w:tc>
      </w:tr>
    </w:tbl>
    <w:p w14:paraId="214B4007">
      <w:pPr>
        <w:spacing w:before="240" w:line="480" w:lineRule="exact"/>
        <w:outlineLvl w:val="1"/>
        <w:rPr>
          <w:rFonts w:hint="eastAsia" w:ascii="黑体" w:hAnsi="黑体" w:eastAsia="黑体" w:cs="黑体"/>
          <w:color w:val="000000"/>
          <w:sz w:val="28"/>
          <w:szCs w:val="28"/>
          <w:lang w:bidi="ar"/>
        </w:rPr>
      </w:pPr>
      <w:bookmarkStart w:id="207" w:name="_Toc230178800"/>
      <w:bookmarkStart w:id="208" w:name="_Toc208474684"/>
      <w:bookmarkStart w:id="209" w:name="_Toc198040334"/>
      <w:bookmarkStart w:id="210" w:name="_Toc198040190"/>
      <w:r>
        <w:rPr>
          <w:rFonts w:hint="eastAsia" w:ascii="黑体" w:hAnsi="黑体" w:eastAsia="黑体" w:cs="黑体"/>
          <w:color w:val="000000"/>
          <w:sz w:val="28"/>
          <w:szCs w:val="28"/>
          <w:lang w:bidi="ar"/>
        </w:rPr>
        <w:t>5.2 地下水环境影响评价</w:t>
      </w:r>
      <w:bookmarkEnd w:id="207"/>
      <w:bookmarkEnd w:id="208"/>
      <w:bookmarkEnd w:id="209"/>
      <w:bookmarkEnd w:id="210"/>
    </w:p>
    <w:p w14:paraId="53DF9CC3">
      <w:pPr>
        <w:pStyle w:val="45"/>
        <w:widowControl w:val="0"/>
        <w:spacing w:beforeAutospacing="0" w:afterAutospacing="0" w:line="460" w:lineRule="exact"/>
        <w:ind w:firstLine="504" w:firstLineChars="192"/>
        <w:jc w:val="both"/>
        <w:rPr>
          <w:rFonts w:hint="eastAsia"/>
          <w:color w:val="000000"/>
        </w:rPr>
      </w:pPr>
      <w:r>
        <w:rPr>
          <w:rFonts w:hint="eastAsia"/>
          <w:color w:val="000000"/>
          <w:spacing w:val="5"/>
        </w:rPr>
        <w:t>本次评价区域内项目管线位于同一水文地质单元，水文地质条件一致，因此进行统一叙述，不再分述。</w:t>
      </w:r>
    </w:p>
    <w:p w14:paraId="0A3E4904">
      <w:pPr>
        <w:tabs>
          <w:tab w:val="left" w:pos="1134"/>
        </w:tabs>
        <w:spacing w:line="480" w:lineRule="exact"/>
        <w:outlineLvl w:val="2"/>
        <w:rPr>
          <w:rFonts w:hint="eastAsia" w:hAnsi="宋体" w:cs="宋体"/>
          <w:color w:val="000000"/>
          <w:szCs w:val="24"/>
        </w:rPr>
      </w:pPr>
      <w:r>
        <w:rPr>
          <w:rFonts w:hint="eastAsia" w:hAnsi="宋体" w:cs="宋体"/>
          <w:color w:val="000000"/>
          <w:szCs w:val="24"/>
        </w:rPr>
        <w:t>5.2.1 水文地质条件</w:t>
      </w:r>
    </w:p>
    <w:p w14:paraId="666B949F">
      <w:pPr>
        <w:topLinePunct/>
        <w:outlineLvl w:val="3"/>
        <w:rPr>
          <w:rFonts w:hint="eastAsia" w:hAnsi="宋体"/>
          <w:color w:val="000000"/>
          <w:lang w:bidi="ar"/>
        </w:rPr>
      </w:pPr>
      <w:r>
        <w:rPr>
          <w:rFonts w:hint="eastAsia" w:hAnsi="宋体"/>
          <w:color w:val="000000"/>
          <w:lang w:bidi="ar"/>
        </w:rPr>
        <w:t>5.2.1.1 区域水文地质条件概况</w:t>
      </w:r>
    </w:p>
    <w:p w14:paraId="2AD622D1">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s="Times New Roman"/>
          <w:color w:val="000000"/>
          <w:kern w:val="2"/>
          <w:szCs w:val="25"/>
          <w:lang w:bidi="ar"/>
        </w:rPr>
        <w:t>根据区域钻井剖面资料，塔克拉玛干沙漠沙丘之下，广泛分布有第四系的冲积、洪积和风积层，厚度多在200m～300m。其上部120m～150m绝大多数为粉细砂层，粒度均匀，不含或微含细粒物质，渗透系数较大，透水性能较强，单井出水量20m</w:t>
      </w:r>
      <w:r>
        <w:rPr>
          <w:rFonts w:hint="eastAsia" w:cs="Times New Roman"/>
          <w:color w:val="000000"/>
          <w:kern w:val="2"/>
          <w:szCs w:val="25"/>
          <w:vertAlign w:val="superscript"/>
          <w:lang w:bidi="ar"/>
        </w:rPr>
        <w:t>3</w:t>
      </w:r>
      <w:r>
        <w:rPr>
          <w:rFonts w:hint="eastAsia" w:cs="Times New Roman"/>
          <w:color w:val="000000"/>
          <w:kern w:val="2"/>
          <w:szCs w:val="25"/>
          <w:lang w:bidi="ar"/>
        </w:rPr>
        <w:t>/d～200m</w:t>
      </w:r>
      <w:r>
        <w:rPr>
          <w:rFonts w:hint="eastAsia" w:cs="Times New Roman"/>
          <w:color w:val="000000"/>
          <w:kern w:val="2"/>
          <w:szCs w:val="25"/>
          <w:vertAlign w:val="superscript"/>
          <w:lang w:bidi="ar"/>
        </w:rPr>
        <w:t>3</w:t>
      </w:r>
      <w:r>
        <w:rPr>
          <w:rFonts w:hint="eastAsia" w:cs="Times New Roman"/>
          <w:color w:val="000000"/>
          <w:kern w:val="2"/>
          <w:szCs w:val="25"/>
          <w:lang w:bidi="ar"/>
        </w:rPr>
        <w:t>/d，按地下水的富水性标准，属于水量中等地区。</w:t>
      </w:r>
    </w:p>
    <w:p w14:paraId="5ECC1504">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s="Times New Roman"/>
          <w:color w:val="000000"/>
          <w:kern w:val="2"/>
          <w:szCs w:val="25"/>
          <w:lang w:bidi="ar"/>
        </w:rPr>
        <w:t>（1）区域地质构造控水作用</w:t>
      </w:r>
    </w:p>
    <w:p w14:paraId="25ACFCAD">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olor w:val="000000"/>
          <w:kern w:val="2"/>
          <w:szCs w:val="25"/>
          <w:lang w:bidi="ar"/>
        </w:rPr>
        <w:t>①</w:t>
      </w:r>
      <w:r>
        <w:rPr>
          <w:rFonts w:hint="eastAsia" w:cs="Times New Roman"/>
          <w:color w:val="000000"/>
          <w:kern w:val="2"/>
          <w:szCs w:val="25"/>
          <w:lang w:bidi="ar"/>
        </w:rPr>
        <w:t>塔里木盆地构造控水条件</w:t>
      </w:r>
    </w:p>
    <w:p w14:paraId="518326D1">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s="Times New Roman"/>
          <w:color w:val="000000"/>
          <w:kern w:val="2"/>
          <w:szCs w:val="25"/>
          <w:lang w:bidi="ar"/>
        </w:rPr>
        <w:t>塔里木盆地在大地构造中称为塔里木地台，其基底（指第四系以前的地质时代的地层）形态特征受南北向天山和昆仑山地槽褶皱带挤压应力场的作用，使塔里木地台的构造格局以南北向分带性、地层系统发育的完整性及强烈的新构造运动的差异性为显著特点，新构造作用使地台缓慢抬升，基底的凹陷，隆起呈波状起伏，断裂发育等为基本形态特征，对地下水储存具有较强的控制作用。</w:t>
      </w:r>
    </w:p>
    <w:p w14:paraId="3EFA80C1">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olor w:val="000000"/>
          <w:kern w:val="2"/>
          <w:szCs w:val="25"/>
          <w:lang w:bidi="ar"/>
        </w:rPr>
        <w:t>②</w:t>
      </w:r>
      <w:r>
        <w:rPr>
          <w:rFonts w:hint="eastAsia" w:cs="Times New Roman"/>
          <w:color w:val="000000"/>
          <w:kern w:val="2"/>
          <w:szCs w:val="25"/>
          <w:lang w:bidi="ar"/>
        </w:rPr>
        <w:t>第四系松散地层赋水介质分布规律</w:t>
      </w:r>
    </w:p>
    <w:p w14:paraId="4B9BA6F3">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s="Times New Roman"/>
          <w:color w:val="000000"/>
          <w:kern w:val="2"/>
          <w:szCs w:val="25"/>
          <w:lang w:bidi="ar"/>
        </w:rPr>
        <w:t>第四系松散地层是地表水流床，也是地下水赋存的主要介质。昆仑山前平原至塔中沙漠区，第四系地层分布广泛，它不仅塑造了盆地现代地貌景观，而且对山前平原和沙漠腹地水资源的形成、运移、储存及水动力循环具有显著的影响作用。昆仑山前倾斜平原由河流冲洪积扇群组成，基底岩层处于民丰-若羌坳陷带内，向扇前缘过渡为冲积平原，由原层砂夹亚砂土，亚粘土互层组成，通称细土带，厚度为500m～800m；向盆地中央延伸，流水作用逐渐减弱，岩性粒度由粗变细，向河湖相和风积相过渡，被巨厚的粉细砂夹薄层亚砂土或精致粘土层代替。项目区处于中央隆起构造带内，第四系厚度有所变薄，一般沉积厚度小于300m，最大厚度可达500m，在较低的沙垅间洼地中可见冲、湖积地层出露，其岩性结构粒度同风成沙类同，流水层理清楚，并发现较多的螺壳化石，证明冲湖积的物质来源于风积砂再搬运沉积的结果。</w:t>
      </w:r>
    </w:p>
    <w:p w14:paraId="06BDB761">
      <w:pPr>
        <w:pStyle w:val="45"/>
        <w:widowControl w:val="0"/>
        <w:topLinePunct/>
        <w:spacing w:beforeAutospacing="0" w:afterAutospacing="0"/>
        <w:ind w:firstLine="484" w:firstLineChars="192"/>
        <w:jc w:val="both"/>
        <w:rPr>
          <w:rFonts w:hint="eastAsia" w:cs="Times New Roman"/>
          <w:color w:val="000000"/>
          <w:kern w:val="2"/>
          <w:szCs w:val="25"/>
          <w:lang w:bidi="ar"/>
        </w:rPr>
      </w:pPr>
      <w:r>
        <w:rPr>
          <w:rFonts w:hint="eastAsia" w:cs="Times New Roman"/>
          <w:color w:val="000000"/>
          <w:kern w:val="2"/>
          <w:szCs w:val="25"/>
          <w:lang w:bidi="ar"/>
        </w:rPr>
        <w:t>总之，塔里木盆地基底地形，由南向北经过的坳陷-隆起-再坳陷至塔中再隆起的波浪式变化，对第四系的补偿堆积具有很强的控制作用，为地下水的赋存和运移创造了有利的储水构造条件。区域水文地质见图5.2-1～图5.2-2。</w:t>
      </w:r>
    </w:p>
    <w:p w14:paraId="375A3A91">
      <w:pPr>
        <w:pStyle w:val="45"/>
        <w:widowControl w:val="0"/>
        <w:topLinePunct/>
        <w:spacing w:beforeAutospacing="0" w:afterAutospacing="0"/>
        <w:ind w:firstLine="484" w:firstLineChars="192"/>
        <w:jc w:val="both"/>
        <w:rPr>
          <w:rFonts w:cs="Times New Roman"/>
          <w:color w:val="000000"/>
          <w:kern w:val="2"/>
          <w:szCs w:val="25"/>
          <w:lang w:bidi="ar"/>
        </w:rPr>
      </w:pPr>
      <w:r>
        <w:rPr>
          <w:rFonts w:hint="eastAsia"/>
          <w:color w:val="000000"/>
          <w:szCs w:val="25"/>
        </w:rPr>
        <w:pict>
          <v:shape id="Object 1613" o:spid="_x0000_s1063" o:spt="75" type="#_x0000_t75" style="position:absolute;left:0pt;margin-left:28.95pt;margin-top:17.2pt;height:114.75pt;width:401.6pt;z-index:251668480;mso-width-relative:page;mso-height-relative:page;" o:ole="t" filled="f" o:preferrelative="t" stroked="f" coordsize="21600,21600">
            <v:path/>
            <v:fill on="f" focussize="0,0"/>
            <v:stroke on="f"/>
            <v:imagedata r:id="rId31" o:title=""/>
            <o:lock v:ext="edit" aspectratio="t"/>
          </v:shape>
          <o:OLEObject Type="Embed" ProgID="Word.Picture.8" ShapeID="Object 1613" DrawAspect="Content" ObjectID="_1468075726" r:id="rId30">
            <o:LockedField>false</o:LockedField>
          </o:OLEObject>
        </w:pict>
      </w:r>
    </w:p>
    <w:p w14:paraId="46BA8C75">
      <w:pPr>
        <w:topLinePunct/>
        <w:adjustRightInd w:val="0"/>
        <w:jc w:val="center"/>
        <w:rPr>
          <w:rFonts w:hint="eastAsia" w:hAnsi="宋体" w:cs="宋体"/>
          <w:color w:val="000000"/>
        </w:rPr>
      </w:pPr>
    </w:p>
    <w:p w14:paraId="22995483">
      <w:pPr>
        <w:topLinePunct/>
        <w:adjustRightInd w:val="0"/>
        <w:jc w:val="center"/>
        <w:rPr>
          <w:rFonts w:hint="eastAsia" w:hAnsi="宋体" w:cs="宋体"/>
          <w:color w:val="000000"/>
        </w:rPr>
      </w:pPr>
    </w:p>
    <w:p w14:paraId="0FC9B403">
      <w:pPr>
        <w:topLinePunct/>
        <w:adjustRightInd w:val="0"/>
        <w:jc w:val="center"/>
        <w:rPr>
          <w:rFonts w:hint="eastAsia" w:hAnsi="宋体" w:cs="宋体"/>
          <w:color w:val="000000"/>
        </w:rPr>
      </w:pPr>
    </w:p>
    <w:p w14:paraId="070B2535">
      <w:pPr>
        <w:pStyle w:val="34"/>
        <w:rPr>
          <w:rFonts w:hAnsi="宋体"/>
          <w:snapToGrid w:val="0"/>
          <w:color w:val="000000"/>
        </w:rPr>
      </w:pPr>
    </w:p>
    <w:p w14:paraId="0CB720F9">
      <w:pPr>
        <w:topLinePunct/>
        <w:adjustRightInd w:val="0"/>
        <w:rPr>
          <w:rFonts w:hint="eastAsia" w:hAnsi="宋体" w:cs="宋体"/>
          <w:color w:val="000000"/>
        </w:rPr>
      </w:pPr>
    </w:p>
    <w:p w14:paraId="0E631475">
      <w:pPr>
        <w:topLinePunct/>
        <w:adjustRightInd w:val="0"/>
        <w:spacing w:before="240"/>
        <w:jc w:val="center"/>
        <w:rPr>
          <w:rFonts w:hint="eastAsia" w:ascii="黑体" w:hAnsi="黑体" w:eastAsia="黑体"/>
          <w:color w:val="000000"/>
        </w:rPr>
      </w:pPr>
      <w:r>
        <w:rPr>
          <w:rFonts w:hint="eastAsia" w:ascii="黑体" w:hAnsi="黑体" w:eastAsia="黑体" w:cs="宋体"/>
          <w:color w:val="000000"/>
        </w:rPr>
        <w:t xml:space="preserve">图5.2-1    </w:t>
      </w:r>
      <w:r>
        <w:rPr>
          <w:rFonts w:hint="eastAsia" w:ascii="黑体" w:hAnsi="黑体" w:eastAsia="黑体"/>
          <w:color w:val="000000"/>
        </w:rPr>
        <w:t xml:space="preserve"> 水文地质剖面图</w:t>
      </w:r>
    </w:p>
    <w:p w14:paraId="77A6732A">
      <w:pPr>
        <w:pStyle w:val="45"/>
        <w:widowControl w:val="0"/>
        <w:topLinePunct/>
        <w:spacing w:beforeAutospacing="0" w:afterAutospacing="0"/>
        <w:ind w:firstLine="484" w:firstLineChars="192"/>
        <w:jc w:val="both"/>
        <w:rPr>
          <w:rFonts w:cs="Times New Roman"/>
          <w:color w:val="000000"/>
          <w:kern w:val="2"/>
          <w:szCs w:val="25"/>
          <w:lang w:bidi="ar"/>
        </w:rPr>
      </w:pPr>
      <w:r>
        <w:rPr>
          <w:rFonts w:cs="Times New Roman"/>
          <w:color w:val="000000"/>
          <w:kern w:val="2"/>
          <w:szCs w:val="25"/>
          <w:lang w:bidi="ar"/>
        </w:rPr>
        <w:br w:type="page"/>
      </w:r>
    </w:p>
    <w:p w14:paraId="58D9F2D2">
      <w:pPr>
        <w:pStyle w:val="45"/>
        <w:widowControl w:val="0"/>
        <w:topLinePunct/>
        <w:spacing w:beforeAutospacing="0" w:afterAutospacing="0"/>
        <w:ind w:firstLine="484" w:firstLineChars="192"/>
        <w:jc w:val="both"/>
        <w:rPr>
          <w:rFonts w:cs="Times New Roman"/>
          <w:color w:val="000000"/>
          <w:kern w:val="2"/>
          <w:szCs w:val="25"/>
          <w:lang w:bidi="ar"/>
        </w:rPr>
      </w:pPr>
      <w:r>
        <w:rPr>
          <w:color w:val="000000"/>
          <w:szCs w:val="25"/>
        </w:rPr>
        <w:pict>
          <v:group id="组合 2283" o:spid="_x0000_s1064" o:spt="203" style="position:absolute;left:0pt;margin-left:-6.5pt;margin-top:-12.4pt;height:433.1pt;width:463.1pt;z-index:251669504;mso-width-relative:page;mso-height-relative:page;" coordorigin="3704,3173522" coordsize="9262,8662">
            <o:lock v:ext="edit" aspectratio="f"/>
            <v:shape id="图片 2284" o:spid="_x0000_s1065" o:spt="75" alt="塔中水文地质图" type="#_x0000_t75" style="position:absolute;left:3704;top:3173522;height:8663;width:9263;" filled="f" o:preferrelative="t" stroked="f" coordsize="21600,21600">
              <v:path/>
              <v:fill on="f" focussize="0,0"/>
              <v:stroke on="f"/>
              <v:imagedata r:id="rId32" o:title="塔中水文地质图"/>
              <o:lock v:ext="edit" aspectratio="t"/>
            </v:shape>
            <v:rect id="矩形 460" o:spid="_x0000_s1066" o:spt="1" style="position:absolute;left:8260;top:3175825;height:57;width:57;v-text-anchor:middle;" fillcolor="#FF0000" filled="t" stroked="t" coordsize="21600,21600">
              <v:path/>
              <v:fill on="t" focussize="0,0"/>
              <v:stroke weight="2pt" color="#FF0000" joinstyle="round"/>
              <v:imagedata o:title=""/>
              <o:lock v:ext="edit" aspectratio="f"/>
              <v:textbox>
                <w:txbxContent>
                  <w:p w14:paraId="7F858508">
                    <w:pPr>
                      <w:jc w:val="center"/>
                    </w:pPr>
                  </w:p>
                </w:txbxContent>
              </v:textbox>
            </v:rect>
            <v:shape id="矩形标注 461" o:spid="_x0000_s1067" o:spt="61" type="#_x0000_t61" style="position:absolute;left:8116;top:3174948;height:527;width:1639;v-text-anchor:middle;" filled="f" stroked="t" coordsize="21600,21600" adj="2544,34880">
              <v:path/>
              <v:fill on="f" focussize="0,0"/>
              <v:stroke weight="1pt" joinstyle="round"/>
              <v:imagedata o:title=""/>
              <o:lock v:ext="edit" aspectratio="f"/>
              <v:textbox>
                <w:txbxContent>
                  <w:p w14:paraId="7ACC1FB8">
                    <w:pPr>
                      <w:jc w:val="center"/>
                      <w:rPr>
                        <w:b/>
                        <w:bCs/>
                        <w:color w:val="FF0000"/>
                      </w:rPr>
                    </w:pPr>
                    <w:r>
                      <w:rPr>
                        <w:rFonts w:hint="eastAsia"/>
                        <w:b/>
                        <w:bCs/>
                        <w:color w:val="FF0000"/>
                      </w:rPr>
                      <w:t>拟建工程位置</w:t>
                    </w:r>
                  </w:p>
                </w:txbxContent>
              </v:textbox>
            </v:shape>
          </v:group>
        </w:pict>
      </w:r>
    </w:p>
    <w:p w14:paraId="6A003F9E">
      <w:pPr>
        <w:pStyle w:val="45"/>
        <w:widowControl w:val="0"/>
        <w:topLinePunct/>
        <w:spacing w:beforeAutospacing="0" w:afterAutospacing="0"/>
        <w:ind w:firstLine="484" w:firstLineChars="192"/>
        <w:jc w:val="both"/>
        <w:rPr>
          <w:rFonts w:cs="Times New Roman"/>
          <w:color w:val="000000"/>
          <w:kern w:val="2"/>
          <w:szCs w:val="25"/>
          <w:lang w:bidi="ar"/>
        </w:rPr>
      </w:pPr>
    </w:p>
    <w:p w14:paraId="662FBA1E">
      <w:pPr>
        <w:pStyle w:val="45"/>
        <w:widowControl w:val="0"/>
        <w:topLinePunct/>
        <w:spacing w:beforeAutospacing="0" w:afterAutospacing="0"/>
        <w:ind w:firstLine="484" w:firstLineChars="192"/>
        <w:jc w:val="both"/>
        <w:rPr>
          <w:rFonts w:cs="Times New Roman"/>
          <w:color w:val="000000"/>
          <w:kern w:val="2"/>
          <w:szCs w:val="25"/>
          <w:lang w:bidi="ar"/>
        </w:rPr>
      </w:pPr>
    </w:p>
    <w:p w14:paraId="5F4A8FF9">
      <w:pPr>
        <w:pStyle w:val="45"/>
        <w:widowControl w:val="0"/>
        <w:topLinePunct/>
        <w:spacing w:beforeAutospacing="0" w:afterAutospacing="0"/>
        <w:ind w:firstLine="484" w:firstLineChars="192"/>
        <w:jc w:val="both"/>
        <w:rPr>
          <w:rFonts w:cs="Times New Roman"/>
          <w:color w:val="000000"/>
          <w:kern w:val="2"/>
          <w:szCs w:val="25"/>
          <w:lang w:bidi="ar"/>
        </w:rPr>
      </w:pPr>
    </w:p>
    <w:p w14:paraId="33FEFC6F">
      <w:pPr>
        <w:pStyle w:val="45"/>
        <w:widowControl w:val="0"/>
        <w:topLinePunct/>
        <w:spacing w:beforeAutospacing="0" w:afterAutospacing="0"/>
        <w:ind w:firstLine="484" w:firstLineChars="192"/>
        <w:jc w:val="both"/>
        <w:rPr>
          <w:rFonts w:cs="Times New Roman"/>
          <w:color w:val="000000"/>
          <w:kern w:val="2"/>
          <w:szCs w:val="25"/>
          <w:lang w:bidi="ar"/>
        </w:rPr>
      </w:pPr>
    </w:p>
    <w:p w14:paraId="477EB4ED">
      <w:pPr>
        <w:pStyle w:val="45"/>
        <w:widowControl w:val="0"/>
        <w:topLinePunct/>
        <w:spacing w:beforeAutospacing="0" w:afterAutospacing="0"/>
        <w:ind w:firstLine="484" w:firstLineChars="192"/>
        <w:jc w:val="both"/>
        <w:rPr>
          <w:rFonts w:cs="Times New Roman"/>
          <w:color w:val="000000"/>
          <w:kern w:val="2"/>
          <w:szCs w:val="25"/>
          <w:lang w:bidi="ar"/>
        </w:rPr>
      </w:pPr>
    </w:p>
    <w:p w14:paraId="7E1ECD17">
      <w:pPr>
        <w:pStyle w:val="45"/>
        <w:widowControl w:val="0"/>
        <w:topLinePunct/>
        <w:spacing w:beforeAutospacing="0" w:afterAutospacing="0"/>
        <w:ind w:firstLine="484" w:firstLineChars="192"/>
        <w:jc w:val="both"/>
        <w:rPr>
          <w:rFonts w:cs="Times New Roman"/>
          <w:color w:val="000000"/>
          <w:kern w:val="2"/>
          <w:szCs w:val="25"/>
          <w:lang w:bidi="ar"/>
        </w:rPr>
      </w:pPr>
    </w:p>
    <w:p w14:paraId="225B4FC0">
      <w:pPr>
        <w:pStyle w:val="45"/>
        <w:widowControl w:val="0"/>
        <w:topLinePunct/>
        <w:spacing w:beforeAutospacing="0" w:afterAutospacing="0"/>
        <w:ind w:firstLine="484" w:firstLineChars="192"/>
        <w:jc w:val="both"/>
        <w:rPr>
          <w:rFonts w:cs="Times New Roman"/>
          <w:color w:val="000000"/>
          <w:kern w:val="2"/>
          <w:szCs w:val="25"/>
          <w:lang w:bidi="ar"/>
        </w:rPr>
      </w:pPr>
    </w:p>
    <w:p w14:paraId="1618478F">
      <w:pPr>
        <w:pStyle w:val="45"/>
        <w:widowControl w:val="0"/>
        <w:topLinePunct/>
        <w:spacing w:beforeAutospacing="0" w:afterAutospacing="0"/>
        <w:ind w:firstLine="484" w:firstLineChars="192"/>
        <w:jc w:val="both"/>
        <w:rPr>
          <w:rFonts w:cs="Times New Roman"/>
          <w:color w:val="000000"/>
          <w:kern w:val="2"/>
          <w:szCs w:val="25"/>
          <w:lang w:bidi="ar"/>
        </w:rPr>
      </w:pPr>
    </w:p>
    <w:p w14:paraId="22D8A8D0">
      <w:pPr>
        <w:pStyle w:val="45"/>
        <w:widowControl w:val="0"/>
        <w:topLinePunct/>
        <w:spacing w:beforeAutospacing="0" w:afterAutospacing="0"/>
        <w:ind w:firstLine="484" w:firstLineChars="192"/>
        <w:jc w:val="both"/>
        <w:rPr>
          <w:rFonts w:cs="Times New Roman"/>
          <w:color w:val="000000"/>
          <w:kern w:val="2"/>
          <w:szCs w:val="25"/>
          <w:lang w:bidi="ar"/>
        </w:rPr>
      </w:pPr>
    </w:p>
    <w:p w14:paraId="340E624F">
      <w:pPr>
        <w:pStyle w:val="45"/>
        <w:widowControl w:val="0"/>
        <w:topLinePunct/>
        <w:spacing w:beforeAutospacing="0" w:afterAutospacing="0"/>
        <w:ind w:firstLine="484" w:firstLineChars="192"/>
        <w:jc w:val="both"/>
        <w:rPr>
          <w:rFonts w:cs="Times New Roman"/>
          <w:color w:val="000000"/>
          <w:kern w:val="2"/>
          <w:szCs w:val="25"/>
          <w:lang w:bidi="ar"/>
        </w:rPr>
      </w:pPr>
    </w:p>
    <w:p w14:paraId="4CEF74E0">
      <w:pPr>
        <w:pStyle w:val="45"/>
        <w:widowControl w:val="0"/>
        <w:topLinePunct/>
        <w:spacing w:beforeAutospacing="0" w:afterAutospacing="0"/>
        <w:ind w:firstLine="484" w:firstLineChars="192"/>
        <w:jc w:val="both"/>
        <w:rPr>
          <w:rFonts w:cs="Times New Roman"/>
          <w:color w:val="000000"/>
          <w:kern w:val="2"/>
          <w:szCs w:val="25"/>
          <w:lang w:bidi="ar"/>
        </w:rPr>
      </w:pPr>
    </w:p>
    <w:p w14:paraId="20263FBF">
      <w:pPr>
        <w:pStyle w:val="45"/>
        <w:widowControl w:val="0"/>
        <w:topLinePunct/>
        <w:spacing w:beforeAutospacing="0" w:afterAutospacing="0"/>
        <w:ind w:firstLine="484" w:firstLineChars="192"/>
        <w:jc w:val="both"/>
        <w:rPr>
          <w:rFonts w:hint="eastAsia" w:cs="Times New Roman"/>
          <w:color w:val="000000"/>
          <w:kern w:val="2"/>
          <w:szCs w:val="25"/>
          <w:lang w:bidi="ar"/>
        </w:rPr>
      </w:pPr>
    </w:p>
    <w:p w14:paraId="3F1426A8">
      <w:pPr>
        <w:pStyle w:val="45"/>
        <w:widowControl w:val="0"/>
        <w:topLinePunct/>
        <w:spacing w:beforeAutospacing="0" w:afterAutospacing="0"/>
        <w:ind w:firstLine="484" w:firstLineChars="192"/>
        <w:jc w:val="both"/>
        <w:rPr>
          <w:rFonts w:hint="eastAsia" w:cs="Times New Roman"/>
          <w:color w:val="000000"/>
          <w:kern w:val="2"/>
          <w:szCs w:val="25"/>
          <w:lang w:bidi="ar"/>
        </w:rPr>
      </w:pPr>
    </w:p>
    <w:p w14:paraId="582F962A">
      <w:pPr>
        <w:pStyle w:val="45"/>
        <w:widowControl w:val="0"/>
        <w:topLinePunct/>
        <w:spacing w:beforeAutospacing="0" w:afterAutospacing="0"/>
        <w:ind w:firstLine="484" w:firstLineChars="192"/>
        <w:jc w:val="both"/>
        <w:rPr>
          <w:rFonts w:hint="eastAsia" w:cs="Times New Roman"/>
          <w:color w:val="000000"/>
          <w:kern w:val="2"/>
          <w:szCs w:val="25"/>
          <w:lang w:bidi="ar"/>
        </w:rPr>
      </w:pPr>
    </w:p>
    <w:p w14:paraId="14D26865">
      <w:pPr>
        <w:pStyle w:val="45"/>
        <w:widowControl w:val="0"/>
        <w:topLinePunct/>
        <w:spacing w:beforeAutospacing="0" w:afterAutospacing="0"/>
        <w:ind w:firstLine="484" w:firstLineChars="192"/>
        <w:jc w:val="both"/>
        <w:rPr>
          <w:rFonts w:hint="eastAsia" w:cs="Times New Roman"/>
          <w:color w:val="000000"/>
          <w:kern w:val="2"/>
          <w:szCs w:val="25"/>
          <w:lang w:bidi="ar"/>
        </w:rPr>
      </w:pPr>
    </w:p>
    <w:p w14:paraId="127771EF">
      <w:pPr>
        <w:pStyle w:val="45"/>
        <w:widowControl w:val="0"/>
        <w:topLinePunct/>
        <w:spacing w:beforeAutospacing="0" w:afterAutospacing="0"/>
        <w:ind w:firstLine="484" w:firstLineChars="192"/>
        <w:jc w:val="both"/>
        <w:rPr>
          <w:rFonts w:hint="eastAsia" w:cs="Times New Roman"/>
          <w:color w:val="000000"/>
          <w:kern w:val="2"/>
          <w:szCs w:val="25"/>
          <w:lang w:bidi="ar"/>
        </w:rPr>
      </w:pPr>
    </w:p>
    <w:p w14:paraId="7BA07D67">
      <w:pPr>
        <w:topLinePunct/>
        <w:adjustRightInd w:val="0"/>
        <w:rPr>
          <w:rFonts w:hint="eastAsia" w:hAnsi="宋体" w:cs="宋体"/>
          <w:color w:val="000000"/>
        </w:rPr>
      </w:pPr>
    </w:p>
    <w:p w14:paraId="4386369E">
      <w:pPr>
        <w:topLinePunct/>
        <w:adjustRightInd w:val="0"/>
        <w:jc w:val="center"/>
        <w:rPr>
          <w:rFonts w:hint="eastAsia" w:hAnsi="宋体" w:cs="宋体"/>
          <w:color w:val="000000"/>
        </w:rPr>
      </w:pPr>
      <w:r>
        <w:rPr>
          <w:rFonts w:hint="eastAsia" w:hAnsi="宋体" w:cs="宋体"/>
          <w:color w:val="000000"/>
        </w:rPr>
        <w:t>图5.2-2     区域水文地质图</w:t>
      </w:r>
    </w:p>
    <w:p w14:paraId="6103B99B">
      <w:pPr>
        <w:pStyle w:val="45"/>
        <w:widowControl w:val="0"/>
        <w:topLinePunct/>
        <w:spacing w:beforeAutospacing="0" w:afterAutospacing="0"/>
        <w:ind w:firstLine="484" w:firstLineChars="192"/>
        <w:jc w:val="both"/>
        <w:rPr>
          <w:rFonts w:hint="eastAsia"/>
          <w:color w:val="000000"/>
          <w:kern w:val="2"/>
          <w:szCs w:val="25"/>
          <w:lang w:bidi="ar"/>
        </w:rPr>
      </w:pPr>
      <w:r>
        <w:rPr>
          <w:rFonts w:hint="eastAsia"/>
          <w:color w:val="000000"/>
          <w:kern w:val="2"/>
          <w:szCs w:val="25"/>
          <w:lang w:bidi="ar"/>
        </w:rPr>
        <w:t>（2）区域地下水系统特征</w:t>
      </w:r>
    </w:p>
    <w:p w14:paraId="7AB6C72A">
      <w:pPr>
        <w:topLinePunct/>
        <w:adjustRightInd w:val="0"/>
        <w:ind w:firstLine="526" w:firstLineChars="200"/>
        <w:rPr>
          <w:rFonts w:hint="eastAsia" w:hAnsi="宋体" w:cs="宋体"/>
          <w:color w:val="000000"/>
        </w:rPr>
      </w:pPr>
      <w:r>
        <w:rPr>
          <w:rFonts w:hint="eastAsia" w:hAnsi="宋体" w:cs="宋体"/>
          <w:color w:val="000000"/>
        </w:rPr>
        <w:t>项目区沙漠地下水同昆仑山前冲洪积平原地下水具有紧密联系并处于同一水环境单元，构成了区域地下水系统。</w:t>
      </w:r>
    </w:p>
    <w:p w14:paraId="560C889B">
      <w:pPr>
        <w:topLinePunct/>
        <w:adjustRightInd w:val="0"/>
        <w:ind w:firstLine="526" w:firstLineChars="200"/>
        <w:rPr>
          <w:rFonts w:hint="eastAsia" w:hAnsi="宋体" w:cs="宋体"/>
          <w:color w:val="000000"/>
        </w:rPr>
      </w:pPr>
      <w:r>
        <w:rPr>
          <w:rFonts w:hint="eastAsia" w:hAnsi="宋体" w:cs="宋体"/>
          <w:color w:val="000000"/>
        </w:rPr>
        <w:t>①地下水赋存及分布规律</w:t>
      </w:r>
    </w:p>
    <w:p w14:paraId="5755E91B">
      <w:pPr>
        <w:topLinePunct/>
        <w:adjustRightInd w:val="0"/>
        <w:ind w:firstLine="526" w:firstLineChars="200"/>
        <w:rPr>
          <w:rFonts w:hint="eastAsia" w:hAnsi="宋体" w:cs="宋体"/>
          <w:color w:val="000000"/>
        </w:rPr>
      </w:pPr>
      <w:r>
        <w:rPr>
          <w:rFonts w:hint="eastAsia" w:hAnsi="宋体" w:cs="宋体"/>
          <w:color w:val="000000"/>
        </w:rPr>
        <w:t>本区从昆仑山前至基底地质构造由两个坳陷和两个隆起组成。直接影响储水介质——第四系松散物质的补偿性沉积厚度和地下水赋存条件。在地貌上山前倾斜平原衔接沙漠覆盖的冲积湖积平原，构成完整的水系统单元，自南向北沿流向水文地质条件呈有规律的变化。</w:t>
      </w:r>
    </w:p>
    <w:p w14:paraId="455410A0">
      <w:pPr>
        <w:topLinePunct/>
        <w:adjustRightInd w:val="0"/>
        <w:ind w:firstLine="526" w:firstLineChars="200"/>
        <w:rPr>
          <w:rFonts w:hint="eastAsia" w:hAnsi="宋体" w:cs="宋体"/>
          <w:color w:val="000000"/>
        </w:rPr>
      </w:pPr>
      <w:r>
        <w:rPr>
          <w:rFonts w:hint="eastAsia" w:hAnsi="宋体" w:cs="宋体"/>
          <w:color w:val="000000"/>
        </w:rPr>
        <w:t>a 南部山前平原：据水文地质普查勘探资料，山前平原处于民丰-若羌坳陷内，由第四系松散卵砾质堆积物充填，厚度近千米，储水条件优越，赋存有丰富的水质良好的潜水，315国道南侧一带，地下水埋深10m～20m，向山麓方向埋深大于60m，含水层岩性为单一的卵砾石层，富水性强，水交替条件活跃，单井涌水量大于2000m</w:t>
      </w:r>
      <w:r>
        <w:rPr>
          <w:rFonts w:hint="eastAsia" w:hAnsi="宋体" w:cs="宋体"/>
          <w:color w:val="000000"/>
          <w:vertAlign w:val="superscript"/>
        </w:rPr>
        <w:t>3</w:t>
      </w:r>
      <w:r>
        <w:rPr>
          <w:rFonts w:hint="eastAsia" w:hAnsi="宋体" w:cs="宋体"/>
          <w:color w:val="000000"/>
        </w:rPr>
        <w:t>/d。</w:t>
      </w:r>
    </w:p>
    <w:p w14:paraId="59EEA3D9">
      <w:pPr>
        <w:topLinePunct/>
        <w:adjustRightInd w:val="0"/>
        <w:ind w:firstLine="526" w:firstLineChars="200"/>
        <w:rPr>
          <w:rFonts w:hint="eastAsia" w:hAnsi="宋体" w:cs="宋体"/>
          <w:color w:val="000000"/>
        </w:rPr>
      </w:pPr>
      <w:r>
        <w:rPr>
          <w:rFonts w:hint="eastAsia" w:hAnsi="宋体" w:cs="宋体"/>
          <w:color w:val="000000"/>
        </w:rPr>
        <w:t>倾斜平原前缘，处于车尔臣隆起带内，第四系冲积层相变为双层和多层结构的粗中砂、粉细砂和粘土、亚粘土或亚砂土互层，为细土平原带，赋存有上部劣质潜水和下层（深部）优质承压水的储水构造。潜水位埋深1m～10m，富水性时空变化大，以安边尔兰杆边界，东部人莫勒恰河和喀拉米兰河下游平原，富水性较差，单井涌水量约500m</w:t>
      </w:r>
      <w:r>
        <w:rPr>
          <w:rFonts w:hint="eastAsia" w:hAnsi="宋体" w:cs="宋体"/>
          <w:color w:val="000000"/>
          <w:vertAlign w:val="superscript"/>
        </w:rPr>
        <w:t>3</w:t>
      </w:r>
      <w:r>
        <w:rPr>
          <w:rFonts w:hint="eastAsia" w:hAnsi="宋体" w:cs="宋体"/>
          <w:color w:val="000000"/>
        </w:rPr>
        <w:t>/d。深部承压水有两层含水层，以中细砂为主，富水性较强，单井涌水量达1000m</w:t>
      </w:r>
      <w:r>
        <w:rPr>
          <w:rFonts w:hint="eastAsia" w:hAnsi="宋体" w:cs="宋体"/>
          <w:color w:val="000000"/>
          <w:vertAlign w:val="superscript"/>
        </w:rPr>
        <w:t>3</w:t>
      </w:r>
      <w:r>
        <w:rPr>
          <w:rFonts w:hint="eastAsia" w:hAnsi="宋体" w:cs="宋体"/>
          <w:color w:val="000000"/>
        </w:rPr>
        <w:t>/d～2000m</w:t>
      </w:r>
      <w:r>
        <w:rPr>
          <w:rFonts w:hint="eastAsia" w:hAnsi="宋体" w:cs="宋体"/>
          <w:color w:val="000000"/>
          <w:vertAlign w:val="superscript"/>
        </w:rPr>
        <w:t>3</w:t>
      </w:r>
      <w:r>
        <w:rPr>
          <w:rFonts w:hint="eastAsia" w:hAnsi="宋体" w:cs="宋体"/>
          <w:color w:val="000000"/>
        </w:rPr>
        <w:t>/d。</w:t>
      </w:r>
    </w:p>
    <w:p w14:paraId="42423EE1">
      <w:pPr>
        <w:topLinePunct/>
        <w:adjustRightInd w:val="0"/>
        <w:ind w:firstLine="526" w:firstLineChars="200"/>
        <w:rPr>
          <w:rFonts w:hint="eastAsia" w:hAnsi="宋体" w:cs="宋体"/>
          <w:color w:val="000000"/>
        </w:rPr>
      </w:pPr>
      <w:r>
        <w:rPr>
          <w:rFonts w:hint="eastAsia" w:hAnsi="宋体" w:cs="宋体"/>
          <w:color w:val="000000"/>
        </w:rPr>
        <w:t>b北部古冲积湖积平原：基底由唐古孜巴斯拗陷过渡到中央隆起带。新生代时期随着基底地壳坳陷和隆起的演化，第四纪古水文网异常发育，对风成沙的再搬运，形成当今的厚度大于300m，以粉细砂为主体，夹有不稳定亚砂、亚粘土层的储水构造，构成广阔的古冲湖积平原，普遍含有地下水。现代风成沙堆积在古冲积平原之上，流动的沙丘、沙垅不含地下水，形成表层风沙地貌。深部大厚度粉细砂层构成巨大的储水空间。据沙漠中钻井资料分析，沙漠地下水主要分布于更新世中晚期冲积和冲湖积砂层中。石油勘探供水井资料表明垅间洼地地下水位3m～5m，最大深度15m，井深100m～120m，8英寸管径单井涌水量达600m</w:t>
      </w:r>
      <w:r>
        <w:rPr>
          <w:rFonts w:hint="eastAsia" w:hAnsi="宋体" w:cs="宋体"/>
          <w:color w:val="000000"/>
          <w:vertAlign w:val="superscript"/>
        </w:rPr>
        <w:t>3</w:t>
      </w:r>
      <w:r>
        <w:rPr>
          <w:rFonts w:hint="eastAsia" w:hAnsi="宋体" w:cs="宋体"/>
          <w:color w:val="000000"/>
        </w:rPr>
        <w:t>/d～1000m</w:t>
      </w:r>
      <w:r>
        <w:rPr>
          <w:rFonts w:hint="eastAsia" w:hAnsi="宋体" w:cs="宋体"/>
          <w:color w:val="000000"/>
          <w:vertAlign w:val="superscript"/>
        </w:rPr>
        <w:t>3</w:t>
      </w:r>
      <w:r>
        <w:rPr>
          <w:rFonts w:hint="eastAsia" w:hAnsi="宋体" w:cs="宋体"/>
          <w:color w:val="000000"/>
        </w:rPr>
        <w:t>/d，单位涌水量1L/s·m左右，属水量中等的潜水含水层。水质差，矿化度4g/L～5g/L，不适饮用。据分析第四系含水层之下的新第三系泥岩、砾岩和砂岩有深循环承压地下水分布，有待供水勘探证实。</w:t>
      </w:r>
    </w:p>
    <w:p w14:paraId="328E6D32">
      <w:pPr>
        <w:topLinePunct/>
        <w:adjustRightInd w:val="0"/>
        <w:ind w:firstLine="526" w:firstLineChars="200"/>
        <w:rPr>
          <w:rFonts w:hint="eastAsia" w:hAnsi="宋体" w:cs="宋体"/>
          <w:color w:val="000000"/>
        </w:rPr>
      </w:pPr>
      <w:r>
        <w:rPr>
          <w:rFonts w:hint="eastAsia" w:hAnsi="宋体" w:cs="宋体"/>
          <w:color w:val="000000"/>
        </w:rPr>
        <w:t>②地下水补给、径流、排泄条件</w:t>
      </w:r>
    </w:p>
    <w:p w14:paraId="18DBBAC2">
      <w:pPr>
        <w:topLinePunct/>
        <w:adjustRightInd w:val="0"/>
        <w:ind w:firstLine="526" w:firstLineChars="200"/>
        <w:rPr>
          <w:rFonts w:hint="eastAsia" w:hAnsi="宋体" w:cs="宋体"/>
          <w:color w:val="000000"/>
        </w:rPr>
      </w:pPr>
      <w:r>
        <w:rPr>
          <w:rFonts w:hint="eastAsia" w:hAnsi="宋体" w:cs="宋体"/>
          <w:color w:val="000000"/>
        </w:rPr>
        <w:t>昆仑山前平原至沙漠腹地油气田区，为一个整体的地下水动力系统，具有良好的储水条件，贮水体积巨大，地下水分布较为普遍，其补给水源主要靠山地流入的七条河流和季节洪流的转化下渗补给。据外业调查，这些地表径流在山前平原区除蒸发消耗和小面积灌溉被作物吸收外约有90%以上水量渗失地下转换为地下水资源，如安迪尔河和牙通古孜河出山口不到15km，全部渗入地下，河床断流，估测地表水转换为地下水资源约为5×10</w:t>
      </w:r>
      <w:r>
        <w:rPr>
          <w:rFonts w:hint="eastAsia" w:hAnsi="宋体" w:cs="宋体"/>
          <w:color w:val="000000"/>
          <w:vertAlign w:val="superscript"/>
        </w:rPr>
        <w:t>8</w:t>
      </w:r>
      <w:r>
        <w:rPr>
          <w:rFonts w:hint="eastAsia" w:hAnsi="宋体" w:cs="宋体"/>
          <w:color w:val="000000"/>
        </w:rPr>
        <w:t>m</w:t>
      </w:r>
      <w:r>
        <w:rPr>
          <w:rFonts w:hint="eastAsia" w:hAnsi="宋体" w:cs="宋体"/>
          <w:color w:val="000000"/>
          <w:vertAlign w:val="superscript"/>
        </w:rPr>
        <w:t>3</w:t>
      </w:r>
      <w:r>
        <w:rPr>
          <w:rFonts w:hint="eastAsia" w:hAnsi="宋体" w:cs="宋体"/>
          <w:color w:val="000000"/>
        </w:rPr>
        <w:t>/a，说明地表水补给地下水作用极为强烈。平原区虽有大气降水，但不足30mm，其它如灌溉水入渗等，其量甚微，对平原地下水补给不具实际意义。</w:t>
      </w:r>
    </w:p>
    <w:p w14:paraId="21608F8E">
      <w:pPr>
        <w:topLinePunct/>
        <w:adjustRightInd w:val="0"/>
        <w:ind w:firstLine="526" w:firstLineChars="200"/>
        <w:rPr>
          <w:rFonts w:hint="eastAsia" w:hAnsi="宋体" w:cs="宋体"/>
          <w:color w:val="000000"/>
        </w:rPr>
      </w:pPr>
      <w:r>
        <w:rPr>
          <w:rFonts w:hint="eastAsia" w:hAnsi="宋体" w:cs="宋体"/>
          <w:color w:val="000000"/>
        </w:rPr>
        <w:t>地下水径流自南向北运动，山前至沙漠油田区地形高差大于400m，径流交替强烈，向较低的沙漠腹地运移条件良好，地下径流速度由每日数十米向沙漠古冲湖积平原逐渐趋于缓慢，约为1m，构成广大沙漠中大面积地滞留集水区，是沙漠普遍分布地下水的基本原因之一。</w:t>
      </w:r>
    </w:p>
    <w:p w14:paraId="7F677D59">
      <w:pPr>
        <w:topLinePunct/>
        <w:adjustRightInd w:val="0"/>
        <w:ind w:firstLine="526" w:firstLineChars="200"/>
        <w:rPr>
          <w:rFonts w:hint="eastAsia" w:hAnsi="宋体" w:cs="宋体"/>
          <w:color w:val="000000"/>
        </w:rPr>
      </w:pPr>
      <w:r>
        <w:rPr>
          <w:rFonts w:hint="eastAsia" w:hAnsi="宋体" w:cs="宋体"/>
          <w:color w:val="000000"/>
        </w:rPr>
        <w:t>地下水的排泄，严格受基底构造控制，在车尔臣隆起带附近，倾斜平原前缘地下水位埋深1.5m，古河道侵蚀谷侧有泉水出露，一般流量小于5L/s，是地下水排泄回归地表水，而后又汇集河床向沙漠倾泻，形成局部循环转化过程。但大面积地下水浅埋带垂直蒸发强烈，特别是在埋深小于1m地段，地表土层普遍积盐，形成厚达10cm～20cm的白色盐壳，表明该带为地下水排泄地段。深部的大量地下径流仍源源不断地向沙漠中汇集，在沙漠中仅占15%面积的垅间洼地内水位浅埋地段，仅有极少部分蒸发消耗，表现为正均衡状态。沙漠下伏冲湖积层是地下水储存的地下水库，地下水呈长期的滞流状态，靠远距离排泄平衡。</w:t>
      </w:r>
    </w:p>
    <w:p w14:paraId="4C8348D1">
      <w:pPr>
        <w:topLinePunct/>
        <w:adjustRightInd w:val="0"/>
        <w:ind w:firstLine="526" w:firstLineChars="200"/>
        <w:rPr>
          <w:rFonts w:hint="eastAsia" w:hAnsi="宋体" w:cs="宋体"/>
          <w:color w:val="000000"/>
        </w:rPr>
      </w:pPr>
      <w:r>
        <w:rPr>
          <w:rFonts w:hint="eastAsia" w:hAnsi="宋体" w:cs="宋体"/>
          <w:color w:val="000000"/>
        </w:rPr>
        <w:t>③地下水水化学演变规律</w:t>
      </w:r>
    </w:p>
    <w:p w14:paraId="1EB23F6F">
      <w:pPr>
        <w:topLinePunct/>
        <w:adjustRightInd w:val="0"/>
        <w:ind w:firstLine="526" w:firstLineChars="200"/>
        <w:rPr>
          <w:rFonts w:hint="eastAsia" w:hAnsi="宋体" w:cs="宋体"/>
          <w:color w:val="000000"/>
        </w:rPr>
      </w:pPr>
      <w:r>
        <w:rPr>
          <w:rFonts w:hint="eastAsia" w:hAnsi="宋体" w:cs="宋体"/>
          <w:color w:val="000000"/>
        </w:rPr>
        <w:t>地下水化学特征的形成及演变，是地下水在地质构造、地层岩性及水文地质条件控制下，在不同介质中运移与围岩进行各种水文地球化学作用的结果。塔克拉玛干沙漠区地下水化学特征，是在极端干旱的气候条件下形成的，在水化学演化作用中从山地到倾斜径流过程中，水文地球化学作用十分复杂强烈。表现为大陆盐化过程，是沙漠地下水最显著的水化学特征。</w:t>
      </w:r>
    </w:p>
    <w:p w14:paraId="19CCFC43">
      <w:pPr>
        <w:topLinePunct/>
        <w:adjustRightInd w:val="0"/>
        <w:ind w:firstLine="526" w:firstLineChars="200"/>
        <w:rPr>
          <w:rFonts w:hint="eastAsia" w:hAnsi="宋体" w:cs="宋体"/>
          <w:color w:val="000000"/>
        </w:rPr>
      </w:pPr>
      <w:r>
        <w:rPr>
          <w:rFonts w:hint="eastAsia" w:hAnsi="宋体" w:cs="宋体"/>
          <w:color w:val="000000"/>
        </w:rPr>
        <w:t>从山前平原单一的卵砾石带过渡到细土平原和冲洪积平原（沙漠区），地下水化学成分，表现为由上游到下游沿地下水流向的水平演变；而且也有沿河床由近及远方向的水平分带规律，同时大厚度含水层水化学垂直分带规律也普遍存在。</w:t>
      </w:r>
    </w:p>
    <w:p w14:paraId="07547411">
      <w:pPr>
        <w:topLinePunct/>
        <w:adjustRightInd w:val="0"/>
        <w:ind w:firstLine="526" w:firstLineChars="200"/>
        <w:rPr>
          <w:rFonts w:hint="eastAsia" w:hAnsi="宋体" w:cs="宋体"/>
          <w:color w:val="000000"/>
        </w:rPr>
      </w:pPr>
      <w:r>
        <w:rPr>
          <w:rFonts w:hint="eastAsia" w:hAnsi="宋体" w:cs="宋体"/>
          <w:color w:val="000000"/>
        </w:rPr>
        <w:t>a沿地下水流向自南向北水平变化规律</w:t>
      </w:r>
    </w:p>
    <w:p w14:paraId="5A5D6761">
      <w:pPr>
        <w:topLinePunct/>
        <w:adjustRightInd w:val="0"/>
        <w:ind w:firstLine="526" w:firstLineChars="200"/>
        <w:rPr>
          <w:rFonts w:hint="eastAsia" w:hAnsi="宋体" w:cs="宋体"/>
          <w:color w:val="000000"/>
        </w:rPr>
      </w:pPr>
      <w:r>
        <w:rPr>
          <w:rFonts w:hint="eastAsia" w:hAnsi="宋体" w:cs="宋体"/>
          <w:color w:val="000000"/>
        </w:rPr>
        <w:t>从山前至沙漠常量阴阳离子转换明显，矿化度不断增高，水质向劣化方向递变，水化学类型由倾斜平原的SO</w:t>
      </w:r>
      <w:r>
        <w:rPr>
          <w:rFonts w:hint="eastAsia" w:hAnsi="宋体" w:cs="宋体"/>
          <w:color w:val="000000"/>
          <w:vertAlign w:val="subscript"/>
        </w:rPr>
        <w:t>4</w:t>
      </w:r>
      <w:r>
        <w:rPr>
          <w:rFonts w:hint="eastAsia" w:hAnsi="宋体" w:cs="宋体"/>
          <w:color w:val="000000"/>
        </w:rPr>
        <w:t>-Ca→细土带SO</w:t>
      </w:r>
      <w:r>
        <w:rPr>
          <w:rFonts w:hint="eastAsia" w:hAnsi="宋体" w:cs="宋体"/>
          <w:color w:val="000000"/>
          <w:vertAlign w:val="subscript"/>
        </w:rPr>
        <w:t>4</w:t>
      </w:r>
      <w:r>
        <w:rPr>
          <w:rFonts w:hint="eastAsia" w:hAnsi="宋体" w:cs="宋体"/>
          <w:color w:val="000000"/>
        </w:rPr>
        <w:t>·Cl-Ca→至沙漠区为Cl·SO</w:t>
      </w:r>
      <w:r>
        <w:rPr>
          <w:rFonts w:hint="eastAsia" w:hAnsi="宋体" w:cs="宋体"/>
          <w:color w:val="000000"/>
          <w:vertAlign w:val="subscript"/>
        </w:rPr>
        <w:t>4</w:t>
      </w:r>
      <w:r>
        <w:rPr>
          <w:rFonts w:hint="eastAsia" w:hAnsi="宋体" w:cs="宋体"/>
          <w:color w:val="000000"/>
        </w:rPr>
        <w:t>-Na水递变；矿化度由＜1g/L→1g/L～3g/L→3g/L～10g/L递增。特别是大面积的沙漠地下水类型比较稳定，均为Cl·SO</w:t>
      </w:r>
      <w:r>
        <w:rPr>
          <w:rFonts w:hint="eastAsia" w:hAnsi="宋体" w:cs="宋体"/>
          <w:color w:val="000000"/>
          <w:vertAlign w:val="subscript"/>
        </w:rPr>
        <w:t>4</w:t>
      </w:r>
      <w:r>
        <w:rPr>
          <w:rFonts w:hint="eastAsia" w:hAnsi="宋体" w:cs="宋体"/>
          <w:color w:val="000000"/>
        </w:rPr>
        <w:t>-Na水。</w:t>
      </w:r>
    </w:p>
    <w:p w14:paraId="3109B729">
      <w:pPr>
        <w:topLinePunct/>
        <w:adjustRightInd w:val="0"/>
        <w:ind w:firstLine="526" w:firstLineChars="200"/>
        <w:rPr>
          <w:rFonts w:hint="eastAsia" w:hAnsi="宋体" w:cs="宋体"/>
          <w:color w:val="000000"/>
        </w:rPr>
      </w:pPr>
      <w:r>
        <w:rPr>
          <w:rFonts w:hint="eastAsia" w:hAnsi="宋体" w:cs="宋体"/>
          <w:color w:val="000000"/>
        </w:rPr>
        <w:t>b 垂直河床方向的水平分带规律</w:t>
      </w:r>
    </w:p>
    <w:p w14:paraId="40E19A21">
      <w:pPr>
        <w:topLinePunct/>
        <w:adjustRightInd w:val="0"/>
        <w:ind w:firstLine="526" w:firstLineChars="200"/>
        <w:rPr>
          <w:rFonts w:hint="eastAsia" w:hAnsi="宋体" w:cs="宋体"/>
          <w:color w:val="000000"/>
        </w:rPr>
      </w:pPr>
      <w:r>
        <w:rPr>
          <w:rFonts w:hint="eastAsia" w:hAnsi="宋体" w:cs="宋体"/>
          <w:color w:val="000000"/>
        </w:rPr>
        <w:t>因河水是地下水主要补给源，所以垂直河床两侧的地下水的水质由近及远地表现为水平分带规律。即随着河床向两侧地表水和地下水混合作用由强到弱，水化学成分近河水向原始水形式呈分带变化，各带的宽度大小与河水流量大小和所接触的含水层透水性密切相关。</w:t>
      </w:r>
    </w:p>
    <w:p w14:paraId="67665FC0">
      <w:pPr>
        <w:topLinePunct/>
        <w:adjustRightInd w:val="0"/>
        <w:ind w:firstLine="526" w:firstLineChars="200"/>
        <w:rPr>
          <w:rFonts w:hint="eastAsia" w:hAnsi="宋体" w:cs="宋体"/>
          <w:color w:val="000000"/>
        </w:rPr>
      </w:pPr>
      <w:r>
        <w:rPr>
          <w:rFonts w:hint="eastAsia" w:hAnsi="宋体" w:cs="宋体"/>
          <w:color w:val="000000"/>
        </w:rPr>
        <w:t>c垂直分带规律</w:t>
      </w:r>
    </w:p>
    <w:p w14:paraId="66E81F71">
      <w:pPr>
        <w:topLinePunct/>
        <w:adjustRightInd w:val="0"/>
        <w:ind w:firstLine="526" w:firstLineChars="200"/>
        <w:rPr>
          <w:rFonts w:hint="eastAsia" w:hAnsi="宋体"/>
          <w:color w:val="000000"/>
          <w:lang w:bidi="ar"/>
        </w:rPr>
      </w:pPr>
      <w:r>
        <w:rPr>
          <w:rFonts w:hint="eastAsia" w:hAnsi="宋体" w:cs="宋体"/>
          <w:color w:val="000000"/>
        </w:rPr>
        <w:t>地下水上咸下淡的倒置垂直分带性是干旱区潜水化学的普遍特征之一。主要表现在细土带和沙漠区大厚度含水层和上部潜水与下部承压水分布区。这类地区含水层颗粒细，水力坡度小，地下水径流速度滞缓，水位埋深浅，在极端干旱的气候条件下，潜水大量蒸发，盐分自下而上不断迁移，使盐分在潜水上部或地面富集，而下层（或深部）潜水（或承压水）水质相对较好。这种规律在塔中沙漠地下水中反应明显。如塔中油田区浅-深部均为Cl·SO</w:t>
      </w:r>
      <w:r>
        <w:rPr>
          <w:rFonts w:hint="eastAsia" w:hAnsi="宋体" w:cs="宋体"/>
          <w:color w:val="000000"/>
          <w:vertAlign w:val="subscript"/>
        </w:rPr>
        <w:t>4</w:t>
      </w:r>
      <w:r>
        <w:rPr>
          <w:rFonts w:hint="eastAsia" w:hAnsi="宋体" w:cs="宋体"/>
          <w:color w:val="000000"/>
        </w:rPr>
        <w:t>-Na水，但矿化度随深度增加而降低，表层水矿化度一般都大于5g/L，100m～120m水井矿化度为4g/L～5g/L，GS3水井263m～354m深度段地下水矿化度为4.2g/L，GS2水井251m～389m深度矿化度为3.5g/L。</w:t>
      </w:r>
    </w:p>
    <w:p w14:paraId="10E111AB">
      <w:pPr>
        <w:topLinePunct/>
        <w:outlineLvl w:val="3"/>
        <w:rPr>
          <w:rFonts w:hint="eastAsia" w:hAnsi="宋体"/>
          <w:color w:val="000000"/>
          <w:lang w:bidi="ar"/>
        </w:rPr>
      </w:pPr>
      <w:r>
        <w:rPr>
          <w:rFonts w:hint="eastAsia" w:hAnsi="宋体"/>
          <w:color w:val="000000"/>
          <w:lang w:bidi="ar"/>
        </w:rPr>
        <w:t>5.2.1.2 评价区水文地质条件</w:t>
      </w:r>
    </w:p>
    <w:p w14:paraId="006ACA8E">
      <w:pPr>
        <w:topLinePunct/>
        <w:adjustRightInd w:val="0"/>
        <w:ind w:firstLine="526" w:firstLineChars="200"/>
        <w:rPr>
          <w:rFonts w:hint="eastAsia" w:hAnsi="宋体" w:cs="宋体"/>
          <w:color w:val="000000"/>
        </w:rPr>
      </w:pPr>
      <w:r>
        <w:rPr>
          <w:rFonts w:hint="eastAsia" w:hAnsi="宋体" w:cs="宋体"/>
          <w:color w:val="000000"/>
        </w:rPr>
        <w:t>为了解评价区地层岩性及潜水水位的变化情况，本次水文地质调查引用青岛中油岩土工程有限公司2018年对塔中区块地下水调查资料。在水文地质调查过程中共施工了38组探井。通过对探井地分析编录，对地层岩性在全区上的变化有了一定认识，其岩性为粉砂、细砂夹薄层粉质粘土，其中粉砂层占到了含水层厚度的70%以上，粉砂和细砂层均呈东西向水平分布，但细砂层因其单层厚度较小，因此水平方向分布不连续，多呈薄层或透镜体状存在。其间夹粉质粘土的厚度比较薄且不连续，一般为0.05～0.2m。</w:t>
      </w:r>
    </w:p>
    <w:p w14:paraId="4C5B0CB4">
      <w:pPr>
        <w:topLinePunct/>
        <w:adjustRightInd w:val="0"/>
        <w:ind w:firstLine="526" w:firstLineChars="200"/>
        <w:rPr>
          <w:rFonts w:hint="eastAsia" w:hAnsi="宋体" w:cs="宋体"/>
          <w:color w:val="000000"/>
        </w:rPr>
      </w:pPr>
      <w:r>
        <w:rPr>
          <w:rFonts w:hint="eastAsia" w:hAnsi="宋体" w:cs="宋体"/>
          <w:color w:val="000000"/>
        </w:rPr>
        <w:t>评价区的洼地内潜水位一般埋藏较浅，静止水位多为3～5m，垄岗状沙丘上地下水水位埋深达到37m。含水层厚度大且分布面积广，使广大的沙漠区犹如一个巨大的地下水库。</w:t>
      </w:r>
    </w:p>
    <w:p w14:paraId="2502AF01">
      <w:pPr>
        <w:topLinePunct/>
        <w:adjustRightInd w:val="0"/>
        <w:ind w:firstLine="526" w:firstLineChars="200"/>
        <w:rPr>
          <w:rFonts w:hint="eastAsia" w:hAnsi="宋体" w:cs="宋体"/>
          <w:color w:val="000000"/>
        </w:rPr>
      </w:pPr>
      <w:r>
        <w:rPr>
          <w:rFonts w:hint="eastAsia" w:hAnsi="宋体" w:cs="宋体"/>
          <w:color w:val="000000"/>
        </w:rPr>
        <w:t>（1）含水层空间分布</w:t>
      </w:r>
    </w:p>
    <w:p w14:paraId="1FE1D1F3">
      <w:pPr>
        <w:topLinePunct/>
        <w:adjustRightInd w:val="0"/>
        <w:ind w:firstLine="526" w:firstLineChars="200"/>
        <w:rPr>
          <w:rFonts w:hint="eastAsia" w:hAnsi="宋体" w:cs="宋体"/>
          <w:color w:val="000000"/>
        </w:rPr>
      </w:pPr>
      <w:r>
        <w:rPr>
          <w:rFonts w:hint="eastAsia" w:hAnsi="宋体" w:cs="宋体"/>
          <w:color w:val="000000"/>
        </w:rPr>
        <w:t>根据野外岩性描述，评价区含水地层总体上基本一致，岩性自上而下差异不大，砂层占据绝对优势，砂层中又以粉砂占绝对优势。</w:t>
      </w:r>
    </w:p>
    <w:p w14:paraId="635E40E7">
      <w:pPr>
        <w:topLinePunct/>
        <w:adjustRightInd w:val="0"/>
        <w:ind w:firstLine="526" w:firstLineChars="200"/>
        <w:rPr>
          <w:rFonts w:hint="eastAsia" w:hAnsi="宋体" w:cs="宋体"/>
          <w:color w:val="000000"/>
        </w:rPr>
      </w:pPr>
      <w:r>
        <w:rPr>
          <w:rFonts w:hint="eastAsia" w:hAnsi="宋体" w:cs="宋体"/>
          <w:color w:val="000000"/>
        </w:rPr>
        <w:t>据资料分析，评价区内在深度300m以上的潜水含水层大体可以划分为2个含水岩组，即220m以上的中、上更新统含水岩组和220～300m的下更新统含水岩组。中上更新统含水岩组包括2～3个含水层，潜水含水层的岩性主要为第四系全新统冲积的粉砂，其次为细砂。其中细砂层数较多，单层厚度较小，呈薄层或透镜体状，单层厚度一般0.5～20m，最大可达28m。下更新统含水岩组可分为上、下两个含水段；上含水段深度为220～300m，包括1～2个含水层。</w:t>
      </w:r>
    </w:p>
    <w:p w14:paraId="3B35DB30">
      <w:pPr>
        <w:topLinePunct/>
        <w:adjustRightInd w:val="0"/>
        <w:ind w:firstLine="526" w:firstLineChars="200"/>
        <w:rPr>
          <w:rFonts w:hint="eastAsia" w:hAnsi="宋体" w:cs="宋体"/>
          <w:color w:val="000000"/>
        </w:rPr>
      </w:pPr>
      <w:r>
        <w:rPr>
          <w:rFonts w:hint="eastAsia" w:hAnsi="宋体" w:cs="宋体"/>
          <w:color w:val="000000"/>
        </w:rPr>
        <w:t>评价区内潜水的水位埋藏深度随沙漠地形变化，由于地形复杂，因而地下水埋深变化也很复杂，无明显规律。洼地潜水静止水位一般在3～5m之间。水质较差，根据取样检测分析可知，矿化度一般在3.0～13.8g/L，矿化度大小分布无规律。</w:t>
      </w:r>
    </w:p>
    <w:p w14:paraId="1A64405A">
      <w:pPr>
        <w:topLinePunct/>
        <w:adjustRightInd w:val="0"/>
        <w:ind w:firstLine="526" w:firstLineChars="200"/>
        <w:rPr>
          <w:rFonts w:hAnsi="宋体" w:cs="宋体"/>
          <w:color w:val="000000"/>
        </w:rPr>
      </w:pPr>
      <w:r>
        <w:rPr>
          <w:rFonts w:hint="eastAsia" w:hAnsi="宋体" w:cs="宋体"/>
          <w:color w:val="000000"/>
        </w:rPr>
        <w:t>（2）地下水类型及富水性</w:t>
      </w:r>
    </w:p>
    <w:p w14:paraId="2E53EE64">
      <w:pPr>
        <w:topLinePunct/>
        <w:adjustRightInd w:val="0"/>
        <w:ind w:firstLine="526" w:firstLineChars="200"/>
        <w:rPr>
          <w:rFonts w:hint="eastAsia" w:hAnsi="宋体" w:cs="宋体"/>
          <w:color w:val="000000"/>
        </w:rPr>
      </w:pPr>
      <w:r>
        <w:rPr>
          <w:rFonts w:hint="eastAsia" w:hAnsi="宋体" w:cs="宋体"/>
          <w:color w:val="000000"/>
        </w:rPr>
        <w:t>评价区第四系含水层主要为沙丘下伏的沉积层，通过对勘探孔岩芯的颜色、结构、构造、粒度变化分析，整个地层岩性从上到下变化不大，含水层岩性较单一，主要由砂类地层夹粘性土类薄层构成，肉眼观察粘性土层与粉砂层不易区分。砂类地层主要为粉砂或细砂，个别地段出现粘性土类夹层，岩性主要为粉质粘土层，不稳定，多以薄夹层或透镜体形式存在，不能形成稳定的隔水层。因此，评价区地下水类型均为第四系松散岩类孔隙潜水。</w:t>
      </w:r>
    </w:p>
    <w:p w14:paraId="0A70EFB1">
      <w:pPr>
        <w:topLinePunct/>
        <w:adjustRightInd w:val="0"/>
        <w:ind w:firstLine="526" w:firstLineChars="200"/>
        <w:rPr>
          <w:rFonts w:hint="eastAsia" w:hAnsi="宋体" w:cs="宋体"/>
          <w:color w:val="000000"/>
        </w:rPr>
      </w:pPr>
      <w:r>
        <w:rPr>
          <w:rFonts w:hint="eastAsia" w:hAnsi="宋体" w:cs="宋体"/>
          <w:color w:val="000000"/>
        </w:rPr>
        <w:t>评价区范围内勘探深度内地下水为潜水，含水层岩性为粉砂、细砂，换算单井涌水量在12.6～104.94m</w:t>
      </w:r>
      <w:r>
        <w:rPr>
          <w:rFonts w:hint="eastAsia" w:hAnsi="宋体" w:cs="宋体"/>
          <w:color w:val="000000"/>
          <w:vertAlign w:val="superscript"/>
        </w:rPr>
        <w:t>3</w:t>
      </w:r>
      <w:r>
        <w:rPr>
          <w:rFonts w:hint="eastAsia" w:hAnsi="宋体" w:cs="宋体"/>
          <w:color w:val="000000"/>
        </w:rPr>
        <w:t>/d，水力坡度在1‰，地下水埋深在3～37m之间，渗透系数0.35m/d～1.78m/d；水化学类型主要为Cl·SO</w:t>
      </w:r>
      <w:r>
        <w:rPr>
          <w:rFonts w:hint="eastAsia" w:hAnsi="宋体" w:cs="宋体"/>
          <w:color w:val="000000"/>
          <w:vertAlign w:val="subscript"/>
        </w:rPr>
        <w:t>4</w:t>
      </w:r>
      <w:r>
        <w:rPr>
          <w:rFonts w:hint="eastAsia" w:hAnsi="宋体" w:cs="宋体"/>
          <w:color w:val="000000"/>
        </w:rPr>
        <w:t>-Na型水。</w:t>
      </w:r>
    </w:p>
    <w:p w14:paraId="7AF56651">
      <w:pPr>
        <w:topLinePunct/>
        <w:adjustRightInd w:val="0"/>
        <w:ind w:firstLine="526" w:firstLineChars="200"/>
        <w:rPr>
          <w:rFonts w:hint="eastAsia" w:hAnsi="宋体" w:cs="宋体"/>
          <w:color w:val="000000"/>
        </w:rPr>
      </w:pPr>
      <w:r>
        <w:rPr>
          <w:rFonts w:hint="eastAsia" w:hAnsi="宋体" w:cs="宋体"/>
          <w:color w:val="000000"/>
        </w:rPr>
        <w:t>（3）地下水补给</w:t>
      </w:r>
    </w:p>
    <w:p w14:paraId="5802DE87">
      <w:pPr>
        <w:topLinePunct/>
        <w:adjustRightInd w:val="0"/>
        <w:ind w:firstLine="526" w:firstLineChars="200"/>
        <w:rPr>
          <w:rFonts w:hint="eastAsia" w:hAnsi="宋体" w:cs="宋体"/>
          <w:color w:val="000000"/>
        </w:rPr>
      </w:pPr>
      <w:r>
        <w:rPr>
          <w:rFonts w:hint="eastAsia" w:hAnsi="宋体" w:cs="宋体"/>
          <w:color w:val="000000"/>
        </w:rPr>
        <w:t>评价区位于塔克拉玛干沙漠腹部，无地表河流穿过，也无其它地表水体和引水渠系等。地下水的补给来源于以下两个方面：</w:t>
      </w:r>
    </w:p>
    <w:p w14:paraId="65179112">
      <w:pPr>
        <w:topLinePunct/>
        <w:adjustRightInd w:val="0"/>
        <w:ind w:firstLine="526" w:firstLineChars="200"/>
        <w:rPr>
          <w:rFonts w:hint="eastAsia" w:hAnsi="宋体" w:cs="宋体"/>
          <w:color w:val="000000"/>
        </w:rPr>
      </w:pPr>
      <w:r>
        <w:rPr>
          <w:rFonts w:hint="eastAsia" w:hAnsi="宋体" w:cs="宋体"/>
          <w:color w:val="000000"/>
        </w:rPr>
        <w:t>①南部沙漠区地下水侧向径流补给：这是评价区地下水的最主要补给来源。</w:t>
      </w:r>
    </w:p>
    <w:p w14:paraId="1B69F771">
      <w:pPr>
        <w:topLinePunct/>
        <w:adjustRightInd w:val="0"/>
        <w:ind w:firstLine="526" w:firstLineChars="200"/>
        <w:rPr>
          <w:rFonts w:hint="eastAsia" w:hAnsi="宋体" w:cs="宋体"/>
          <w:color w:val="000000"/>
        </w:rPr>
      </w:pPr>
      <w:r>
        <w:rPr>
          <w:rFonts w:hint="eastAsia" w:hAnsi="宋体" w:cs="宋体"/>
          <w:color w:val="000000"/>
        </w:rPr>
        <w:t>②降水入渗补给：沙漠区降水稀少，多年平均降水量仅有25～35mm，年平均蒸发量高达3000～4000mm，蒸降比高达116以上，评价区内的降水基本上不能直接对浅埋带地下水形成入渗补给作用。所以评价区内降水入渗补给对地下水资源的补给一般无实际意义。</w:t>
      </w:r>
    </w:p>
    <w:p w14:paraId="3B293B96">
      <w:pPr>
        <w:topLinePunct/>
        <w:adjustRightInd w:val="0"/>
        <w:ind w:firstLine="526" w:firstLineChars="200"/>
        <w:rPr>
          <w:rFonts w:hint="eastAsia" w:hAnsi="宋体" w:cs="宋体"/>
          <w:color w:val="000000"/>
        </w:rPr>
      </w:pPr>
      <w:r>
        <w:rPr>
          <w:rFonts w:hint="eastAsia" w:hAnsi="宋体" w:cs="宋体"/>
          <w:color w:val="000000"/>
        </w:rPr>
        <w:t>（4）径流</w:t>
      </w:r>
    </w:p>
    <w:p w14:paraId="020254CC">
      <w:pPr>
        <w:topLinePunct/>
        <w:adjustRightInd w:val="0"/>
        <w:ind w:firstLine="526" w:firstLineChars="200"/>
        <w:rPr>
          <w:rFonts w:hint="eastAsia" w:hAnsi="宋体" w:cs="宋体"/>
          <w:color w:val="000000"/>
        </w:rPr>
      </w:pPr>
      <w:r>
        <w:rPr>
          <w:rFonts w:hint="eastAsia" w:hAnsi="宋体" w:cs="宋体"/>
          <w:color w:val="000000"/>
        </w:rPr>
        <w:t>沙漠区地下水的径流运移速度总体上是极迟缓的。评价区地下水接受南部沙漠区地下径流侧向补给后，在粉细砂含水层的孔隙中总体上由南向北径流。除局部地段外，地下水的径流方向与沙垄的延伸方向大体一致。</w:t>
      </w:r>
    </w:p>
    <w:p w14:paraId="23D9EACB">
      <w:pPr>
        <w:topLinePunct/>
        <w:adjustRightInd w:val="0"/>
        <w:ind w:firstLine="526" w:firstLineChars="200"/>
        <w:rPr>
          <w:rFonts w:hint="eastAsia" w:hAnsi="宋体" w:cs="宋体"/>
          <w:color w:val="000000"/>
        </w:rPr>
      </w:pPr>
      <w:r>
        <w:rPr>
          <w:rFonts w:hint="eastAsia" w:hAnsi="宋体" w:cs="宋体"/>
          <w:color w:val="000000"/>
        </w:rPr>
        <w:t>（5）地下水的排泄</w:t>
      </w:r>
    </w:p>
    <w:p w14:paraId="7FD4BEF8">
      <w:pPr>
        <w:topLinePunct/>
        <w:adjustRightInd w:val="0"/>
        <w:ind w:firstLine="526" w:firstLineChars="200"/>
        <w:rPr>
          <w:rFonts w:hint="eastAsia" w:hAnsi="宋体" w:cs="宋体"/>
          <w:color w:val="000000"/>
        </w:rPr>
      </w:pPr>
      <w:r>
        <w:rPr>
          <w:rFonts w:hint="eastAsia" w:hAnsi="宋体" w:cs="宋体"/>
          <w:color w:val="000000"/>
        </w:rPr>
        <w:t>评价区地下水的排泄方式主要有以下三项：</w:t>
      </w:r>
    </w:p>
    <w:p w14:paraId="2D8F8ED9">
      <w:pPr>
        <w:topLinePunct/>
        <w:adjustRightInd w:val="0"/>
        <w:ind w:firstLine="526" w:firstLineChars="200"/>
        <w:rPr>
          <w:rFonts w:hint="eastAsia" w:hAnsi="宋体" w:cs="宋体"/>
          <w:color w:val="000000"/>
        </w:rPr>
      </w:pPr>
      <w:r>
        <w:rPr>
          <w:rFonts w:hint="eastAsia" w:hAnsi="宋体" w:cs="宋体"/>
          <w:color w:val="000000"/>
        </w:rPr>
        <w:t>①北部（向下游的）地下侧向径流排泄。这是沙漠区地下水的主要排泄方式。区内地下水各含水组岩性均为大厚度粉细砂或粉砂层，径流条件较差。所以地下水总体上以缓慢径流的方式向北部下游地段排泄。</w:t>
      </w:r>
    </w:p>
    <w:p w14:paraId="391B95A4">
      <w:pPr>
        <w:topLinePunct/>
        <w:adjustRightInd w:val="0"/>
        <w:ind w:firstLine="526" w:firstLineChars="200"/>
        <w:rPr>
          <w:rFonts w:hint="eastAsia" w:hAnsi="宋体" w:cs="宋体"/>
          <w:color w:val="000000"/>
        </w:rPr>
      </w:pPr>
      <w:r>
        <w:rPr>
          <w:rFonts w:hint="eastAsia" w:hAnsi="宋体" w:cs="宋体"/>
          <w:color w:val="000000"/>
        </w:rPr>
        <w:t>②潜水面垂直蒸发排泄</w:t>
      </w:r>
    </w:p>
    <w:p w14:paraId="25C43C70">
      <w:pPr>
        <w:topLinePunct/>
        <w:adjustRightInd w:val="0"/>
        <w:ind w:firstLine="526" w:firstLineChars="200"/>
        <w:rPr>
          <w:rFonts w:hint="eastAsia" w:hAnsi="宋体" w:cs="宋体"/>
          <w:color w:val="000000"/>
        </w:rPr>
      </w:pPr>
      <w:r>
        <w:rPr>
          <w:rFonts w:hint="eastAsia" w:hAnsi="宋体" w:cs="宋体"/>
          <w:color w:val="000000"/>
        </w:rPr>
        <w:t>区内地下水埋藏条件总体上受风积沙丘、沙垄构成的地形地貌制约。在沙垄及其周边沙丘分布区，地下水埋藏较深，埋深一般大于10m，最深达37.07m，垂直蒸发对地下水基本上不起作用。</w:t>
      </w:r>
    </w:p>
    <w:p w14:paraId="7121D91A">
      <w:pPr>
        <w:topLinePunct/>
        <w:adjustRightInd w:val="0"/>
        <w:ind w:firstLine="526" w:firstLineChars="200"/>
        <w:rPr>
          <w:rFonts w:hint="eastAsia" w:hAnsi="宋体" w:cs="宋体"/>
          <w:color w:val="000000"/>
        </w:rPr>
      </w:pPr>
      <w:r>
        <w:rPr>
          <w:rFonts w:hint="eastAsia" w:hAnsi="宋体" w:cs="宋体"/>
          <w:color w:val="000000"/>
        </w:rPr>
        <w:t>但在沙垄之间的洼地中，地下水埋深大多小于5m，部分地段为5～10m。且垄间洼地内岩性颗粒较沙垄上细，多为粉砂或粉土，地下水通过包气带细颗粒地层的毛细管可上升到地表表面及其附近。尤其垄间洼地内地下水潜水位埋深小于5m的地段，在沙漠区极干旱的气候条件和强烈的蒸发作用控制下，使地下水沿毛细管不断上升而消耗。由此可见，潜水面的垂直蒸发也是垄间洼地内（地下潜水位埋深小于5m的地段）地下水的重要排泄方式之一。</w:t>
      </w:r>
    </w:p>
    <w:p w14:paraId="0699248D">
      <w:pPr>
        <w:topLinePunct/>
        <w:adjustRightInd w:val="0"/>
        <w:ind w:firstLine="526" w:firstLineChars="200"/>
        <w:rPr>
          <w:rFonts w:hint="eastAsia" w:hAnsi="宋体" w:cs="宋体"/>
          <w:color w:val="000000"/>
        </w:rPr>
      </w:pPr>
      <w:r>
        <w:rPr>
          <w:rFonts w:hint="eastAsia" w:hAnsi="宋体" w:cs="宋体"/>
          <w:color w:val="000000"/>
        </w:rPr>
        <w:t>③地下水人工开采排泄</w:t>
      </w:r>
    </w:p>
    <w:p w14:paraId="091804AE">
      <w:pPr>
        <w:topLinePunct/>
        <w:adjustRightInd w:val="0"/>
        <w:ind w:firstLine="526" w:firstLineChars="200"/>
        <w:rPr>
          <w:rFonts w:hint="eastAsia" w:hAnsi="宋体" w:cs="宋体"/>
          <w:color w:val="000000"/>
        </w:rPr>
      </w:pPr>
      <w:r>
        <w:rPr>
          <w:rFonts w:hint="eastAsia" w:hAnsi="宋体" w:cs="宋体"/>
          <w:color w:val="000000"/>
        </w:rPr>
        <w:t>沙漠区地下水原本不存在人工开采。但本区域随着油气田的勘探开发，需水量呈逐年增长之势，而且主要靠开采地下水加以解决。目前，评价区内的油气田勘探井和油气田开采井旁都建有钻前供水井开采地下水供给施工用水，而部分钻前供水井在油井施工完成后即已停止开采地下水。</w:t>
      </w:r>
    </w:p>
    <w:p w14:paraId="6AB26A03">
      <w:pPr>
        <w:topLinePunct/>
        <w:adjustRightInd w:val="0"/>
        <w:spacing w:line="500" w:lineRule="exact"/>
        <w:ind w:firstLine="526" w:firstLineChars="200"/>
        <w:rPr>
          <w:rFonts w:hint="eastAsia" w:hAnsi="宋体" w:cs="宋体"/>
          <w:color w:val="000000"/>
        </w:rPr>
      </w:pPr>
      <w:bookmarkStart w:id="211" w:name="_Toc526408128"/>
      <w:r>
        <w:rPr>
          <w:rFonts w:hint="eastAsia" w:hAnsi="宋体" w:cs="宋体"/>
          <w:color w:val="000000"/>
        </w:rPr>
        <w:t>（6）地下水化学类型</w:t>
      </w:r>
      <w:bookmarkEnd w:id="211"/>
    </w:p>
    <w:p w14:paraId="0F3B108C">
      <w:pPr>
        <w:topLinePunct/>
        <w:adjustRightInd w:val="0"/>
        <w:spacing w:line="500" w:lineRule="exact"/>
        <w:ind w:firstLine="526" w:firstLineChars="200"/>
        <w:rPr>
          <w:rFonts w:hint="eastAsia" w:hAnsi="宋体" w:cs="宋体"/>
          <w:color w:val="000000"/>
        </w:rPr>
      </w:pPr>
      <w:r>
        <w:rPr>
          <w:rFonts w:hint="eastAsia" w:hAnsi="宋体" w:cs="宋体"/>
          <w:color w:val="000000"/>
        </w:rPr>
        <w:t>①形成作用</w:t>
      </w:r>
    </w:p>
    <w:p w14:paraId="2E9C52FE">
      <w:pPr>
        <w:topLinePunct/>
        <w:adjustRightInd w:val="0"/>
        <w:spacing w:line="500" w:lineRule="exact"/>
        <w:ind w:firstLine="526" w:firstLineChars="200"/>
        <w:rPr>
          <w:rFonts w:hint="eastAsia" w:hAnsi="宋体" w:cs="宋体"/>
          <w:color w:val="000000"/>
        </w:rPr>
      </w:pPr>
      <w:r>
        <w:rPr>
          <w:rFonts w:hint="eastAsia" w:hAnsi="宋体" w:cs="宋体"/>
          <w:color w:val="000000"/>
        </w:rPr>
        <w:t>评价区内地下水均为潜水，且水位埋藏浅，加之沙漠气候异常干旱，因此区内水化学作用主要以蒸发浓缩作用为主。评价区内的地下水主要接受西南部地下水的侧向径流补给，径流路径长、蒸发强度大，地下水含盐量增高，水质逐渐变差，地下水中Cl</w:t>
      </w:r>
      <w:r>
        <w:rPr>
          <w:rFonts w:hint="eastAsia" w:hAnsi="宋体" w:cs="宋体"/>
          <w:color w:val="000000"/>
          <w:vertAlign w:val="superscript"/>
        </w:rPr>
        <w:t>-</w:t>
      </w:r>
      <w:r>
        <w:rPr>
          <w:rFonts w:hint="eastAsia" w:hAnsi="宋体" w:cs="宋体"/>
          <w:color w:val="000000"/>
        </w:rPr>
        <w:t>、SO</w:t>
      </w:r>
      <w:r>
        <w:rPr>
          <w:rFonts w:hint="eastAsia" w:hAnsi="宋体" w:cs="宋体"/>
          <w:color w:val="000000"/>
          <w:vertAlign w:val="subscript"/>
        </w:rPr>
        <w:t>4</w:t>
      </w:r>
      <w:r>
        <w:rPr>
          <w:rFonts w:hint="eastAsia" w:hAnsi="宋体" w:cs="宋体"/>
          <w:color w:val="000000"/>
          <w:vertAlign w:val="superscript"/>
        </w:rPr>
        <w:t>2+</w:t>
      </w:r>
      <w:r>
        <w:rPr>
          <w:rFonts w:hint="eastAsia" w:hAnsi="宋体" w:cs="宋体"/>
          <w:color w:val="000000"/>
        </w:rPr>
        <w:t>、Na</w:t>
      </w:r>
      <w:r>
        <w:rPr>
          <w:rFonts w:hint="eastAsia" w:hAnsi="宋体" w:cs="宋体"/>
          <w:color w:val="000000"/>
          <w:vertAlign w:val="superscript"/>
        </w:rPr>
        <w:t>+</w:t>
      </w:r>
      <w:r>
        <w:rPr>
          <w:rFonts w:hint="eastAsia" w:hAnsi="宋体" w:cs="宋体"/>
          <w:color w:val="000000"/>
        </w:rPr>
        <w:t>含量大量富集，水化学类型主要以Cl·SO</w:t>
      </w:r>
      <w:r>
        <w:rPr>
          <w:rFonts w:hint="eastAsia" w:hAnsi="宋体" w:cs="宋体"/>
          <w:color w:val="000000"/>
          <w:vertAlign w:val="subscript"/>
        </w:rPr>
        <w:t>4</w:t>
      </w:r>
      <w:r>
        <w:rPr>
          <w:rFonts w:hint="eastAsia" w:hAnsi="宋体" w:cs="宋体"/>
          <w:color w:val="000000"/>
        </w:rPr>
        <w:t>-Na型为主，溶解性总固体含量集中在3.0～8.52g/L。</w:t>
      </w:r>
    </w:p>
    <w:p w14:paraId="481FF4EC">
      <w:pPr>
        <w:topLinePunct/>
        <w:adjustRightInd w:val="0"/>
        <w:spacing w:line="500" w:lineRule="exact"/>
        <w:ind w:firstLine="526" w:firstLineChars="200"/>
        <w:rPr>
          <w:rFonts w:hint="eastAsia" w:hAnsi="宋体" w:cs="宋体"/>
          <w:color w:val="000000"/>
        </w:rPr>
      </w:pPr>
      <w:r>
        <w:rPr>
          <w:rFonts w:hint="eastAsia" w:hAnsi="宋体" w:cs="宋体"/>
          <w:color w:val="000000"/>
        </w:rPr>
        <w:t>②地下水化学类型分布</w:t>
      </w:r>
    </w:p>
    <w:p w14:paraId="00F2B25B">
      <w:pPr>
        <w:topLinePunct/>
        <w:adjustRightInd w:val="0"/>
        <w:spacing w:line="500" w:lineRule="exact"/>
        <w:ind w:firstLine="526" w:firstLineChars="200"/>
        <w:rPr>
          <w:rFonts w:hint="eastAsia" w:hAnsi="宋体" w:cs="宋体"/>
          <w:color w:val="000000"/>
        </w:rPr>
      </w:pPr>
      <w:r>
        <w:rPr>
          <w:rFonts w:hint="eastAsia" w:hAnsi="宋体" w:cs="宋体"/>
          <w:color w:val="000000"/>
        </w:rPr>
        <w:t>评价区位于塔克拉玛干沙漠中部，区内地下水径流条件差异不大，水化学类型的变化也很小，主要为Cl·SO</w:t>
      </w:r>
      <w:r>
        <w:rPr>
          <w:rFonts w:hint="eastAsia" w:hAnsi="宋体" w:cs="宋体"/>
          <w:color w:val="000000"/>
          <w:vertAlign w:val="subscript"/>
        </w:rPr>
        <w:t>4</w:t>
      </w:r>
      <w:r>
        <w:rPr>
          <w:rFonts w:hint="eastAsia" w:hAnsi="宋体" w:cs="宋体"/>
          <w:color w:val="000000"/>
        </w:rPr>
        <w:t>-Na型，水化学类型没有明显的分布规律，在垂向上无明显分带规律。</w:t>
      </w:r>
    </w:p>
    <w:p w14:paraId="34652FF1">
      <w:pPr>
        <w:topLinePunct/>
        <w:adjustRightInd w:val="0"/>
        <w:spacing w:line="500" w:lineRule="exact"/>
        <w:ind w:firstLine="526" w:firstLineChars="200"/>
        <w:rPr>
          <w:rFonts w:hint="eastAsia" w:hAnsi="宋体" w:cs="宋体"/>
          <w:color w:val="000000"/>
        </w:rPr>
      </w:pPr>
      <w:bookmarkStart w:id="212" w:name="_Toc526408129"/>
      <w:r>
        <w:rPr>
          <w:rFonts w:hint="eastAsia" w:hAnsi="宋体" w:cs="宋体"/>
          <w:color w:val="000000"/>
        </w:rPr>
        <w:t>（7）地下水水位动态变化特征</w:t>
      </w:r>
      <w:bookmarkEnd w:id="212"/>
    </w:p>
    <w:p w14:paraId="3E19FFEF">
      <w:pPr>
        <w:topLinePunct/>
        <w:adjustRightInd w:val="0"/>
        <w:spacing w:line="500" w:lineRule="exact"/>
        <w:ind w:firstLine="526" w:firstLineChars="200"/>
        <w:rPr>
          <w:rFonts w:hint="eastAsia" w:hAnsi="宋体" w:cs="宋体"/>
          <w:color w:val="000000"/>
        </w:rPr>
      </w:pPr>
      <w:r>
        <w:rPr>
          <w:rFonts w:hint="eastAsia" w:hAnsi="宋体" w:cs="宋体"/>
          <w:color w:val="000000"/>
        </w:rPr>
        <w:t>评价区内的地下水位动态属地下径流－人工开采－蒸发混合型动态，2月份地下水位有所下降。3～4月份随着气温的升高，冰雪的融化，对地下水的补给量增多，地下水位开始缓慢回升。5月份水位较高，进入6月份后随着蒸发量的迅速增大和养护公路对供水井的开采，地下水位开始下降，特别是6～8月为高温季节，蒸发作用十分强烈，平均月蒸发量多在520～640mm，地下水处于相对低水位期，且比较稳定。进入10月份以后，气温有所下降，蒸发量也逐渐减小，养护公路对供水井停止开采，地下水位开始缓慢上升。</w:t>
      </w:r>
    </w:p>
    <w:p w14:paraId="4691DCCA">
      <w:pPr>
        <w:spacing w:line="460" w:lineRule="exact"/>
        <w:ind w:firstLine="526" w:firstLineChars="200"/>
        <w:rPr>
          <w:rFonts w:hint="eastAsia" w:ascii="黑体" w:hAnsi="黑体" w:eastAsia="黑体"/>
          <w:color w:val="000000"/>
          <w:szCs w:val="21"/>
        </w:rPr>
      </w:pPr>
      <w:r>
        <w:rPr>
          <w:rFonts w:hint="eastAsia" w:ascii="黑体" w:hAnsi="黑体" w:eastAsia="黑体"/>
          <w:color w:val="000000"/>
          <w:szCs w:val="21"/>
        </w:rPr>
        <w:t>表5</w:t>
      </w:r>
      <w:r>
        <w:rPr>
          <w:rFonts w:ascii="黑体" w:hAnsi="黑体" w:eastAsia="黑体"/>
          <w:color w:val="000000"/>
          <w:szCs w:val="21"/>
        </w:rPr>
        <w:t>.2-</w:t>
      </w:r>
      <w:r>
        <w:rPr>
          <w:rFonts w:hint="eastAsia" w:ascii="黑体" w:hAnsi="黑体" w:eastAsia="黑体"/>
          <w:color w:val="000000"/>
          <w:szCs w:val="21"/>
        </w:rPr>
        <w:t>1</w:t>
      </w:r>
      <w:r>
        <w:rPr>
          <w:rFonts w:ascii="黑体" w:hAnsi="黑体" w:eastAsia="黑体"/>
          <w:color w:val="000000"/>
          <w:szCs w:val="21"/>
        </w:rPr>
        <w:t xml:space="preserve">  </w:t>
      </w:r>
      <w:r>
        <w:rPr>
          <w:rFonts w:hint="eastAsia" w:ascii="黑体" w:hAnsi="黑体" w:eastAsia="黑体"/>
          <w:color w:val="000000"/>
          <w:szCs w:val="21"/>
        </w:rPr>
        <w:t xml:space="preserve">       </w:t>
      </w:r>
      <w:r>
        <w:rPr>
          <w:rFonts w:ascii="黑体" w:hAnsi="黑体" w:eastAsia="黑体"/>
          <w:color w:val="000000"/>
          <w:szCs w:val="21"/>
        </w:rPr>
        <w:t xml:space="preserve">  </w:t>
      </w:r>
      <w:r>
        <w:rPr>
          <w:rFonts w:hint="eastAsia" w:ascii="黑体" w:hAnsi="黑体" w:eastAsia="黑体"/>
          <w:color w:val="000000"/>
          <w:szCs w:val="21"/>
        </w:rPr>
        <w:t>水位调查结果一览表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32"/>
        <w:gridCol w:w="833"/>
        <w:gridCol w:w="1978"/>
        <w:gridCol w:w="2169"/>
        <w:gridCol w:w="1408"/>
        <w:gridCol w:w="1790"/>
      </w:tblGrid>
      <w:tr w14:paraId="4137FD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4AAA81D7">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序号</w:t>
            </w:r>
          </w:p>
        </w:tc>
        <w:tc>
          <w:tcPr>
            <w:tcW w:w="462" w:type="pct"/>
            <w:noWrap/>
            <w:vAlign w:val="center"/>
          </w:tcPr>
          <w:p w14:paraId="55920947">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井号</w:t>
            </w:r>
          </w:p>
        </w:tc>
        <w:tc>
          <w:tcPr>
            <w:tcW w:w="1097" w:type="pct"/>
            <w:noWrap/>
            <w:vAlign w:val="center"/>
          </w:tcPr>
          <w:p w14:paraId="7909823B">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经度</w:t>
            </w:r>
          </w:p>
        </w:tc>
        <w:tc>
          <w:tcPr>
            <w:tcW w:w="1203" w:type="pct"/>
            <w:noWrap/>
            <w:vAlign w:val="center"/>
          </w:tcPr>
          <w:p w14:paraId="724FC842">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纬度</w:t>
            </w:r>
          </w:p>
        </w:tc>
        <w:tc>
          <w:tcPr>
            <w:tcW w:w="781" w:type="pct"/>
            <w:noWrap/>
            <w:vAlign w:val="center"/>
          </w:tcPr>
          <w:p w14:paraId="4911961B">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孔深（m）</w:t>
            </w:r>
          </w:p>
        </w:tc>
        <w:tc>
          <w:tcPr>
            <w:tcW w:w="993" w:type="pct"/>
            <w:noWrap/>
            <w:vAlign w:val="center"/>
          </w:tcPr>
          <w:p w14:paraId="49AB41CE">
            <w:pPr>
              <w:widowControl/>
              <w:adjustRightInd w:val="0"/>
              <w:spacing w:line="0" w:lineRule="atLeast"/>
              <w:jc w:val="center"/>
              <w:rPr>
                <w:rFonts w:hint="eastAsia" w:hAnsi="宋体" w:cs="宋体"/>
                <w:bCs/>
                <w:color w:val="000000"/>
                <w:spacing w:val="-10"/>
                <w:kern w:val="0"/>
                <w:sz w:val="21"/>
                <w:szCs w:val="21"/>
              </w:rPr>
            </w:pPr>
            <w:r>
              <w:rPr>
                <w:rFonts w:hint="eastAsia" w:hAnsi="宋体" w:cs="宋体"/>
                <w:bCs/>
                <w:color w:val="000000"/>
                <w:spacing w:val="-10"/>
                <w:kern w:val="0"/>
                <w:sz w:val="21"/>
                <w:szCs w:val="21"/>
              </w:rPr>
              <w:t>水位（m）</w:t>
            </w:r>
          </w:p>
        </w:tc>
      </w:tr>
      <w:tr w14:paraId="4D3EB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1C5F0053">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462" w:type="pct"/>
            <w:noWrap/>
            <w:vAlign w:val="center"/>
          </w:tcPr>
          <w:p w14:paraId="24EFF41B">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w:t>
            </w:r>
          </w:p>
        </w:tc>
        <w:tc>
          <w:tcPr>
            <w:tcW w:w="1097" w:type="pct"/>
            <w:noWrap/>
            <w:vAlign w:val="center"/>
          </w:tcPr>
          <w:p w14:paraId="5E0DAC29">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39°26'6.86"</w:t>
            </w:r>
          </w:p>
        </w:tc>
        <w:tc>
          <w:tcPr>
            <w:tcW w:w="1203" w:type="pct"/>
            <w:noWrap/>
            <w:vAlign w:val="center"/>
          </w:tcPr>
          <w:p w14:paraId="5A45193D">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82°44'9.62"</w:t>
            </w:r>
          </w:p>
        </w:tc>
        <w:tc>
          <w:tcPr>
            <w:tcW w:w="781" w:type="pct"/>
            <w:noWrap/>
            <w:vAlign w:val="center"/>
          </w:tcPr>
          <w:p w14:paraId="580BB6E8">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2D206CF2">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3.65</w:t>
            </w:r>
          </w:p>
        </w:tc>
      </w:tr>
      <w:tr w14:paraId="57259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2D601FD7">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462" w:type="pct"/>
            <w:noWrap/>
            <w:vAlign w:val="center"/>
          </w:tcPr>
          <w:p w14:paraId="13B88D57">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7#</w:t>
            </w:r>
          </w:p>
        </w:tc>
        <w:tc>
          <w:tcPr>
            <w:tcW w:w="1097" w:type="pct"/>
            <w:noWrap/>
            <w:vAlign w:val="center"/>
          </w:tcPr>
          <w:p w14:paraId="5B60D162">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39°31'48.66"</w:t>
            </w:r>
          </w:p>
        </w:tc>
        <w:tc>
          <w:tcPr>
            <w:tcW w:w="1203" w:type="pct"/>
            <w:noWrap/>
            <w:vAlign w:val="center"/>
          </w:tcPr>
          <w:p w14:paraId="551C3C90">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82°55'54.34"</w:t>
            </w:r>
          </w:p>
        </w:tc>
        <w:tc>
          <w:tcPr>
            <w:tcW w:w="781" w:type="pct"/>
            <w:noWrap/>
            <w:vAlign w:val="center"/>
          </w:tcPr>
          <w:p w14:paraId="6F999A63">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2254720A">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12.6</w:t>
            </w:r>
          </w:p>
        </w:tc>
      </w:tr>
      <w:tr w14:paraId="5DA517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5A020ACB">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c>
          <w:tcPr>
            <w:tcW w:w="462" w:type="pct"/>
            <w:noWrap/>
            <w:vAlign w:val="center"/>
          </w:tcPr>
          <w:p w14:paraId="6EF9E2CD">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w:t>
            </w:r>
          </w:p>
        </w:tc>
        <w:tc>
          <w:tcPr>
            <w:tcW w:w="1097" w:type="pct"/>
            <w:noWrap/>
            <w:vAlign w:val="center"/>
          </w:tcPr>
          <w:p w14:paraId="143CCB10">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39°21'52.42"</w:t>
            </w:r>
          </w:p>
        </w:tc>
        <w:tc>
          <w:tcPr>
            <w:tcW w:w="1203" w:type="pct"/>
            <w:noWrap/>
            <w:vAlign w:val="center"/>
          </w:tcPr>
          <w:p w14:paraId="2260546C">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82°56'27.94"</w:t>
            </w:r>
          </w:p>
        </w:tc>
        <w:tc>
          <w:tcPr>
            <w:tcW w:w="781" w:type="pct"/>
            <w:noWrap/>
            <w:vAlign w:val="center"/>
          </w:tcPr>
          <w:p w14:paraId="6F0B4419">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4033F940">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3.14</w:t>
            </w:r>
          </w:p>
        </w:tc>
      </w:tr>
      <w:tr w14:paraId="6CA5EE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2234F827">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w:t>
            </w:r>
          </w:p>
        </w:tc>
        <w:tc>
          <w:tcPr>
            <w:tcW w:w="462" w:type="pct"/>
            <w:noWrap/>
            <w:vAlign w:val="center"/>
          </w:tcPr>
          <w:p w14:paraId="62713E1C">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11#</w:t>
            </w:r>
          </w:p>
        </w:tc>
        <w:tc>
          <w:tcPr>
            <w:tcW w:w="1097" w:type="pct"/>
            <w:noWrap/>
            <w:vAlign w:val="center"/>
          </w:tcPr>
          <w:p w14:paraId="4709B830">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39°21'52.12"</w:t>
            </w:r>
          </w:p>
        </w:tc>
        <w:tc>
          <w:tcPr>
            <w:tcW w:w="1203" w:type="pct"/>
            <w:noWrap/>
            <w:vAlign w:val="center"/>
          </w:tcPr>
          <w:p w14:paraId="2AE4B06C">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82°58'34.55"</w:t>
            </w:r>
          </w:p>
        </w:tc>
        <w:tc>
          <w:tcPr>
            <w:tcW w:w="781" w:type="pct"/>
            <w:noWrap/>
            <w:vAlign w:val="center"/>
          </w:tcPr>
          <w:p w14:paraId="27BC3D92">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4BE74DBE">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4.67</w:t>
            </w:r>
          </w:p>
        </w:tc>
      </w:tr>
      <w:tr w14:paraId="76739D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0982DD29">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w:t>
            </w:r>
          </w:p>
        </w:tc>
        <w:tc>
          <w:tcPr>
            <w:tcW w:w="462" w:type="pct"/>
            <w:noWrap/>
            <w:vAlign w:val="center"/>
          </w:tcPr>
          <w:p w14:paraId="77376BE6">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12#</w:t>
            </w:r>
          </w:p>
        </w:tc>
        <w:tc>
          <w:tcPr>
            <w:tcW w:w="1097" w:type="pct"/>
            <w:noWrap/>
            <w:vAlign w:val="center"/>
          </w:tcPr>
          <w:p w14:paraId="49FA36CB">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39°30'13.49"</w:t>
            </w:r>
          </w:p>
        </w:tc>
        <w:tc>
          <w:tcPr>
            <w:tcW w:w="1203" w:type="pct"/>
            <w:noWrap/>
            <w:vAlign w:val="center"/>
          </w:tcPr>
          <w:p w14:paraId="7F29E93C">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83°15'6.92"</w:t>
            </w:r>
          </w:p>
        </w:tc>
        <w:tc>
          <w:tcPr>
            <w:tcW w:w="781" w:type="pct"/>
            <w:noWrap/>
            <w:vAlign w:val="center"/>
          </w:tcPr>
          <w:p w14:paraId="7B2CC6AB">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4606400F">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2.32</w:t>
            </w:r>
          </w:p>
        </w:tc>
      </w:tr>
      <w:tr w14:paraId="7DA191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62" w:type="pct"/>
            <w:noWrap/>
            <w:vAlign w:val="center"/>
          </w:tcPr>
          <w:p w14:paraId="47903BA7">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6</w:t>
            </w:r>
          </w:p>
        </w:tc>
        <w:tc>
          <w:tcPr>
            <w:tcW w:w="462" w:type="pct"/>
            <w:noWrap/>
            <w:vAlign w:val="center"/>
          </w:tcPr>
          <w:p w14:paraId="218552D2">
            <w:pPr>
              <w:widowControl/>
              <w:adjustRightInd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13#</w:t>
            </w:r>
          </w:p>
        </w:tc>
        <w:tc>
          <w:tcPr>
            <w:tcW w:w="1097" w:type="pct"/>
            <w:noWrap/>
            <w:vAlign w:val="center"/>
          </w:tcPr>
          <w:p w14:paraId="2EFCADA3">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39°24'0.04"</w:t>
            </w:r>
          </w:p>
        </w:tc>
        <w:tc>
          <w:tcPr>
            <w:tcW w:w="1203" w:type="pct"/>
            <w:noWrap/>
            <w:vAlign w:val="center"/>
          </w:tcPr>
          <w:p w14:paraId="0D4B5C1B">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83°13'55.62"</w:t>
            </w:r>
          </w:p>
        </w:tc>
        <w:tc>
          <w:tcPr>
            <w:tcW w:w="781" w:type="pct"/>
            <w:noWrap/>
            <w:vAlign w:val="center"/>
          </w:tcPr>
          <w:p w14:paraId="23E06439">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60</w:t>
            </w:r>
          </w:p>
        </w:tc>
        <w:tc>
          <w:tcPr>
            <w:tcW w:w="993" w:type="pct"/>
            <w:noWrap/>
            <w:vAlign w:val="center"/>
          </w:tcPr>
          <w:p w14:paraId="65921B0C">
            <w:pPr>
              <w:widowControl/>
              <w:spacing w:line="0" w:lineRule="atLeast"/>
              <w:jc w:val="center"/>
              <w:textAlignment w:val="center"/>
              <w:rPr>
                <w:rFonts w:hint="eastAsia" w:hAnsi="宋体" w:cs="宋体"/>
                <w:color w:val="000000"/>
                <w:spacing w:val="-10"/>
                <w:kern w:val="0"/>
                <w:sz w:val="21"/>
                <w:szCs w:val="21"/>
              </w:rPr>
            </w:pPr>
            <w:r>
              <w:rPr>
                <w:rFonts w:hint="eastAsia" w:hAnsi="宋体" w:cs="宋体"/>
                <w:color w:val="000000"/>
                <w:kern w:val="0"/>
                <w:sz w:val="21"/>
                <w:szCs w:val="21"/>
                <w:lang w:bidi="ar"/>
              </w:rPr>
              <w:t>20.1</w:t>
            </w:r>
          </w:p>
        </w:tc>
      </w:tr>
    </w:tbl>
    <w:p w14:paraId="53E73075">
      <w:pPr>
        <w:topLinePunct/>
        <w:adjustRightInd w:val="0"/>
        <w:spacing w:line="500" w:lineRule="exact"/>
        <w:ind w:firstLine="526" w:firstLineChars="200"/>
        <w:rPr>
          <w:rFonts w:hint="eastAsia" w:hAnsi="宋体" w:cs="宋体"/>
          <w:color w:val="000000"/>
        </w:rPr>
      </w:pPr>
      <w:r>
        <w:rPr>
          <w:rFonts w:hint="eastAsia" w:hAnsi="宋体" w:cs="宋体"/>
          <w:color w:val="000000"/>
        </w:rPr>
        <w:t>由于沙漠区地形起伏变化明显，在沙丘和沙垄部位地下水埋藏较深，垂直蒸发作用不太明显，而在垄间洼地内地下水埋藏相对较浅，垂直蒸发作用较明显，地下水位的变幅受气候影响而有所变化，但变幅一般都较小，大多为0.05～0.15m，地下水位动态变化更多地体现了地下缓慢径流－人工开采－蒸发混合型动态特征。</w:t>
      </w:r>
    </w:p>
    <w:p w14:paraId="3734D23B">
      <w:pPr>
        <w:topLinePunct/>
        <w:adjustRightInd w:val="0"/>
        <w:spacing w:line="500" w:lineRule="exact"/>
        <w:ind w:firstLine="526" w:firstLineChars="200"/>
        <w:rPr>
          <w:rFonts w:hint="eastAsia" w:hAnsi="宋体" w:cs="宋体"/>
          <w:color w:val="000000"/>
        </w:rPr>
      </w:pPr>
      <w:bookmarkStart w:id="213" w:name="_Toc526408130"/>
      <w:r>
        <w:rPr>
          <w:rFonts w:hint="eastAsia" w:hAnsi="宋体" w:cs="宋体"/>
          <w:color w:val="000000"/>
        </w:rPr>
        <w:t>（8）地下水开发利用现状</w:t>
      </w:r>
      <w:bookmarkEnd w:id="213"/>
    </w:p>
    <w:p w14:paraId="3F8D1316">
      <w:pPr>
        <w:topLinePunct/>
        <w:adjustRightInd w:val="0"/>
        <w:spacing w:line="500" w:lineRule="exact"/>
        <w:ind w:firstLine="526" w:firstLineChars="200"/>
        <w:rPr>
          <w:rFonts w:hint="eastAsia" w:hAnsi="宋体" w:cs="宋体"/>
          <w:color w:val="000000"/>
        </w:rPr>
      </w:pPr>
      <w:r>
        <w:rPr>
          <w:rFonts w:hint="eastAsia" w:hAnsi="宋体" w:cs="宋体"/>
          <w:color w:val="000000"/>
        </w:rPr>
        <w:t>评价区随着油气田的勘探开发，需水量呈逐年增长之势，而且主要靠开采地下水加以解决。目前，评价区内的油气田勘探井和油气田开采井旁都建有钻前供水井开采地下水供给施工用水，而部分钻前供水井在油井施工完成后即已停止开采地下水。</w:t>
      </w:r>
    </w:p>
    <w:p w14:paraId="426C79BE">
      <w:pPr>
        <w:spacing w:line="490" w:lineRule="exact"/>
        <w:outlineLvl w:val="3"/>
        <w:rPr>
          <w:rFonts w:hint="eastAsia" w:hAnsi="宋体" w:cs="宋体"/>
          <w:color w:val="000000"/>
        </w:rPr>
      </w:pPr>
      <w:r>
        <w:rPr>
          <w:rFonts w:hint="eastAsia" w:hAnsi="宋体" w:cs="宋体"/>
          <w:color w:val="000000"/>
        </w:rPr>
        <w:t>5.2.1.3 工程场区包气带污染调查</w:t>
      </w:r>
    </w:p>
    <w:p w14:paraId="30C495A2">
      <w:pPr>
        <w:spacing w:line="490" w:lineRule="exact"/>
        <w:ind w:firstLine="526" w:firstLineChars="200"/>
        <w:rPr>
          <w:rFonts w:hint="eastAsia" w:hAnsi="宋体" w:cs="宋体"/>
          <w:color w:val="000000"/>
        </w:rPr>
      </w:pPr>
      <w:r>
        <w:rPr>
          <w:rFonts w:hint="eastAsia" w:hAnsi="宋体"/>
          <w:color w:val="000000"/>
        </w:rPr>
        <w:t>项目区位于塔克拉玛干沙漠。根据《塔克拉玛干沙漠腹地地下水F</w:t>
      </w:r>
      <w:r>
        <w:rPr>
          <w:rFonts w:hint="eastAsia" w:hAnsi="宋体"/>
          <w:color w:val="000000"/>
          <w:vertAlign w:val="superscript"/>
        </w:rPr>
        <w:t>-</w:t>
      </w:r>
      <w:r>
        <w:rPr>
          <w:rFonts w:hint="eastAsia" w:hAnsi="宋体"/>
          <w:color w:val="000000"/>
        </w:rPr>
        <w:t>的水文地球化学特征》文献中的调查数据，对沙漠中13个包气带沙样分析，其重矿物成分中以角闪石，云母等含氟矿物为主，占重矿物总量的42.7%以上，还有部分电气石、磷灰石及风化矿物等，4个潜水带矿物分析结果也表明，潜水介质中含氟矿物角闪石、云母居多，占矿物总含量的3%～6%，</w:t>
      </w:r>
      <w:r>
        <w:rPr>
          <w:rFonts w:hint="eastAsia" w:hAnsi="宋体" w:cs="宋体"/>
          <w:color w:val="000000"/>
        </w:rPr>
        <w:t>天然包气带防污性能为“弱”</w:t>
      </w:r>
      <w:r>
        <w:rPr>
          <w:rFonts w:hint="eastAsia" w:hAnsi="宋体"/>
          <w:color w:val="000000"/>
        </w:rPr>
        <w:t>。</w:t>
      </w:r>
    </w:p>
    <w:p w14:paraId="7D3E5AE6">
      <w:pPr>
        <w:spacing w:line="490" w:lineRule="exact"/>
        <w:outlineLvl w:val="3"/>
        <w:rPr>
          <w:rFonts w:hint="eastAsia" w:hAnsi="宋体" w:cs="宋体"/>
          <w:color w:val="000000"/>
        </w:rPr>
      </w:pPr>
      <w:r>
        <w:rPr>
          <w:rFonts w:hint="eastAsia" w:hAnsi="宋体" w:cs="宋体"/>
          <w:color w:val="000000"/>
        </w:rPr>
        <w:t>5.2.1.4 区域地下水污染源调查</w:t>
      </w:r>
    </w:p>
    <w:p w14:paraId="619027D8">
      <w:pPr>
        <w:topLinePunct/>
        <w:adjustRightInd w:val="0"/>
        <w:spacing w:line="490" w:lineRule="exact"/>
        <w:ind w:firstLine="526" w:firstLineChars="200"/>
        <w:rPr>
          <w:rFonts w:hint="eastAsia" w:hAnsi="宋体" w:cs="宋体"/>
          <w:color w:val="000000"/>
        </w:rPr>
      </w:pPr>
      <w:r>
        <w:rPr>
          <w:rFonts w:hint="eastAsia" w:hAnsi="宋体" w:cs="宋体"/>
          <w:color w:val="000000"/>
        </w:rPr>
        <w:t>根据地下水监测结果，潜水监测点除</w:t>
      </w:r>
      <w:r>
        <w:rPr>
          <w:rFonts w:hint="eastAsia" w:hAnsi="宋体" w:cs="宋体"/>
          <w:color w:val="000000"/>
          <w:szCs w:val="24"/>
        </w:rPr>
        <w:t>硫酸盐、氯化物、氟化物、钠、溶解性总固体、总硬度</w:t>
      </w:r>
      <w:r>
        <w:rPr>
          <w:rFonts w:hint="eastAsia" w:hAnsi="宋体" w:cs="宋体"/>
          <w:color w:val="000000"/>
        </w:rPr>
        <w:t>存在一定程度超标外，其余因子均满足《地下水质量标准》（GB/T14848-2017）Ⅲ类标准，各潜水监测点中石油类满足《地表水环境质量标准》（GB3838-2002）Ⅲ类标准要求。</w:t>
      </w:r>
    </w:p>
    <w:p w14:paraId="459B2857">
      <w:pPr>
        <w:tabs>
          <w:tab w:val="left" w:pos="1134"/>
        </w:tabs>
        <w:spacing w:line="490" w:lineRule="exact"/>
        <w:outlineLvl w:val="2"/>
        <w:rPr>
          <w:rFonts w:hint="eastAsia" w:hAnsi="宋体" w:cs="宋体"/>
          <w:color w:val="000000"/>
          <w:szCs w:val="24"/>
        </w:rPr>
      </w:pPr>
      <w:r>
        <w:rPr>
          <w:rFonts w:hint="eastAsia" w:hAnsi="宋体" w:cs="宋体"/>
          <w:color w:val="000000"/>
          <w:szCs w:val="24"/>
        </w:rPr>
        <w:t>5.2.2施工期地下水环境影响分析</w:t>
      </w:r>
    </w:p>
    <w:p w14:paraId="70458246">
      <w:pPr>
        <w:pStyle w:val="10"/>
        <w:widowControl w:val="0"/>
        <w:spacing w:line="490" w:lineRule="exact"/>
        <w:ind w:firstLine="526" w:firstLineChars="200"/>
        <w:jc w:val="both"/>
        <w:rPr>
          <w:rFonts w:hint="eastAsia" w:ascii="宋体" w:hAnsi="宋体" w:eastAsia="宋体" w:cs="宋体"/>
          <w:color w:val="000000"/>
          <w:sz w:val="24"/>
          <w:szCs w:val="24"/>
        </w:rPr>
      </w:pPr>
      <w:r>
        <w:rPr>
          <w:rFonts w:hint="eastAsia" w:ascii="宋体" w:hAnsi="宋体" w:eastAsia="宋体" w:cs="宋体"/>
          <w:color w:val="000000"/>
          <w:sz w:val="24"/>
          <w:szCs w:val="24"/>
        </w:rPr>
        <w:t>施工期废水主要包括管线试压废水和生活污水。根据目前油气田实际情况，项目管线试压废水属于洁净水，循环使用后用于洒水抑尘；生活污水依托塔三联合站公寓生活污水处理装置处理。拟建工程施工期间无废水直接外排，在严格执行环境保护措施的前提下，项目施工期废水可避免对地下水环境产生不利影响。</w:t>
      </w:r>
    </w:p>
    <w:p w14:paraId="60FAF953">
      <w:pPr>
        <w:tabs>
          <w:tab w:val="left" w:pos="1134"/>
        </w:tabs>
        <w:spacing w:line="480" w:lineRule="exact"/>
        <w:outlineLvl w:val="2"/>
        <w:rPr>
          <w:rFonts w:hint="eastAsia" w:hAnsi="宋体" w:cs="宋体"/>
          <w:color w:val="000000"/>
          <w:szCs w:val="24"/>
        </w:rPr>
      </w:pPr>
      <w:r>
        <w:rPr>
          <w:rFonts w:hint="eastAsia" w:hAnsi="宋体" w:cs="宋体"/>
          <w:color w:val="000000"/>
          <w:szCs w:val="24"/>
        </w:rPr>
        <w:t>5.2.3运营期地下水环境影响评价</w:t>
      </w:r>
    </w:p>
    <w:p w14:paraId="144673EF">
      <w:pPr>
        <w:adjustRightInd w:val="0"/>
        <w:spacing w:line="480" w:lineRule="exact"/>
        <w:ind w:firstLine="526" w:firstLineChars="200"/>
        <w:rPr>
          <w:rFonts w:hAnsi="宋体"/>
          <w:color w:val="000000"/>
          <w:szCs w:val="24"/>
        </w:rPr>
      </w:pPr>
      <w:r>
        <w:rPr>
          <w:rFonts w:hint="eastAsia" w:hAnsi="宋体"/>
          <w:color w:val="000000"/>
          <w:szCs w:val="24"/>
        </w:rPr>
        <w:t>拟建</w:t>
      </w:r>
      <w:r>
        <w:rPr>
          <w:rFonts w:hint="eastAsia"/>
          <w:color w:val="000000"/>
          <w:szCs w:val="24"/>
        </w:rPr>
        <w:t>工程地下水环境影响评价等级为三级，根据《环境影响评价技术导则 地下水环境》（HJ610-2016）的相关要求，采用解析法分析预测工程建设对地下水环境的影响</w:t>
      </w:r>
      <w:r>
        <w:rPr>
          <w:rFonts w:hint="eastAsia" w:hAnsi="宋体"/>
          <w:color w:val="000000"/>
          <w:szCs w:val="24"/>
        </w:rPr>
        <w:t>。</w:t>
      </w:r>
    </w:p>
    <w:p w14:paraId="2D7B87CE">
      <w:pPr>
        <w:adjustRightInd w:val="0"/>
        <w:spacing w:line="480" w:lineRule="exact"/>
        <w:outlineLvl w:val="3"/>
        <w:rPr>
          <w:rFonts w:hAnsi="宋体" w:cs="宋体"/>
          <w:color w:val="000000"/>
          <w:szCs w:val="24"/>
          <w:lang w:bidi="ar"/>
        </w:rPr>
      </w:pPr>
      <w:r>
        <w:rPr>
          <w:rFonts w:hint="eastAsia" w:hAnsi="宋体" w:cs="宋体"/>
          <w:color w:val="000000"/>
          <w:szCs w:val="24"/>
        </w:rPr>
        <w:t>5.2.3.1</w:t>
      </w:r>
      <w:r>
        <w:rPr>
          <w:rFonts w:hint="eastAsia" w:hAnsi="宋体" w:cs="宋体"/>
          <w:color w:val="000000"/>
          <w:szCs w:val="24"/>
          <w:lang w:bidi="ar"/>
        </w:rPr>
        <w:t>正常状况</w:t>
      </w:r>
    </w:p>
    <w:p w14:paraId="2996FE60">
      <w:pPr>
        <w:overflowPunct w:val="0"/>
        <w:autoSpaceDE w:val="0"/>
        <w:autoSpaceDN w:val="0"/>
        <w:spacing w:line="480" w:lineRule="exact"/>
        <w:ind w:firstLine="526" w:firstLineChars="200"/>
        <w:rPr>
          <w:rFonts w:hint="eastAsia" w:hAnsi="宋体" w:cs="宋体"/>
          <w:color w:val="000000"/>
          <w:szCs w:val="24"/>
        </w:rPr>
      </w:pPr>
      <w:r>
        <w:rPr>
          <w:rFonts w:hint="eastAsia" w:hAnsi="宋体" w:cs="宋体"/>
          <w:color w:val="000000"/>
          <w:szCs w:val="24"/>
        </w:rPr>
        <w:t>（1）废水</w:t>
      </w:r>
    </w:p>
    <w:p w14:paraId="60481DC0">
      <w:pPr>
        <w:overflowPunct w:val="0"/>
        <w:autoSpaceDE w:val="0"/>
        <w:autoSpaceDN w:val="0"/>
        <w:spacing w:line="480" w:lineRule="exact"/>
        <w:ind w:firstLine="526" w:firstLineChars="200"/>
        <w:rPr>
          <w:rFonts w:hint="eastAsia" w:hAnsi="宋体" w:cs="宋体"/>
          <w:color w:val="000000"/>
          <w:szCs w:val="24"/>
        </w:rPr>
      </w:pPr>
      <w:r>
        <w:rPr>
          <w:rFonts w:hint="eastAsia" w:hAnsi="宋体"/>
          <w:color w:val="000000"/>
          <w:szCs w:val="24"/>
        </w:rPr>
        <w:t>拟建工程运营期间无废水产生，集输管线采取严格的防腐防渗措施，不会对区域地下水环境产生污染影响</w:t>
      </w:r>
      <w:r>
        <w:rPr>
          <w:rFonts w:hint="eastAsia" w:hAnsi="宋体" w:cs="宋体"/>
          <w:color w:val="000000"/>
          <w:szCs w:val="24"/>
        </w:rPr>
        <w:t>。</w:t>
      </w:r>
    </w:p>
    <w:p w14:paraId="04992BCB">
      <w:pPr>
        <w:spacing w:line="480" w:lineRule="exact"/>
        <w:outlineLvl w:val="3"/>
        <w:rPr>
          <w:rFonts w:hAnsi="宋体" w:cs="宋体"/>
          <w:color w:val="000000"/>
          <w:szCs w:val="24"/>
        </w:rPr>
      </w:pPr>
      <w:r>
        <w:rPr>
          <w:rFonts w:hint="eastAsia" w:hAnsi="宋体" w:cs="宋体"/>
          <w:color w:val="000000"/>
          <w:szCs w:val="24"/>
        </w:rPr>
        <w:t>5.2.3.2非正常状况</w:t>
      </w:r>
    </w:p>
    <w:p w14:paraId="70D992BA">
      <w:pPr>
        <w:overflowPunct w:val="0"/>
        <w:autoSpaceDE w:val="0"/>
        <w:autoSpaceDN w:val="0"/>
        <w:spacing w:line="480" w:lineRule="exact"/>
        <w:ind w:firstLine="526" w:firstLineChars="200"/>
        <w:rPr>
          <w:rFonts w:hint="eastAsia" w:hAnsi="宋体" w:cs="宋体"/>
          <w:color w:val="000000"/>
          <w:szCs w:val="24"/>
          <w:highlight w:val="yellow"/>
        </w:rPr>
      </w:pPr>
      <w:r>
        <w:rPr>
          <w:rFonts w:hint="eastAsia" w:hAnsi="宋体"/>
          <w:color w:val="000000"/>
        </w:rPr>
        <w:t>非正常工况下管线发生泄漏，泄漏于土体中的石油类可以同时向表面溢出和向地下渗透，并选择疏松位置运移。如果有足够多的石油类泄漏到疏松的土体中，就有可能下渗至潜水带并在潜水带顶面扩展而形成“油饼”</w:t>
      </w:r>
      <w:r>
        <w:rPr>
          <w:rFonts w:hint="eastAsia"/>
          <w:color w:val="000000"/>
          <w:szCs w:val="24"/>
        </w:rPr>
        <w:t>。</w:t>
      </w:r>
    </w:p>
    <w:p w14:paraId="0E271E82">
      <w:pPr>
        <w:spacing w:line="480" w:lineRule="exact"/>
        <w:ind w:firstLine="526" w:firstLineChars="200"/>
        <w:rPr>
          <w:rFonts w:hint="eastAsia" w:hAnsi="宋体" w:cs="宋体"/>
          <w:color w:val="000000"/>
          <w:szCs w:val="24"/>
          <w:lang w:bidi="ar"/>
        </w:rPr>
      </w:pPr>
      <w:r>
        <w:rPr>
          <w:rFonts w:hint="eastAsia" w:hAnsi="宋体" w:cs="宋体"/>
          <w:color w:val="000000"/>
          <w:szCs w:val="24"/>
          <w:lang w:bidi="ar"/>
        </w:rPr>
        <w:t>①预测因子</w:t>
      </w:r>
      <w:r>
        <w:rPr>
          <w:rFonts w:hint="eastAsia" w:hAnsi="宋体" w:cs="宋体"/>
          <w:color w:val="000000"/>
          <w:szCs w:val="24"/>
        </w:rPr>
        <w:t>筛选</w:t>
      </w:r>
    </w:p>
    <w:p w14:paraId="4A78B444">
      <w:pPr>
        <w:spacing w:line="480" w:lineRule="exact"/>
        <w:ind w:firstLine="526" w:firstLineChars="200"/>
        <w:rPr>
          <w:rFonts w:hAnsi="宋体"/>
          <w:color w:val="000000"/>
          <w:szCs w:val="24"/>
          <w:lang w:bidi="ar"/>
        </w:rPr>
      </w:pPr>
      <w:r>
        <w:rPr>
          <w:rFonts w:hint="eastAsia"/>
          <w:color w:val="000000"/>
          <w:lang w:bidi="ar"/>
        </w:rPr>
        <w:t>管道泄漏污染物主要为石油类，本评价</w:t>
      </w:r>
      <w:r>
        <w:rPr>
          <w:rFonts w:hint="eastAsia" w:hAnsi="宋体"/>
          <w:color w:val="000000"/>
        </w:rPr>
        <w:t>选取特征污染物石油类作为代表性污染物进行预测，石油类参照《地表水环境质量标准》(GB3838-2002)中的</w:t>
      </w:r>
      <w:r>
        <w:rPr>
          <w:rFonts w:hint="eastAsia" w:hAnsi="宋体" w:cs="宋体"/>
          <w:color w:val="000000"/>
        </w:rPr>
        <w:t>Ⅲ类</w:t>
      </w:r>
      <w:r>
        <w:rPr>
          <w:rFonts w:hint="eastAsia" w:hAnsi="宋体"/>
          <w:color w:val="000000"/>
        </w:rPr>
        <w:t>标准。</w:t>
      </w:r>
      <w:r>
        <w:rPr>
          <w:rFonts w:hint="eastAsia" w:hAnsi="宋体"/>
          <w:color w:val="000000"/>
          <w:szCs w:val="24"/>
        </w:rPr>
        <w:t>评价因子检出限及评价标准见表5.2-2。</w:t>
      </w:r>
    </w:p>
    <w:p w14:paraId="52B6F0F7">
      <w:pPr>
        <w:spacing w:line="480" w:lineRule="exact"/>
        <w:ind w:firstLine="526" w:firstLineChars="200"/>
        <w:rPr>
          <w:rFonts w:ascii="黑体" w:hAnsi="黑体" w:eastAsia="黑体"/>
          <w:color w:val="000000"/>
          <w:szCs w:val="24"/>
        </w:rPr>
      </w:pPr>
      <w:r>
        <w:rPr>
          <w:rFonts w:hint="eastAsia" w:ascii="黑体" w:hAnsi="黑体" w:eastAsia="黑体"/>
          <w:bCs/>
          <w:color w:val="000000"/>
          <w:szCs w:val="24"/>
        </w:rPr>
        <w:t xml:space="preserve">表5.2-1   </w:t>
      </w:r>
      <w:r>
        <w:rPr>
          <w:rFonts w:hint="eastAsia" w:ascii="黑体" w:hAnsi="黑体" w:eastAsia="黑体"/>
          <w:color w:val="000000"/>
          <w:szCs w:val="24"/>
        </w:rPr>
        <w:t xml:space="preserve">        评价因子及评价标准一览表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347"/>
        <w:gridCol w:w="2112"/>
        <w:gridCol w:w="2379"/>
        <w:gridCol w:w="3177"/>
      </w:tblGrid>
      <w:tr w14:paraId="303B94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7" w:type="pct"/>
            <w:tcMar>
              <w:left w:w="28" w:type="dxa"/>
              <w:right w:w="28" w:type="dxa"/>
            </w:tcMar>
            <w:vAlign w:val="center"/>
          </w:tcPr>
          <w:p w14:paraId="177431E2">
            <w:pPr>
              <w:spacing w:line="0" w:lineRule="atLeast"/>
              <w:jc w:val="center"/>
              <w:rPr>
                <w:rFonts w:hAnsi="宋体"/>
                <w:color w:val="000000"/>
                <w:spacing w:val="-10"/>
                <w:sz w:val="21"/>
                <w:szCs w:val="21"/>
              </w:rPr>
            </w:pPr>
            <w:r>
              <w:rPr>
                <w:rFonts w:hint="eastAsia" w:hAnsi="宋体"/>
                <w:color w:val="000000"/>
                <w:spacing w:val="-10"/>
                <w:sz w:val="21"/>
                <w:szCs w:val="21"/>
              </w:rPr>
              <w:t>评价因子</w:t>
            </w:r>
          </w:p>
        </w:tc>
        <w:tc>
          <w:tcPr>
            <w:tcW w:w="1171" w:type="pct"/>
            <w:tcMar>
              <w:left w:w="28" w:type="dxa"/>
              <w:right w:w="28" w:type="dxa"/>
            </w:tcMar>
            <w:vAlign w:val="center"/>
          </w:tcPr>
          <w:p w14:paraId="464EFF86">
            <w:pPr>
              <w:spacing w:line="0" w:lineRule="atLeast"/>
              <w:jc w:val="center"/>
              <w:rPr>
                <w:rFonts w:hint="eastAsia" w:hAnsi="宋体"/>
                <w:color w:val="000000"/>
                <w:spacing w:val="-10"/>
                <w:sz w:val="21"/>
                <w:szCs w:val="21"/>
              </w:rPr>
            </w:pPr>
            <w:r>
              <w:rPr>
                <w:rFonts w:hint="eastAsia" w:hAnsi="宋体"/>
                <w:color w:val="000000"/>
                <w:spacing w:val="-10"/>
                <w:sz w:val="21"/>
                <w:szCs w:val="21"/>
              </w:rPr>
              <w:t>评价标准（mg/L）</w:t>
            </w:r>
          </w:p>
        </w:tc>
        <w:tc>
          <w:tcPr>
            <w:tcW w:w="1319" w:type="pct"/>
            <w:tcMar>
              <w:left w:w="28" w:type="dxa"/>
              <w:right w:w="28" w:type="dxa"/>
            </w:tcMar>
            <w:vAlign w:val="center"/>
          </w:tcPr>
          <w:p w14:paraId="7CA3C21C">
            <w:pPr>
              <w:spacing w:line="0" w:lineRule="atLeast"/>
              <w:jc w:val="center"/>
              <w:rPr>
                <w:rFonts w:hint="eastAsia" w:hAnsi="宋体"/>
                <w:color w:val="000000"/>
                <w:spacing w:val="-10"/>
                <w:sz w:val="21"/>
                <w:szCs w:val="21"/>
              </w:rPr>
            </w:pPr>
            <w:r>
              <w:rPr>
                <w:rFonts w:hint="eastAsia" w:hAnsi="宋体"/>
                <w:color w:val="000000"/>
                <w:spacing w:val="-10"/>
                <w:sz w:val="21"/>
                <w:szCs w:val="21"/>
              </w:rPr>
              <w:t>检出下限值（mg/L）</w:t>
            </w:r>
          </w:p>
        </w:tc>
        <w:tc>
          <w:tcPr>
            <w:tcW w:w="1761" w:type="pct"/>
            <w:tcMar>
              <w:left w:w="28" w:type="dxa"/>
              <w:right w:w="28" w:type="dxa"/>
            </w:tcMar>
            <w:vAlign w:val="center"/>
          </w:tcPr>
          <w:p w14:paraId="68B7976B">
            <w:pPr>
              <w:spacing w:line="0" w:lineRule="atLeast"/>
              <w:jc w:val="center"/>
              <w:rPr>
                <w:rFonts w:hint="eastAsia" w:hAnsi="宋体"/>
                <w:color w:val="000000"/>
                <w:spacing w:val="-10"/>
                <w:sz w:val="21"/>
                <w:szCs w:val="21"/>
              </w:rPr>
            </w:pPr>
            <w:r>
              <w:rPr>
                <w:rFonts w:hint="eastAsia" w:hAnsi="宋体"/>
                <w:color w:val="000000"/>
                <w:spacing w:val="-10"/>
                <w:sz w:val="21"/>
                <w:szCs w:val="21"/>
              </w:rPr>
              <w:t>现状监测值最大值（mg/L）</w:t>
            </w:r>
          </w:p>
        </w:tc>
      </w:tr>
      <w:tr w14:paraId="6ABC5F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47" w:type="pct"/>
            <w:tcMar>
              <w:left w:w="28" w:type="dxa"/>
              <w:right w:w="28" w:type="dxa"/>
            </w:tcMar>
            <w:vAlign w:val="center"/>
          </w:tcPr>
          <w:p w14:paraId="24BAEC33">
            <w:pPr>
              <w:spacing w:line="0" w:lineRule="atLeast"/>
              <w:jc w:val="center"/>
              <w:rPr>
                <w:rFonts w:hAnsi="宋体"/>
                <w:color w:val="000000"/>
                <w:spacing w:val="-10"/>
                <w:sz w:val="21"/>
                <w:szCs w:val="21"/>
              </w:rPr>
            </w:pPr>
            <w:r>
              <w:rPr>
                <w:rFonts w:hint="eastAsia" w:hAnsi="宋体"/>
                <w:color w:val="000000"/>
                <w:spacing w:val="-10"/>
                <w:sz w:val="21"/>
                <w:szCs w:val="21"/>
              </w:rPr>
              <w:t>石油类</w:t>
            </w:r>
          </w:p>
        </w:tc>
        <w:tc>
          <w:tcPr>
            <w:tcW w:w="1171" w:type="pct"/>
            <w:tcMar>
              <w:left w:w="28" w:type="dxa"/>
              <w:right w:w="28" w:type="dxa"/>
            </w:tcMar>
            <w:vAlign w:val="center"/>
          </w:tcPr>
          <w:p w14:paraId="2BBF58B9">
            <w:pPr>
              <w:spacing w:line="0" w:lineRule="atLeast"/>
              <w:jc w:val="center"/>
              <w:rPr>
                <w:rFonts w:hAnsi="宋体"/>
                <w:color w:val="000000"/>
                <w:spacing w:val="-10"/>
                <w:sz w:val="21"/>
                <w:szCs w:val="21"/>
              </w:rPr>
            </w:pPr>
            <w:r>
              <w:rPr>
                <w:rFonts w:hint="eastAsia" w:hAnsi="宋体"/>
                <w:color w:val="000000"/>
                <w:spacing w:val="-10"/>
                <w:sz w:val="21"/>
                <w:szCs w:val="21"/>
              </w:rPr>
              <w:t>0.05</w:t>
            </w:r>
          </w:p>
        </w:tc>
        <w:tc>
          <w:tcPr>
            <w:tcW w:w="1319" w:type="pct"/>
            <w:tcMar>
              <w:left w:w="28" w:type="dxa"/>
              <w:right w:w="28" w:type="dxa"/>
            </w:tcMar>
            <w:vAlign w:val="center"/>
          </w:tcPr>
          <w:p w14:paraId="60603FF1">
            <w:pPr>
              <w:spacing w:line="0" w:lineRule="atLeast"/>
              <w:jc w:val="center"/>
              <w:rPr>
                <w:rFonts w:hint="eastAsia" w:hAnsi="宋体"/>
                <w:color w:val="000000"/>
                <w:spacing w:val="-10"/>
                <w:sz w:val="21"/>
                <w:szCs w:val="21"/>
              </w:rPr>
            </w:pPr>
            <w:r>
              <w:rPr>
                <w:rFonts w:hint="eastAsia" w:hAnsi="宋体"/>
                <w:color w:val="000000"/>
                <w:spacing w:val="-10"/>
                <w:sz w:val="21"/>
                <w:szCs w:val="21"/>
              </w:rPr>
              <w:t>0.01</w:t>
            </w:r>
          </w:p>
        </w:tc>
        <w:tc>
          <w:tcPr>
            <w:tcW w:w="1761" w:type="pct"/>
            <w:tcMar>
              <w:left w:w="28" w:type="dxa"/>
              <w:right w:w="28" w:type="dxa"/>
            </w:tcMar>
            <w:vAlign w:val="center"/>
          </w:tcPr>
          <w:p w14:paraId="7F10E00A">
            <w:pPr>
              <w:spacing w:line="0" w:lineRule="atLeast"/>
              <w:jc w:val="center"/>
              <w:rPr>
                <w:rFonts w:hAnsi="宋体"/>
                <w:color w:val="000000"/>
                <w:spacing w:val="-10"/>
                <w:sz w:val="21"/>
                <w:szCs w:val="21"/>
              </w:rPr>
            </w:pPr>
            <w:r>
              <w:rPr>
                <w:rFonts w:hint="eastAsia" w:hAnsi="宋体"/>
                <w:color w:val="000000"/>
                <w:spacing w:val="-10"/>
                <w:kern w:val="0"/>
                <w:sz w:val="21"/>
                <w:szCs w:val="21"/>
              </w:rPr>
              <w:t>＜0.01</w:t>
            </w:r>
          </w:p>
        </w:tc>
      </w:tr>
    </w:tbl>
    <w:p w14:paraId="6BD46AB2">
      <w:pPr>
        <w:spacing w:before="240" w:line="470" w:lineRule="exact"/>
        <w:ind w:firstLine="526" w:firstLineChars="200"/>
        <w:rPr>
          <w:rFonts w:hint="eastAsia" w:hAnsi="宋体" w:cs="宋体"/>
          <w:color w:val="000000"/>
          <w:szCs w:val="24"/>
          <w:lang w:bidi="ar"/>
        </w:rPr>
      </w:pPr>
      <w:r>
        <w:rPr>
          <w:rFonts w:hint="eastAsia" w:hAnsi="宋体" w:cs="宋体"/>
          <w:color w:val="000000"/>
          <w:szCs w:val="24"/>
          <w:lang w:bidi="ar"/>
        </w:rPr>
        <w:t>②预测源强</w:t>
      </w:r>
    </w:p>
    <w:p w14:paraId="67E3C9CE">
      <w:pPr>
        <w:overflowPunct w:val="0"/>
        <w:autoSpaceDE w:val="0"/>
        <w:autoSpaceDN w:val="0"/>
        <w:ind w:firstLine="526" w:firstLineChars="200"/>
        <w:rPr>
          <w:rFonts w:hint="eastAsia" w:hAnsi="宋体" w:cs="宋体"/>
          <w:color w:val="000000"/>
          <w:kern w:val="0"/>
          <w:lang w:bidi="ar"/>
        </w:rPr>
      </w:pPr>
      <w:r>
        <w:rPr>
          <w:rFonts w:hint="eastAsia" w:hAnsi="宋体" w:cs="宋体"/>
          <w:color w:val="000000"/>
          <w:kern w:val="0"/>
          <w:lang w:bidi="ar"/>
        </w:rPr>
        <w:t>根据《环境影响评价技术导则 地下水环境(修订征求意见稿)》中附录F中管道泄漏量公式:</w:t>
      </w:r>
    </w:p>
    <w:p w14:paraId="369E9ED5">
      <w:pPr>
        <w:overflowPunct w:val="0"/>
        <w:autoSpaceDE w:val="0"/>
        <w:autoSpaceDN w:val="0"/>
        <w:ind w:firstLine="526" w:firstLineChars="200"/>
        <w:rPr>
          <w:rFonts w:hint="eastAsia" w:hAnsi="宋体" w:cs="宋体"/>
          <w:color w:val="000000"/>
          <w:kern w:val="0"/>
          <w:lang w:bidi="ar"/>
        </w:rPr>
      </w:pPr>
      <w:r>
        <w:rPr>
          <w:rFonts w:hint="eastAsia" w:hAnsi="宋体" w:cs="宋体"/>
          <w:color w:val="000000"/>
          <w:kern w:val="0"/>
          <w:lang w:bidi="ar"/>
        </w:rPr>
        <w:t>Q=a×β×q×L</w:t>
      </w:r>
    </w:p>
    <w:p w14:paraId="4495E72A">
      <w:pPr>
        <w:overflowPunct w:val="0"/>
        <w:autoSpaceDE w:val="0"/>
        <w:autoSpaceDN w:val="0"/>
        <w:ind w:firstLine="526" w:firstLineChars="200"/>
        <w:rPr>
          <w:rFonts w:hint="eastAsia" w:hAnsi="宋体" w:cs="宋体"/>
          <w:color w:val="000000"/>
          <w:kern w:val="0"/>
          <w:lang w:bidi="ar"/>
        </w:rPr>
      </w:pPr>
      <w:r>
        <w:rPr>
          <w:rFonts w:hint="eastAsia" w:hAnsi="宋体" w:cs="宋体"/>
          <w:color w:val="000000"/>
          <w:kern w:val="0"/>
          <w:lang w:bidi="ar"/>
        </w:rPr>
        <w:t>式中:</w:t>
      </w:r>
    </w:p>
    <w:p w14:paraId="041197C8">
      <w:pPr>
        <w:overflowPunct w:val="0"/>
        <w:autoSpaceDE w:val="0"/>
        <w:autoSpaceDN w:val="0"/>
        <w:ind w:firstLine="526" w:firstLineChars="200"/>
        <w:rPr>
          <w:rFonts w:hint="eastAsia" w:hAnsi="宋体" w:cs="宋体"/>
          <w:color w:val="000000"/>
          <w:kern w:val="0"/>
          <w:lang w:bidi="ar"/>
        </w:rPr>
      </w:pPr>
      <w:r>
        <w:rPr>
          <w:rFonts w:hint="eastAsia" w:hAnsi="宋体" w:cs="宋体"/>
          <w:color w:val="000000"/>
          <w:kern w:val="0"/>
          <w:lang w:bidi="ar"/>
        </w:rPr>
        <w:t>Q--废污水渗透量，m</w:t>
      </w:r>
      <w:r>
        <w:rPr>
          <w:rFonts w:hint="eastAsia" w:hAnsi="宋体" w:cs="宋体"/>
          <w:color w:val="000000"/>
          <w:kern w:val="0"/>
          <w:vertAlign w:val="superscript"/>
          <w:lang w:bidi="ar"/>
        </w:rPr>
        <w:t>3</w:t>
      </w:r>
      <w:r>
        <w:rPr>
          <w:rFonts w:hint="eastAsia" w:hAnsi="宋体" w:cs="宋体"/>
          <w:color w:val="000000"/>
          <w:kern w:val="0"/>
          <w:lang w:bidi="ar"/>
        </w:rPr>
        <w:t>/d；</w:t>
      </w:r>
    </w:p>
    <w:p w14:paraId="6A5DE43D">
      <w:pPr>
        <w:overflowPunct w:val="0"/>
        <w:autoSpaceDE w:val="0"/>
        <w:autoSpaceDN w:val="0"/>
        <w:ind w:firstLine="526" w:firstLineChars="200"/>
        <w:rPr>
          <w:rFonts w:hint="eastAsia" w:hAnsi="宋体" w:cs="宋体"/>
          <w:color w:val="000000"/>
          <w:kern w:val="0"/>
          <w:lang w:bidi="ar"/>
        </w:rPr>
      </w:pPr>
      <w:r>
        <w:rPr>
          <w:rFonts w:hint="eastAsia" w:hAnsi="宋体" w:cs="宋体"/>
          <w:color w:val="000000"/>
          <w:kern w:val="0"/>
          <w:lang w:bidi="ar"/>
        </w:rPr>
        <w:t>L--管道长度，km；拟建工程选取最大管径泄漏，ZG431-H4至5#集DN150外输管线(DN150，10.35km)；</w:t>
      </w:r>
    </w:p>
    <w:p w14:paraId="10322E33">
      <w:pPr>
        <w:overflowPunct w:val="0"/>
        <w:autoSpaceDE w:val="0"/>
        <w:autoSpaceDN w:val="0"/>
        <w:spacing w:line="460" w:lineRule="exact"/>
        <w:ind w:firstLine="526" w:firstLineChars="200"/>
        <w:rPr>
          <w:rFonts w:hint="eastAsia" w:hAnsi="宋体" w:cs="宋体"/>
          <w:color w:val="000000"/>
          <w:kern w:val="0"/>
          <w:lang w:bidi="ar"/>
        </w:rPr>
      </w:pPr>
      <w:r>
        <w:rPr>
          <w:rFonts w:hint="eastAsia" w:hAnsi="宋体" w:cs="宋体"/>
          <w:color w:val="000000"/>
          <w:kern w:val="0"/>
          <w:lang w:bidi="ar"/>
        </w:rPr>
        <w:t>α--变差系数,一般可取0.1～1.0,管道采取特殊防渗措施时根据防渗能力选取；考虑最不利因素，拟建工程取1.0；</w:t>
      </w:r>
    </w:p>
    <w:p w14:paraId="673716AC">
      <w:pPr>
        <w:overflowPunct w:val="0"/>
        <w:autoSpaceDE w:val="0"/>
        <w:autoSpaceDN w:val="0"/>
        <w:spacing w:line="460" w:lineRule="exact"/>
        <w:ind w:firstLine="526" w:firstLineChars="200"/>
        <w:rPr>
          <w:rFonts w:hint="eastAsia" w:hAnsi="宋体" w:cs="宋体"/>
          <w:color w:val="000000"/>
          <w:kern w:val="0"/>
          <w:lang w:bidi="ar"/>
        </w:rPr>
      </w:pPr>
      <w:r>
        <w:rPr>
          <w:rFonts w:hint="eastAsia" w:hAnsi="宋体" w:cs="宋体"/>
          <w:color w:val="000000"/>
          <w:kern w:val="0"/>
          <w:lang w:bidi="ar"/>
        </w:rPr>
        <w:t>β--调整系数，针对不同压力管道单位渗漏量的量纲差异给出的调整系数，有压管道取值3.6，无压管道和渠道取值0.001；拟建工程取值3.6；</w:t>
      </w:r>
    </w:p>
    <w:p w14:paraId="26664D69">
      <w:pPr>
        <w:overflowPunct w:val="0"/>
        <w:autoSpaceDE w:val="0"/>
        <w:autoSpaceDN w:val="0"/>
        <w:spacing w:line="460" w:lineRule="exact"/>
        <w:ind w:firstLine="526" w:firstLineChars="200"/>
        <w:rPr>
          <w:rFonts w:hint="eastAsia" w:hAnsi="宋体" w:cs="宋体"/>
          <w:color w:val="000000"/>
          <w:kern w:val="0"/>
          <w:lang w:bidi="ar"/>
        </w:rPr>
      </w:pPr>
      <w:r>
        <w:rPr>
          <w:rFonts w:hint="eastAsia" w:hAnsi="宋体" w:cs="宋体"/>
          <w:color w:val="000000"/>
          <w:kern w:val="0"/>
          <w:lang w:bidi="ar"/>
        </w:rPr>
        <w:t>q--单位渗漏量，Lhmin·km或L/d·km，不同材质有压管道和无压管道的单位渗漏量分别见F.3.1和F.3.2，渠道或管渠渗漏量见F.3.3。拟建工程取值为1.05L/min·km。</w:t>
      </w:r>
    </w:p>
    <w:p w14:paraId="7DAE82BE">
      <w:pPr>
        <w:spacing w:line="460" w:lineRule="exact"/>
        <w:ind w:firstLine="526" w:firstLineChars="200"/>
        <w:rPr>
          <w:rFonts w:hint="eastAsia" w:hAnsi="宋体" w:cs="宋体"/>
          <w:color w:val="000000"/>
          <w:kern w:val="0"/>
          <w:szCs w:val="24"/>
          <w:highlight w:val="yellow"/>
          <w:lang w:bidi="ar"/>
        </w:rPr>
      </w:pPr>
      <w:r>
        <w:rPr>
          <w:rFonts w:hint="eastAsia" w:hAnsi="宋体" w:cs="宋体"/>
          <w:color w:val="000000"/>
          <w:kern w:val="0"/>
          <w:lang w:bidi="ar"/>
        </w:rPr>
        <w:t>根据上述公式，管线发生事故，最长1h可以到达事故地进行处置，则1h内管线泄漏量为1.63m</w:t>
      </w:r>
      <w:r>
        <w:rPr>
          <w:rFonts w:hint="eastAsia" w:hAnsi="宋体" w:cs="宋体"/>
          <w:color w:val="000000"/>
          <w:kern w:val="0"/>
          <w:vertAlign w:val="superscript"/>
          <w:lang w:bidi="ar"/>
        </w:rPr>
        <w:t>3</w:t>
      </w:r>
      <w:r>
        <w:rPr>
          <w:rFonts w:hint="eastAsia" w:hAnsi="宋体" w:cs="宋体"/>
          <w:color w:val="000000"/>
          <w:kern w:val="0"/>
          <w:lang w:bidi="ar"/>
        </w:rPr>
        <w:t>，根据建设单位提供的资料，拟建工程区块凝析油密度约757.5kg/m</w:t>
      </w:r>
      <w:r>
        <w:rPr>
          <w:rFonts w:hint="eastAsia" w:hAnsi="宋体" w:cs="宋体"/>
          <w:color w:val="000000"/>
          <w:kern w:val="0"/>
          <w:vertAlign w:val="superscript"/>
          <w:lang w:bidi="ar"/>
        </w:rPr>
        <w:t>3</w:t>
      </w:r>
      <w:r>
        <w:rPr>
          <w:rFonts w:hint="eastAsia" w:hAnsi="宋体" w:cs="宋体"/>
          <w:color w:val="000000"/>
          <w:kern w:val="0"/>
          <w:lang w:bidi="ar"/>
        </w:rPr>
        <w:t>,</w:t>
      </w:r>
      <w:r>
        <w:rPr>
          <w:rFonts w:hint="eastAsia" w:hAnsi="宋体" w:cs="宋体"/>
          <w:color w:val="000000"/>
          <w:kern w:val="0"/>
          <w:szCs w:val="24"/>
          <w:lang w:bidi="ar"/>
        </w:rPr>
        <w:t>石油类泄漏量为</w:t>
      </w:r>
      <w:r>
        <w:rPr>
          <w:rFonts w:hint="eastAsia" w:hAnsi="宋体" w:cs="宋体"/>
          <w:color w:val="000000"/>
          <w:kern w:val="0"/>
          <w:lang w:bidi="ar"/>
        </w:rPr>
        <w:t>1.23t</w:t>
      </w:r>
      <w:r>
        <w:rPr>
          <w:rFonts w:hint="eastAsia" w:hAnsi="宋体" w:cs="宋体"/>
          <w:color w:val="000000"/>
        </w:rPr>
        <w:t>。类比同类型管线多年统计数据，考虑采出液流量的1‰渗入潜水含水层，</w:t>
      </w:r>
      <w:r>
        <w:rPr>
          <w:rFonts w:hint="eastAsia" w:hAnsi="宋体" w:cs="宋体"/>
          <w:color w:val="000000"/>
          <w:kern w:val="0"/>
          <w:lang w:bidi="ar"/>
        </w:rPr>
        <w:t>则石油类泄漏源强为1.23kg</w:t>
      </w:r>
      <w:r>
        <w:rPr>
          <w:rFonts w:hint="eastAsia" w:hAnsi="宋体" w:cs="宋体"/>
          <w:color w:val="000000"/>
          <w:szCs w:val="24"/>
        </w:rPr>
        <w:t>。</w:t>
      </w:r>
    </w:p>
    <w:p w14:paraId="0052F41D">
      <w:pPr>
        <w:spacing w:line="460" w:lineRule="exact"/>
        <w:ind w:firstLine="526" w:firstLineChars="200"/>
        <w:rPr>
          <w:rFonts w:hint="eastAsia" w:hAnsi="宋体" w:cs="宋体"/>
          <w:color w:val="000000"/>
          <w:szCs w:val="24"/>
          <w:lang w:bidi="ar"/>
        </w:rPr>
      </w:pPr>
      <w:r>
        <w:rPr>
          <w:rFonts w:hint="eastAsia" w:hAnsi="宋体" w:cs="宋体"/>
          <w:color w:val="000000"/>
          <w:szCs w:val="24"/>
          <w:lang w:bidi="ar"/>
        </w:rPr>
        <w:t>③预测模型</w:t>
      </w:r>
    </w:p>
    <w:p w14:paraId="417BF93D">
      <w:pPr>
        <w:overflowPunct w:val="0"/>
        <w:autoSpaceDE w:val="0"/>
        <w:autoSpaceDN w:val="0"/>
        <w:spacing w:line="460" w:lineRule="exact"/>
        <w:ind w:firstLine="526" w:firstLineChars="200"/>
        <w:rPr>
          <w:rFonts w:hint="eastAsia" w:hAnsi="宋体" w:cs="宋体"/>
          <w:color w:val="000000"/>
          <w:szCs w:val="24"/>
        </w:rPr>
      </w:pPr>
      <w:r>
        <w:rPr>
          <w:rFonts w:hint="eastAsia" w:hAnsi="宋体" w:cs="宋体"/>
          <w:color w:val="000000"/>
          <w:szCs w:val="24"/>
        </w:rPr>
        <w:t>污染物在潜水含水层中随着水流不断扩散，根据</w:t>
      </w:r>
      <w:r>
        <w:rPr>
          <w:rFonts w:hint="eastAsia" w:hAnsi="宋体"/>
          <w:color w:val="000000"/>
          <w:szCs w:val="24"/>
        </w:rPr>
        <w:t>拟建工程</w:t>
      </w:r>
      <w:r>
        <w:rPr>
          <w:rFonts w:hint="eastAsia" w:hAnsi="宋体" w:cs="宋体"/>
          <w:color w:val="000000"/>
          <w:szCs w:val="24"/>
        </w:rPr>
        <w:t>非正常状况下污染源排放形式与排放规律，本次模型可概化为一维稳定流动二维水动力弥散问题的瞬时注入污染物</w:t>
      </w:r>
      <w:r>
        <w:rPr>
          <w:rFonts w:hAnsi="宋体" w:cs="宋体"/>
          <w:color w:val="000000"/>
          <w:szCs w:val="24"/>
        </w:rPr>
        <w:t>—</w:t>
      </w:r>
      <w:r>
        <w:rPr>
          <w:rFonts w:hint="eastAsia" w:hAnsi="宋体" w:cs="宋体"/>
          <w:color w:val="000000"/>
          <w:szCs w:val="24"/>
        </w:rPr>
        <w:t>平面瞬时</w:t>
      </w:r>
      <w:r>
        <w:rPr>
          <w:rFonts w:hint="eastAsia" w:hAnsi="宋体"/>
          <w:color w:val="000000"/>
          <w:szCs w:val="24"/>
        </w:rPr>
        <w:t>点源的预测模型，其主要假设条件为：</w:t>
      </w:r>
    </w:p>
    <w:p w14:paraId="5339371E">
      <w:pPr>
        <w:overflowPunct w:val="0"/>
        <w:autoSpaceDE w:val="0"/>
        <w:autoSpaceDN w:val="0"/>
        <w:spacing w:line="460" w:lineRule="exact"/>
        <w:ind w:firstLine="526" w:firstLineChars="200"/>
        <w:rPr>
          <w:rFonts w:hint="eastAsia" w:hAnsi="宋体" w:cs="宋体"/>
          <w:color w:val="000000"/>
          <w:szCs w:val="24"/>
        </w:rPr>
      </w:pPr>
      <w:r>
        <w:rPr>
          <w:rFonts w:hint="eastAsia" w:hAnsi="宋体" w:cs="宋体"/>
          <w:color w:val="000000"/>
          <w:szCs w:val="24"/>
        </w:rPr>
        <w:t>a.假定含水层等厚，均质，并在平面无限分布，含水层的厚度、宽度和长度比可忽略；</w:t>
      </w:r>
    </w:p>
    <w:p w14:paraId="0FD000BD">
      <w:pPr>
        <w:overflowPunct w:val="0"/>
        <w:autoSpaceDE w:val="0"/>
        <w:autoSpaceDN w:val="0"/>
        <w:spacing w:line="460" w:lineRule="exact"/>
        <w:ind w:firstLine="526" w:firstLineChars="200"/>
        <w:rPr>
          <w:rFonts w:hint="eastAsia" w:hAnsi="宋体" w:cs="宋体"/>
          <w:color w:val="000000"/>
          <w:szCs w:val="24"/>
        </w:rPr>
      </w:pPr>
      <w:r>
        <w:rPr>
          <w:rFonts w:hint="eastAsia" w:hAnsi="宋体" w:cs="宋体"/>
          <w:color w:val="000000"/>
          <w:szCs w:val="24"/>
        </w:rPr>
        <w:t>b.假定定量的定浓度的污水，在极短时间内注入整个含水层的厚度范围；</w:t>
      </w:r>
    </w:p>
    <w:p w14:paraId="51557321">
      <w:pPr>
        <w:overflowPunct w:val="0"/>
        <w:autoSpaceDE w:val="0"/>
        <w:autoSpaceDN w:val="0"/>
        <w:spacing w:line="460" w:lineRule="exact"/>
        <w:ind w:firstLine="526" w:firstLineChars="200"/>
        <w:rPr>
          <w:rFonts w:hint="eastAsia" w:hAnsi="宋体" w:cs="宋体"/>
          <w:color w:val="000000"/>
          <w:szCs w:val="24"/>
        </w:rPr>
      </w:pPr>
      <w:r>
        <w:rPr>
          <w:rFonts w:hint="eastAsia" w:hAnsi="宋体" w:cs="宋体"/>
          <w:color w:val="000000"/>
          <w:szCs w:val="24"/>
        </w:rPr>
        <w:t>c.污水的注入对含水层内的天然流场不产生影响。</w:t>
      </w:r>
    </w:p>
    <w:p w14:paraId="11613C28">
      <w:pPr>
        <w:overflowPunct w:val="0"/>
        <w:autoSpaceDE w:val="0"/>
        <w:autoSpaceDN w:val="0"/>
        <w:spacing w:line="460" w:lineRule="exact"/>
        <w:ind w:firstLine="526" w:firstLineChars="200"/>
        <w:rPr>
          <w:rFonts w:hint="eastAsia" w:hAnsi="宋体" w:cs="宋体"/>
          <w:color w:val="000000"/>
          <w:szCs w:val="24"/>
        </w:rPr>
      </w:pPr>
      <w:r>
        <w:rPr>
          <w:rFonts w:hint="eastAsia" w:hAnsi="宋体" w:cs="宋体"/>
          <w:color w:val="000000"/>
          <w:szCs w:val="24"/>
        </w:rPr>
        <w:t>根据《环境影响评价技术导则 地下水环境》（HJ610-2016），一维稳定流动二维水动力弥散问题的瞬时注入示踪剂—平面瞬时点源的预测模型为：</w:t>
      </w:r>
    </w:p>
    <w:p w14:paraId="276B0B3A">
      <w:pPr>
        <w:spacing w:line="460" w:lineRule="exact"/>
        <w:ind w:firstLine="526" w:firstLineChars="200"/>
        <w:rPr>
          <w:rFonts w:hint="eastAsia" w:hAnsi="宋体" w:cs="宋体"/>
          <w:color w:val="000000"/>
          <w:szCs w:val="24"/>
          <w:highlight w:val="yellow"/>
        </w:rPr>
      </w:pPr>
      <w:r>
        <w:rPr>
          <w:rFonts w:hint="eastAsia" w:hAnsi="宋体" w:cs="宋体"/>
          <w:color w:val="000000"/>
          <w:szCs w:val="24"/>
          <w:highlight w:val="yellow"/>
        </w:rPr>
        <w:pict>
          <v:shape id="对象 2" o:spid="_x0000_s1068" o:spt="75" type="#_x0000_t75" style="position:absolute;left:0pt;margin-left:95.55pt;margin-top:4.85pt;height:38.25pt;width:204pt;z-index:-251656192;mso-width-relative:page;mso-height-relative:page;" filled="f" o:preferrelative="t" stroked="f" coordsize="21600,21600">
            <v:path/>
            <v:fill on="f" focussize="0,0"/>
            <v:stroke on="f"/>
            <v:imagedata r:id="rId33" o:title=""/>
            <o:lock v:ext="edit" aspectratio="t"/>
          </v:shape>
        </w:pict>
      </w:r>
    </w:p>
    <w:p w14:paraId="1361ACC1">
      <w:pPr>
        <w:spacing w:line="460" w:lineRule="exact"/>
        <w:ind w:firstLine="526" w:firstLineChars="200"/>
        <w:rPr>
          <w:rFonts w:hint="eastAsia" w:hAnsi="宋体" w:cs="宋体"/>
          <w:color w:val="000000"/>
          <w:szCs w:val="24"/>
          <w:highlight w:val="yellow"/>
        </w:rPr>
      </w:pPr>
    </w:p>
    <w:p w14:paraId="38D04F31">
      <w:pPr>
        <w:overflowPunct w:val="0"/>
        <w:autoSpaceDE w:val="0"/>
        <w:autoSpaceDN w:val="0"/>
        <w:adjustRightInd w:val="0"/>
        <w:spacing w:line="460" w:lineRule="exact"/>
        <w:ind w:firstLine="526" w:firstLineChars="200"/>
        <w:rPr>
          <w:rFonts w:hint="eastAsia" w:hAnsi="宋体" w:cs="宋体"/>
          <w:color w:val="000000"/>
          <w:szCs w:val="24"/>
        </w:rPr>
      </w:pPr>
      <w:r>
        <w:rPr>
          <w:rFonts w:hint="eastAsia" w:hAnsi="宋体" w:cs="宋体"/>
          <w:color w:val="000000"/>
          <w:szCs w:val="24"/>
        </w:rPr>
        <w:t>式中：</w:t>
      </w:r>
    </w:p>
    <w:p w14:paraId="0CF8F9C7">
      <w:pPr>
        <w:overflowPunct w:val="0"/>
        <w:autoSpaceDE w:val="0"/>
        <w:autoSpaceDN w:val="0"/>
        <w:spacing w:line="460" w:lineRule="exact"/>
        <w:ind w:firstLine="526" w:firstLineChars="200"/>
        <w:rPr>
          <w:rFonts w:hint="eastAsia" w:hAnsi="宋体"/>
          <w:color w:val="000000"/>
          <w:szCs w:val="24"/>
        </w:rPr>
      </w:pPr>
      <w:r>
        <w:rPr>
          <w:rFonts w:hint="eastAsia" w:hAnsi="宋体"/>
          <w:color w:val="000000"/>
          <w:szCs w:val="24"/>
        </w:rPr>
        <w:t>x，y—计算点处的位置坐标；</w:t>
      </w:r>
    </w:p>
    <w:p w14:paraId="2F7315D5">
      <w:pPr>
        <w:overflowPunct w:val="0"/>
        <w:autoSpaceDE w:val="0"/>
        <w:autoSpaceDN w:val="0"/>
        <w:spacing w:line="460" w:lineRule="exact"/>
        <w:ind w:firstLine="526" w:firstLineChars="200"/>
        <w:rPr>
          <w:rFonts w:hAnsi="宋体"/>
          <w:color w:val="000000"/>
          <w:szCs w:val="24"/>
        </w:rPr>
      </w:pPr>
      <w:r>
        <w:rPr>
          <w:rFonts w:hint="eastAsia" w:hAnsi="宋体"/>
          <w:color w:val="000000"/>
          <w:szCs w:val="24"/>
        </w:rPr>
        <w:t>t—时间，d；</w:t>
      </w:r>
    </w:p>
    <w:p w14:paraId="1DE1EB5C">
      <w:pPr>
        <w:overflowPunct w:val="0"/>
        <w:autoSpaceDE w:val="0"/>
        <w:autoSpaceDN w:val="0"/>
        <w:spacing w:line="460" w:lineRule="exact"/>
        <w:ind w:firstLine="526" w:firstLineChars="200"/>
        <w:rPr>
          <w:rFonts w:hint="eastAsia" w:hAnsi="宋体"/>
          <w:color w:val="000000"/>
          <w:szCs w:val="24"/>
        </w:rPr>
      </w:pPr>
      <w:r>
        <w:rPr>
          <w:rFonts w:hint="eastAsia" w:hAnsi="宋体"/>
          <w:color w:val="000000"/>
          <w:szCs w:val="24"/>
        </w:rPr>
        <w:t>C（x，y，t）—t时刻点x，y处的污染物浓度，mg/L；</w:t>
      </w:r>
    </w:p>
    <w:p w14:paraId="26F7D623">
      <w:pPr>
        <w:overflowPunct w:val="0"/>
        <w:autoSpaceDE w:val="0"/>
        <w:autoSpaceDN w:val="0"/>
        <w:spacing w:line="460" w:lineRule="exact"/>
        <w:ind w:firstLine="526" w:firstLineChars="200"/>
        <w:rPr>
          <w:rFonts w:hint="eastAsia" w:hAnsi="宋体"/>
          <w:color w:val="000000"/>
          <w:szCs w:val="24"/>
        </w:rPr>
      </w:pPr>
      <w:r>
        <w:rPr>
          <w:rFonts w:hint="eastAsia" w:hAnsi="宋体"/>
          <w:color w:val="000000"/>
          <w:szCs w:val="24"/>
        </w:rPr>
        <w:t>M—含水层厚度，m；评价区域潜水含水层平均厚度约30m；</w:t>
      </w:r>
    </w:p>
    <w:p w14:paraId="4F21A162">
      <w:pPr>
        <w:overflowPunct w:val="0"/>
        <w:autoSpaceDE w:val="0"/>
        <w:autoSpaceDN w:val="0"/>
        <w:spacing w:line="480" w:lineRule="exact"/>
        <w:ind w:firstLine="526" w:firstLineChars="200"/>
        <w:rPr>
          <w:rFonts w:hint="eastAsia" w:hAnsi="宋体"/>
          <w:color w:val="000000"/>
          <w:szCs w:val="24"/>
        </w:rPr>
      </w:pPr>
      <w:r>
        <w:rPr>
          <w:rFonts w:hint="eastAsia" w:hAnsi="宋体"/>
          <w:color w:val="000000"/>
          <w:szCs w:val="24"/>
        </w:rPr>
        <w:t>m</w:t>
      </w:r>
      <w:r>
        <w:rPr>
          <w:rFonts w:hint="eastAsia" w:hAnsi="宋体"/>
          <w:color w:val="000000"/>
          <w:szCs w:val="24"/>
          <w:vertAlign w:val="subscript"/>
        </w:rPr>
        <w:t>M</w:t>
      </w:r>
      <w:r>
        <w:rPr>
          <w:rFonts w:hint="eastAsia" w:hAnsi="宋体"/>
          <w:color w:val="000000"/>
          <w:szCs w:val="24"/>
        </w:rPr>
        <w:t>—长度为M的线源瞬时注入污染物的质量，kg。本次线源瞬时注入的污染物质量石油类1.23kg；</w:t>
      </w:r>
    </w:p>
    <w:p w14:paraId="6E52C77E">
      <w:pPr>
        <w:overflowPunct w:val="0"/>
        <w:autoSpaceDE w:val="0"/>
        <w:autoSpaceDN w:val="0"/>
        <w:ind w:firstLine="526" w:firstLineChars="200"/>
        <w:rPr>
          <w:rFonts w:hint="eastAsia" w:hAnsi="宋体"/>
          <w:color w:val="000000"/>
        </w:rPr>
      </w:pPr>
      <w:r>
        <w:rPr>
          <w:rFonts w:hint="eastAsia" w:hAnsi="宋体"/>
          <w:bCs/>
          <w:color w:val="000000"/>
        </w:rPr>
        <w:t>u—地下水流速度，m/d；</w:t>
      </w:r>
      <w:r>
        <w:rPr>
          <w:rFonts w:hint="eastAsia" w:hAnsi="宋体"/>
          <w:color w:val="000000"/>
        </w:rPr>
        <w:t>潜水含水层岩性为第四系</w:t>
      </w:r>
      <w:r>
        <w:rPr>
          <w:rFonts w:hAnsi="宋体"/>
          <w:color w:val="000000"/>
        </w:rPr>
        <w:t>粉砂</w:t>
      </w:r>
      <w:r>
        <w:rPr>
          <w:rFonts w:hint="eastAsia" w:hAnsi="宋体"/>
          <w:color w:val="000000"/>
        </w:rPr>
        <w:t>、</w:t>
      </w:r>
      <w:r>
        <w:rPr>
          <w:rFonts w:hAnsi="宋体"/>
          <w:color w:val="000000"/>
        </w:rPr>
        <w:t>粉</w:t>
      </w:r>
      <w:r>
        <w:rPr>
          <w:rFonts w:hint="eastAsia" w:hAnsi="宋体"/>
          <w:color w:val="000000"/>
        </w:rPr>
        <w:t>细砂，渗透系数取1.5m/d。水力坡度Ⅰ为2‰。因此地下水的渗透流速u=K×Ⅰ/n=1.5m/d×2‰/0.18=0.017m/d；</w:t>
      </w:r>
    </w:p>
    <w:p w14:paraId="4497B263">
      <w:pPr>
        <w:ind w:firstLine="526" w:firstLineChars="200"/>
        <w:rPr>
          <w:rFonts w:hint="eastAsia" w:hAnsi="宋体"/>
          <w:bCs/>
          <w:color w:val="000000"/>
        </w:rPr>
      </w:pPr>
      <w:r>
        <w:rPr>
          <w:rFonts w:hint="eastAsia" w:hAnsi="宋体"/>
          <w:bCs/>
          <w:color w:val="000000"/>
        </w:rPr>
        <w:t>n</w:t>
      </w:r>
      <w:r>
        <w:rPr>
          <w:rFonts w:hAnsi="宋体"/>
          <w:bCs/>
          <w:color w:val="000000"/>
          <w:vertAlign w:val="subscript"/>
        </w:rPr>
        <w:t>e</w:t>
      </w:r>
      <w:r>
        <w:rPr>
          <w:rFonts w:hint="eastAsia" w:hAnsi="宋体"/>
          <w:bCs/>
          <w:color w:val="000000"/>
        </w:rPr>
        <w:t>—有效孔隙度，无量纲，取0.18；</w:t>
      </w:r>
    </w:p>
    <w:p w14:paraId="1D8C199A">
      <w:pPr>
        <w:overflowPunct w:val="0"/>
        <w:autoSpaceDE w:val="0"/>
        <w:autoSpaceDN w:val="0"/>
        <w:ind w:firstLine="526" w:firstLineChars="200"/>
        <w:rPr>
          <w:rFonts w:hint="eastAsia" w:hAnsi="宋体"/>
          <w:color w:val="000000"/>
        </w:rPr>
      </w:pPr>
      <w:r>
        <w:rPr>
          <w:rFonts w:hint="eastAsia" w:hAnsi="宋体"/>
          <w:color w:val="000000"/>
        </w:rPr>
        <w:t>D</w:t>
      </w:r>
      <w:r>
        <w:rPr>
          <w:rFonts w:hint="eastAsia" w:hAnsi="宋体"/>
          <w:color w:val="000000"/>
          <w:vertAlign w:val="subscript"/>
        </w:rPr>
        <w:t>L</w:t>
      </w:r>
      <w:r>
        <w:rPr>
          <w:rFonts w:hint="eastAsia" w:hAnsi="宋体"/>
          <w:color w:val="000000"/>
        </w:rPr>
        <w:t>—纵向弥散系数，m</w:t>
      </w:r>
      <w:r>
        <w:rPr>
          <w:rFonts w:hint="eastAsia" w:hAnsi="宋体"/>
          <w:color w:val="000000"/>
          <w:vertAlign w:val="superscript"/>
        </w:rPr>
        <w:t>2</w:t>
      </w:r>
      <w:r>
        <w:rPr>
          <w:rFonts w:hint="eastAsia" w:hAnsi="宋体"/>
          <w:color w:val="000000"/>
        </w:rPr>
        <w:t>/d；根据资料，纵向弥散度αm=10m，纵向弥散系数D</w:t>
      </w:r>
      <w:r>
        <w:rPr>
          <w:rFonts w:hint="eastAsia" w:hAnsi="宋体"/>
          <w:color w:val="000000"/>
          <w:vertAlign w:val="subscript"/>
        </w:rPr>
        <w:t>L</w:t>
      </w:r>
      <w:r>
        <w:rPr>
          <w:rFonts w:hint="eastAsia" w:hAnsi="宋体"/>
          <w:color w:val="000000"/>
        </w:rPr>
        <w:t>=0.17m</w:t>
      </w:r>
      <w:r>
        <w:rPr>
          <w:rFonts w:hint="eastAsia" w:hAnsi="宋体"/>
          <w:color w:val="000000"/>
          <w:vertAlign w:val="superscript"/>
        </w:rPr>
        <w:t>2</w:t>
      </w:r>
      <w:r>
        <w:rPr>
          <w:rFonts w:hint="eastAsia" w:hAnsi="宋体"/>
          <w:color w:val="000000"/>
        </w:rPr>
        <w:t>/d；</w:t>
      </w:r>
    </w:p>
    <w:p w14:paraId="247FE975">
      <w:pPr>
        <w:ind w:firstLine="526" w:firstLineChars="200"/>
        <w:rPr>
          <w:rFonts w:hint="eastAsia" w:hAnsi="宋体"/>
          <w:bCs/>
          <w:color w:val="000000"/>
        </w:rPr>
      </w:pPr>
      <w:r>
        <w:rPr>
          <w:rFonts w:hint="eastAsia" w:hAnsi="宋体"/>
          <w:bCs/>
          <w:color w:val="000000"/>
        </w:rPr>
        <w:t>D</w:t>
      </w:r>
      <w:r>
        <w:rPr>
          <w:rFonts w:hint="eastAsia" w:hAnsi="宋体"/>
          <w:bCs/>
          <w:color w:val="000000"/>
          <w:vertAlign w:val="subscript"/>
        </w:rPr>
        <w:t>T</w:t>
      </w:r>
      <w:r>
        <w:rPr>
          <w:rFonts w:hint="eastAsia" w:hAnsi="宋体"/>
          <w:bCs/>
          <w:color w:val="000000"/>
        </w:rPr>
        <w:t>—横向y方向的弥散系数，m</w:t>
      </w:r>
      <w:r>
        <w:rPr>
          <w:rFonts w:hint="eastAsia" w:hAnsi="宋体"/>
          <w:bCs/>
          <w:color w:val="000000"/>
          <w:vertAlign w:val="superscript"/>
        </w:rPr>
        <w:t>2</w:t>
      </w:r>
      <w:r>
        <w:rPr>
          <w:rFonts w:hint="eastAsia" w:hAnsi="宋体"/>
          <w:bCs/>
          <w:color w:val="000000"/>
        </w:rPr>
        <w:t>/d；横向弥散系数D</w:t>
      </w:r>
      <w:r>
        <w:rPr>
          <w:rFonts w:hint="eastAsia" w:hAnsi="宋体"/>
          <w:bCs/>
          <w:color w:val="000000"/>
          <w:vertAlign w:val="subscript"/>
        </w:rPr>
        <w:t>T</w:t>
      </w:r>
      <w:r>
        <w:rPr>
          <w:rFonts w:hint="eastAsia" w:hAnsi="宋体"/>
          <w:bCs/>
          <w:color w:val="000000"/>
        </w:rPr>
        <w:t>=0.017m</w:t>
      </w:r>
      <w:r>
        <w:rPr>
          <w:rFonts w:hint="eastAsia" w:hAnsi="宋体"/>
          <w:bCs/>
          <w:color w:val="000000"/>
          <w:vertAlign w:val="superscript"/>
        </w:rPr>
        <w:t>2</w:t>
      </w:r>
      <w:r>
        <w:rPr>
          <w:rFonts w:hint="eastAsia" w:hAnsi="宋体"/>
          <w:bCs/>
          <w:color w:val="000000"/>
        </w:rPr>
        <w:t>/d；</w:t>
      </w:r>
    </w:p>
    <w:p w14:paraId="57D085CF">
      <w:pPr>
        <w:overflowPunct w:val="0"/>
        <w:autoSpaceDE w:val="0"/>
        <w:autoSpaceDN w:val="0"/>
        <w:ind w:firstLine="526" w:firstLineChars="200"/>
        <w:rPr>
          <w:rFonts w:hint="eastAsia" w:hAnsi="宋体"/>
          <w:bCs/>
          <w:color w:val="000000"/>
          <w:szCs w:val="24"/>
        </w:rPr>
      </w:pPr>
      <w:r>
        <w:rPr>
          <w:rFonts w:hint="eastAsia" w:hAnsi="宋体"/>
          <w:bCs/>
          <w:color w:val="000000"/>
        </w:rPr>
        <w:t>π—圆周率。</w:t>
      </w:r>
    </w:p>
    <w:p w14:paraId="6F40B0E3">
      <w:pPr>
        <w:spacing w:line="480" w:lineRule="exact"/>
        <w:ind w:firstLine="526" w:firstLineChars="200"/>
        <w:rPr>
          <w:rFonts w:hint="eastAsia" w:hAnsi="宋体" w:cs="宋体"/>
          <w:color w:val="000000"/>
          <w:szCs w:val="24"/>
          <w:lang w:bidi="ar"/>
        </w:rPr>
      </w:pPr>
      <w:r>
        <w:rPr>
          <w:rFonts w:hint="eastAsia" w:hAnsi="宋体" w:cs="宋体"/>
          <w:color w:val="000000"/>
          <w:szCs w:val="24"/>
          <w:lang w:bidi="ar"/>
        </w:rPr>
        <w:t>④预测内容</w:t>
      </w:r>
    </w:p>
    <w:p w14:paraId="42D72F3F">
      <w:pPr>
        <w:pStyle w:val="111"/>
        <w:snapToGrid/>
        <w:spacing w:line="480" w:lineRule="exact"/>
        <w:ind w:firstLine="527"/>
        <w:rPr>
          <w:rFonts w:hint="eastAsia" w:hAnsi="宋体" w:eastAsia="宋体" w:cs="宋体"/>
          <w:color w:val="000000"/>
          <w:spacing w:val="5"/>
        </w:rPr>
      </w:pPr>
      <w:r>
        <w:rPr>
          <w:rFonts w:hint="eastAsia" w:hAnsi="宋体" w:eastAsia="宋体" w:cs="宋体"/>
          <w:color w:val="000000"/>
          <w:spacing w:val="5"/>
          <w:kern w:val="2"/>
        </w:rPr>
        <w:t>在非正常状况下，污染物进入含水层后，在水动力弥散作用下，瞬时注入的污染物将产生呈椭圆形的污染晕，污染晕中污染物的浓度由中心向四周逐渐降低。随着水动力弥散作用的进行，污染晕将不断沿水流方向运移，污染晕的范围也会发生变化。本次预测在研究污染晕运移时，选取石油类的检出下限值等值线作为影响范围，石油类取《地表水环境质量标准》（GB3838-2002）中Ⅲ类标准值等值线作为超标范围，预测污染晕的运移距离和影响范围</w:t>
      </w:r>
      <w:r>
        <w:rPr>
          <w:rFonts w:hint="eastAsia" w:hAnsi="宋体" w:eastAsia="宋体" w:cs="宋体"/>
          <w:color w:val="000000"/>
          <w:spacing w:val="5"/>
        </w:rPr>
        <w:t>。预测结果见表5.2-2。</w:t>
      </w:r>
    </w:p>
    <w:p w14:paraId="428AE9D8">
      <w:pPr>
        <w:ind w:firstLine="526" w:firstLineChars="200"/>
        <w:rPr>
          <w:rFonts w:hint="eastAsia" w:ascii="黑体" w:hAnsi="黑体" w:eastAsia="黑体"/>
          <w:color w:val="000000"/>
        </w:rPr>
      </w:pPr>
      <w:r>
        <w:rPr>
          <w:rFonts w:hint="eastAsia" w:ascii="黑体" w:hAnsi="黑体" w:eastAsia="黑体" w:cs="宋体"/>
          <w:color w:val="000000"/>
        </w:rPr>
        <w:t xml:space="preserve">表5.2-2  </w:t>
      </w:r>
      <w:r>
        <w:rPr>
          <w:rFonts w:hint="eastAsia" w:ascii="黑体" w:hAnsi="黑体" w:eastAsia="黑体" w:cs="宋体"/>
          <w:color w:val="000000"/>
          <w:lang w:val="zh-CN"/>
        </w:rPr>
        <w:t xml:space="preserve"> </w:t>
      </w:r>
      <w:r>
        <w:rPr>
          <w:rFonts w:hint="eastAsia" w:ascii="黑体" w:hAnsi="黑体" w:eastAsia="黑体"/>
          <w:color w:val="000000"/>
        </w:rPr>
        <w:t>在非正常状况下石油类在潜水含水层中运移情况一览表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172"/>
        <w:gridCol w:w="1449"/>
        <w:gridCol w:w="1525"/>
        <w:gridCol w:w="1368"/>
        <w:gridCol w:w="1743"/>
        <w:gridCol w:w="1753"/>
      </w:tblGrid>
      <w:tr w14:paraId="13CE66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50" w:type="pct"/>
            <w:tcMar>
              <w:left w:w="28" w:type="dxa"/>
              <w:right w:w="28" w:type="dxa"/>
            </w:tcMar>
            <w:vAlign w:val="center"/>
          </w:tcPr>
          <w:p w14:paraId="78E9687F">
            <w:pPr>
              <w:spacing w:line="0" w:lineRule="atLeast"/>
              <w:jc w:val="center"/>
              <w:rPr>
                <w:rFonts w:hint="eastAsia" w:hAnsi="宋体"/>
                <w:color w:val="000000"/>
                <w:spacing w:val="-10"/>
                <w:sz w:val="21"/>
                <w:szCs w:val="21"/>
              </w:rPr>
            </w:pPr>
            <w:r>
              <w:rPr>
                <w:rFonts w:hint="eastAsia" w:hAnsi="宋体"/>
                <w:color w:val="000000"/>
                <w:spacing w:val="-10"/>
                <w:kern w:val="0"/>
                <w:sz w:val="21"/>
                <w:szCs w:val="21"/>
              </w:rPr>
              <w:t>污染年限</w:t>
            </w:r>
          </w:p>
        </w:tc>
        <w:tc>
          <w:tcPr>
            <w:tcW w:w="804" w:type="pct"/>
            <w:tcMar>
              <w:left w:w="28" w:type="dxa"/>
              <w:right w:w="28" w:type="dxa"/>
            </w:tcMar>
            <w:vAlign w:val="center"/>
          </w:tcPr>
          <w:p w14:paraId="556DF22A">
            <w:pPr>
              <w:spacing w:line="0" w:lineRule="atLeast"/>
              <w:jc w:val="center"/>
              <w:rPr>
                <w:rFonts w:hint="eastAsia" w:hAnsi="宋体"/>
                <w:color w:val="000000"/>
                <w:spacing w:val="-10"/>
                <w:sz w:val="21"/>
                <w:szCs w:val="21"/>
              </w:rPr>
            </w:pPr>
            <w:r>
              <w:rPr>
                <w:rFonts w:hint="eastAsia" w:hAnsi="宋体"/>
                <w:color w:val="000000"/>
                <w:spacing w:val="-10"/>
                <w:kern w:val="0"/>
                <w:sz w:val="21"/>
                <w:szCs w:val="21"/>
              </w:rPr>
              <w:t>影响范围（m</w:t>
            </w:r>
            <w:r>
              <w:rPr>
                <w:rFonts w:hint="eastAsia" w:hAnsi="宋体"/>
                <w:color w:val="000000"/>
                <w:spacing w:val="-10"/>
                <w:kern w:val="0"/>
                <w:sz w:val="21"/>
                <w:szCs w:val="21"/>
                <w:vertAlign w:val="superscript"/>
              </w:rPr>
              <w:t>2</w:t>
            </w:r>
            <w:r>
              <w:rPr>
                <w:rFonts w:hint="eastAsia" w:hAnsi="宋体"/>
                <w:color w:val="000000"/>
                <w:spacing w:val="-10"/>
                <w:kern w:val="0"/>
                <w:sz w:val="21"/>
                <w:szCs w:val="21"/>
              </w:rPr>
              <w:t>）</w:t>
            </w:r>
          </w:p>
        </w:tc>
        <w:tc>
          <w:tcPr>
            <w:tcW w:w="846" w:type="pct"/>
            <w:tcMar>
              <w:left w:w="28" w:type="dxa"/>
              <w:right w:w="28" w:type="dxa"/>
            </w:tcMar>
            <w:vAlign w:val="center"/>
          </w:tcPr>
          <w:p w14:paraId="09601418">
            <w:pPr>
              <w:spacing w:line="0" w:lineRule="atLeast"/>
              <w:jc w:val="center"/>
              <w:rPr>
                <w:rFonts w:hint="eastAsia" w:hAnsi="宋体"/>
                <w:color w:val="000000"/>
                <w:spacing w:val="-10"/>
                <w:sz w:val="21"/>
                <w:szCs w:val="21"/>
              </w:rPr>
            </w:pPr>
            <w:r>
              <w:rPr>
                <w:rFonts w:hint="eastAsia" w:hAnsi="宋体"/>
                <w:color w:val="000000"/>
                <w:spacing w:val="-10"/>
                <w:sz w:val="21"/>
                <w:szCs w:val="21"/>
              </w:rPr>
              <w:t>超标范围</w:t>
            </w:r>
            <w:r>
              <w:rPr>
                <w:rFonts w:hint="eastAsia" w:hAnsi="宋体"/>
                <w:color w:val="000000"/>
                <w:spacing w:val="-10"/>
                <w:kern w:val="0"/>
                <w:sz w:val="21"/>
                <w:szCs w:val="21"/>
              </w:rPr>
              <w:t>（m</w:t>
            </w:r>
            <w:r>
              <w:rPr>
                <w:rFonts w:hint="eastAsia" w:hAnsi="宋体"/>
                <w:color w:val="000000"/>
                <w:spacing w:val="-10"/>
                <w:kern w:val="0"/>
                <w:sz w:val="21"/>
                <w:szCs w:val="21"/>
                <w:vertAlign w:val="superscript"/>
              </w:rPr>
              <w:t>2</w:t>
            </w:r>
            <w:r>
              <w:rPr>
                <w:rFonts w:hint="eastAsia" w:hAnsi="宋体"/>
                <w:color w:val="000000"/>
                <w:spacing w:val="-10"/>
                <w:kern w:val="0"/>
                <w:sz w:val="21"/>
                <w:szCs w:val="21"/>
              </w:rPr>
              <w:t>）</w:t>
            </w:r>
          </w:p>
        </w:tc>
        <w:tc>
          <w:tcPr>
            <w:tcW w:w="759" w:type="pct"/>
            <w:tcMar>
              <w:left w:w="28" w:type="dxa"/>
              <w:right w:w="28" w:type="dxa"/>
            </w:tcMar>
            <w:vAlign w:val="center"/>
          </w:tcPr>
          <w:p w14:paraId="3DFC64E5">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晕中心浓度（mg/L）</w:t>
            </w:r>
          </w:p>
        </w:tc>
        <w:tc>
          <w:tcPr>
            <w:tcW w:w="967" w:type="pct"/>
            <w:tcMar>
              <w:left w:w="28" w:type="dxa"/>
              <w:right w:w="28" w:type="dxa"/>
            </w:tcMar>
            <w:vAlign w:val="center"/>
          </w:tcPr>
          <w:p w14:paraId="6CAEB924">
            <w:pPr>
              <w:spacing w:line="0" w:lineRule="atLeast"/>
              <w:jc w:val="center"/>
              <w:rPr>
                <w:rFonts w:hint="eastAsia" w:hAnsi="宋体"/>
                <w:color w:val="000000"/>
                <w:spacing w:val="-10"/>
                <w:sz w:val="21"/>
                <w:szCs w:val="21"/>
              </w:rPr>
            </w:pPr>
            <w:r>
              <w:rPr>
                <w:rFonts w:hint="eastAsia" w:hAnsi="宋体"/>
                <w:color w:val="000000"/>
                <w:spacing w:val="-10"/>
                <w:sz w:val="21"/>
                <w:szCs w:val="21"/>
              </w:rPr>
              <w:t>污染晕最大运移距离（m）</w:t>
            </w:r>
          </w:p>
        </w:tc>
        <w:tc>
          <w:tcPr>
            <w:tcW w:w="972" w:type="pct"/>
            <w:tcMar>
              <w:left w:w="28" w:type="dxa"/>
              <w:right w:w="28" w:type="dxa"/>
            </w:tcMar>
            <w:vAlign w:val="center"/>
          </w:tcPr>
          <w:p w14:paraId="44B526B3">
            <w:pPr>
              <w:spacing w:line="0" w:lineRule="atLeast"/>
              <w:jc w:val="center"/>
              <w:rPr>
                <w:rFonts w:hint="eastAsia" w:hAnsi="宋体"/>
                <w:color w:val="000000"/>
                <w:spacing w:val="-10"/>
                <w:sz w:val="21"/>
                <w:szCs w:val="21"/>
              </w:rPr>
            </w:pPr>
            <w:r>
              <w:rPr>
                <w:rFonts w:hint="eastAsia" w:hAnsi="宋体" w:cs="宋体"/>
                <w:color w:val="000000"/>
                <w:spacing w:val="-10"/>
                <w:sz w:val="21"/>
                <w:szCs w:val="21"/>
                <w:lang w:bidi="ar"/>
              </w:rPr>
              <w:t>超标范围是否出场界</w:t>
            </w:r>
          </w:p>
        </w:tc>
      </w:tr>
      <w:tr w14:paraId="399A5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50" w:type="pct"/>
            <w:tcMar>
              <w:left w:w="28" w:type="dxa"/>
              <w:right w:w="28" w:type="dxa"/>
            </w:tcMar>
            <w:vAlign w:val="center"/>
          </w:tcPr>
          <w:p w14:paraId="1DDFBF7F">
            <w:pPr>
              <w:spacing w:line="0" w:lineRule="atLeast"/>
              <w:jc w:val="center"/>
              <w:rPr>
                <w:rFonts w:hAnsi="宋体"/>
                <w:color w:val="000000"/>
                <w:spacing w:val="-10"/>
                <w:sz w:val="21"/>
                <w:szCs w:val="21"/>
              </w:rPr>
            </w:pPr>
            <w:r>
              <w:rPr>
                <w:rFonts w:hint="eastAsia" w:hAnsi="宋体"/>
                <w:color w:val="000000"/>
                <w:spacing w:val="-10"/>
                <w:sz w:val="21"/>
                <w:szCs w:val="21"/>
              </w:rPr>
              <w:t>100d</w:t>
            </w:r>
          </w:p>
        </w:tc>
        <w:tc>
          <w:tcPr>
            <w:tcW w:w="804" w:type="pct"/>
            <w:tcMar>
              <w:left w:w="28" w:type="dxa"/>
              <w:right w:w="28" w:type="dxa"/>
            </w:tcMar>
            <w:vAlign w:val="center"/>
          </w:tcPr>
          <w:p w14:paraId="358B67CB">
            <w:pPr>
              <w:spacing w:line="0" w:lineRule="atLeast"/>
              <w:jc w:val="center"/>
              <w:rPr>
                <w:rFonts w:hAnsi="宋体"/>
                <w:color w:val="000000"/>
                <w:spacing w:val="-10"/>
                <w:sz w:val="21"/>
                <w:szCs w:val="21"/>
              </w:rPr>
            </w:pPr>
            <w:r>
              <w:rPr>
                <w:rFonts w:hint="eastAsia" w:hAnsi="宋体"/>
                <w:color w:val="000000"/>
                <w:spacing w:val="-10"/>
                <w:sz w:val="21"/>
                <w:szCs w:val="21"/>
              </w:rPr>
              <w:t>388</w:t>
            </w:r>
          </w:p>
        </w:tc>
        <w:tc>
          <w:tcPr>
            <w:tcW w:w="846" w:type="pct"/>
            <w:tcMar>
              <w:left w:w="28" w:type="dxa"/>
              <w:right w:w="28" w:type="dxa"/>
            </w:tcMar>
            <w:vAlign w:val="center"/>
          </w:tcPr>
          <w:p w14:paraId="2E7CA232">
            <w:pPr>
              <w:spacing w:line="0" w:lineRule="atLeast"/>
              <w:jc w:val="center"/>
              <w:rPr>
                <w:rFonts w:hAnsi="宋体"/>
                <w:color w:val="000000"/>
                <w:spacing w:val="-10"/>
                <w:sz w:val="21"/>
                <w:szCs w:val="21"/>
              </w:rPr>
            </w:pPr>
            <w:r>
              <w:rPr>
                <w:rFonts w:hint="eastAsia" w:hAnsi="宋体"/>
                <w:color w:val="000000"/>
                <w:spacing w:val="-10"/>
                <w:sz w:val="21"/>
                <w:szCs w:val="21"/>
              </w:rPr>
              <w:t>278</w:t>
            </w:r>
          </w:p>
        </w:tc>
        <w:tc>
          <w:tcPr>
            <w:tcW w:w="759" w:type="pct"/>
            <w:tcMar>
              <w:left w:w="28" w:type="dxa"/>
              <w:right w:w="28" w:type="dxa"/>
            </w:tcMar>
            <w:vAlign w:val="center"/>
          </w:tcPr>
          <w:p w14:paraId="48F5D0B1">
            <w:pPr>
              <w:spacing w:line="0" w:lineRule="atLeast"/>
              <w:jc w:val="center"/>
              <w:rPr>
                <w:rFonts w:hAnsi="宋体"/>
                <w:color w:val="000000"/>
                <w:spacing w:val="-10"/>
                <w:sz w:val="21"/>
                <w:szCs w:val="21"/>
              </w:rPr>
            </w:pPr>
            <w:r>
              <w:rPr>
                <w:rFonts w:hint="eastAsia" w:hAnsi="宋体"/>
                <w:color w:val="000000"/>
                <w:spacing w:val="-10"/>
                <w:sz w:val="21"/>
                <w:szCs w:val="21"/>
              </w:rPr>
              <w:t>1.532</w:t>
            </w:r>
          </w:p>
        </w:tc>
        <w:tc>
          <w:tcPr>
            <w:tcW w:w="967" w:type="pct"/>
            <w:tcMar>
              <w:left w:w="28" w:type="dxa"/>
              <w:right w:w="28" w:type="dxa"/>
            </w:tcMar>
            <w:vAlign w:val="center"/>
          </w:tcPr>
          <w:p w14:paraId="06BB1634">
            <w:pPr>
              <w:spacing w:line="0" w:lineRule="atLeast"/>
              <w:jc w:val="center"/>
              <w:rPr>
                <w:rFonts w:hAnsi="宋体"/>
                <w:color w:val="000000"/>
                <w:spacing w:val="-10"/>
                <w:sz w:val="21"/>
                <w:szCs w:val="21"/>
              </w:rPr>
            </w:pPr>
            <w:r>
              <w:rPr>
                <w:rFonts w:hint="eastAsia" w:hAnsi="宋体"/>
                <w:color w:val="000000"/>
                <w:spacing w:val="-10"/>
                <w:sz w:val="21"/>
                <w:szCs w:val="21"/>
              </w:rPr>
              <w:t>19</w:t>
            </w:r>
          </w:p>
        </w:tc>
        <w:tc>
          <w:tcPr>
            <w:tcW w:w="972" w:type="pct"/>
            <w:tcMar>
              <w:left w:w="28" w:type="dxa"/>
              <w:right w:w="28" w:type="dxa"/>
            </w:tcMar>
            <w:vAlign w:val="center"/>
          </w:tcPr>
          <w:p w14:paraId="5A8B554A">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6FB50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50" w:type="pct"/>
            <w:tcMar>
              <w:left w:w="28" w:type="dxa"/>
              <w:right w:w="28" w:type="dxa"/>
            </w:tcMar>
            <w:vAlign w:val="center"/>
          </w:tcPr>
          <w:p w14:paraId="7783FF19">
            <w:pPr>
              <w:spacing w:line="0" w:lineRule="atLeast"/>
              <w:jc w:val="center"/>
              <w:rPr>
                <w:rFonts w:hint="eastAsia" w:hAnsi="宋体"/>
                <w:color w:val="000000"/>
                <w:spacing w:val="-10"/>
                <w:sz w:val="21"/>
                <w:szCs w:val="21"/>
              </w:rPr>
            </w:pPr>
            <w:r>
              <w:rPr>
                <w:rFonts w:hint="eastAsia" w:hAnsi="宋体"/>
                <w:color w:val="000000"/>
                <w:spacing w:val="-10"/>
                <w:sz w:val="21"/>
                <w:szCs w:val="21"/>
              </w:rPr>
              <w:t>1000d</w:t>
            </w:r>
          </w:p>
        </w:tc>
        <w:tc>
          <w:tcPr>
            <w:tcW w:w="804" w:type="pct"/>
            <w:tcMar>
              <w:left w:w="28" w:type="dxa"/>
              <w:right w:w="28" w:type="dxa"/>
            </w:tcMar>
            <w:vAlign w:val="center"/>
          </w:tcPr>
          <w:p w14:paraId="1096FAD8">
            <w:pPr>
              <w:spacing w:line="0" w:lineRule="atLeast"/>
              <w:jc w:val="center"/>
              <w:rPr>
                <w:rFonts w:hAnsi="宋体"/>
                <w:color w:val="000000"/>
                <w:spacing w:val="-10"/>
                <w:sz w:val="21"/>
                <w:szCs w:val="21"/>
              </w:rPr>
            </w:pPr>
            <w:r>
              <w:rPr>
                <w:rFonts w:hint="eastAsia" w:hAnsi="宋体"/>
                <w:color w:val="000000"/>
                <w:spacing w:val="-10"/>
                <w:sz w:val="21"/>
                <w:szCs w:val="21"/>
              </w:rPr>
              <w:t>908</w:t>
            </w:r>
          </w:p>
        </w:tc>
        <w:tc>
          <w:tcPr>
            <w:tcW w:w="846" w:type="pct"/>
            <w:tcMar>
              <w:left w:w="28" w:type="dxa"/>
              <w:right w:w="28" w:type="dxa"/>
            </w:tcMar>
            <w:vAlign w:val="center"/>
          </w:tcPr>
          <w:p w14:paraId="6B9A0A7F">
            <w:pPr>
              <w:spacing w:line="0" w:lineRule="atLeast"/>
              <w:jc w:val="center"/>
              <w:rPr>
                <w:rFonts w:hAnsi="宋体"/>
                <w:color w:val="000000"/>
                <w:spacing w:val="-10"/>
                <w:sz w:val="21"/>
                <w:szCs w:val="21"/>
              </w:rPr>
            </w:pPr>
            <w:r>
              <w:rPr>
                <w:rFonts w:hint="eastAsia" w:hAnsi="宋体"/>
                <w:color w:val="000000"/>
                <w:spacing w:val="-10"/>
                <w:sz w:val="21"/>
                <w:szCs w:val="21"/>
              </w:rPr>
              <w:t>425</w:t>
            </w:r>
          </w:p>
        </w:tc>
        <w:tc>
          <w:tcPr>
            <w:tcW w:w="759" w:type="pct"/>
            <w:tcMar>
              <w:left w:w="28" w:type="dxa"/>
              <w:right w:w="28" w:type="dxa"/>
            </w:tcMar>
            <w:vAlign w:val="center"/>
          </w:tcPr>
          <w:p w14:paraId="24E7C696">
            <w:pPr>
              <w:spacing w:line="0" w:lineRule="atLeast"/>
              <w:jc w:val="center"/>
              <w:rPr>
                <w:rFonts w:hAnsi="宋体"/>
                <w:color w:val="000000"/>
                <w:spacing w:val="-10"/>
                <w:sz w:val="21"/>
                <w:szCs w:val="21"/>
              </w:rPr>
            </w:pPr>
            <w:r>
              <w:rPr>
                <w:rFonts w:hint="eastAsia" w:hAnsi="宋体"/>
                <w:color w:val="000000"/>
                <w:spacing w:val="-10"/>
                <w:sz w:val="21"/>
                <w:szCs w:val="21"/>
              </w:rPr>
              <w:t>0.151</w:t>
            </w:r>
          </w:p>
        </w:tc>
        <w:tc>
          <w:tcPr>
            <w:tcW w:w="967" w:type="pct"/>
            <w:tcMar>
              <w:left w:w="28" w:type="dxa"/>
              <w:right w:w="28" w:type="dxa"/>
            </w:tcMar>
            <w:vAlign w:val="center"/>
          </w:tcPr>
          <w:p w14:paraId="7F0BDD42">
            <w:pPr>
              <w:spacing w:line="0" w:lineRule="atLeast"/>
              <w:jc w:val="center"/>
              <w:rPr>
                <w:rFonts w:hAnsi="宋体"/>
                <w:color w:val="000000"/>
                <w:spacing w:val="-10"/>
                <w:sz w:val="21"/>
                <w:szCs w:val="21"/>
              </w:rPr>
            </w:pPr>
            <w:r>
              <w:rPr>
                <w:rFonts w:hint="eastAsia" w:hAnsi="宋体"/>
                <w:color w:val="000000"/>
                <w:spacing w:val="-10"/>
                <w:sz w:val="21"/>
                <w:szCs w:val="21"/>
              </w:rPr>
              <w:t>44</w:t>
            </w:r>
          </w:p>
        </w:tc>
        <w:tc>
          <w:tcPr>
            <w:tcW w:w="972" w:type="pct"/>
            <w:tcMar>
              <w:left w:w="28" w:type="dxa"/>
              <w:right w:w="28" w:type="dxa"/>
            </w:tcMar>
            <w:vAlign w:val="center"/>
          </w:tcPr>
          <w:p w14:paraId="29B19339">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r>
      <w:tr w14:paraId="733F83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50" w:type="pct"/>
            <w:tcMar>
              <w:left w:w="28" w:type="dxa"/>
              <w:right w:w="28" w:type="dxa"/>
            </w:tcMar>
            <w:vAlign w:val="center"/>
          </w:tcPr>
          <w:p w14:paraId="36567847">
            <w:pPr>
              <w:spacing w:line="0" w:lineRule="atLeast"/>
              <w:jc w:val="center"/>
              <w:rPr>
                <w:rFonts w:hint="eastAsia" w:hAnsi="宋体"/>
                <w:color w:val="000000"/>
                <w:spacing w:val="-10"/>
                <w:sz w:val="21"/>
                <w:szCs w:val="21"/>
              </w:rPr>
            </w:pPr>
            <w:r>
              <w:rPr>
                <w:rFonts w:hint="eastAsia" w:hAnsi="宋体"/>
                <w:color w:val="000000"/>
                <w:spacing w:val="-10"/>
                <w:sz w:val="21"/>
                <w:szCs w:val="21"/>
              </w:rPr>
              <w:t>7300d</w:t>
            </w:r>
          </w:p>
        </w:tc>
        <w:tc>
          <w:tcPr>
            <w:tcW w:w="804" w:type="pct"/>
            <w:tcMar>
              <w:left w:w="28" w:type="dxa"/>
              <w:right w:w="28" w:type="dxa"/>
            </w:tcMar>
            <w:vAlign w:val="center"/>
          </w:tcPr>
          <w:p w14:paraId="58A132B7">
            <w:pPr>
              <w:spacing w:line="0" w:lineRule="atLeast"/>
              <w:jc w:val="center"/>
              <w:rPr>
                <w:rFonts w:hAnsi="宋体"/>
                <w:color w:val="000000"/>
                <w:spacing w:val="-10"/>
                <w:sz w:val="21"/>
                <w:szCs w:val="21"/>
              </w:rPr>
            </w:pPr>
            <w:r>
              <w:rPr>
                <w:rFonts w:hint="eastAsia" w:hAnsi="宋体"/>
                <w:color w:val="000000"/>
                <w:spacing w:val="-10"/>
                <w:sz w:val="21"/>
                <w:szCs w:val="21"/>
              </w:rPr>
              <w:t>2388</w:t>
            </w:r>
          </w:p>
        </w:tc>
        <w:tc>
          <w:tcPr>
            <w:tcW w:w="846" w:type="pct"/>
            <w:tcMar>
              <w:left w:w="28" w:type="dxa"/>
              <w:right w:w="28" w:type="dxa"/>
            </w:tcMar>
            <w:vAlign w:val="center"/>
          </w:tcPr>
          <w:p w14:paraId="35AAB730">
            <w:pPr>
              <w:spacing w:line="0" w:lineRule="atLeast"/>
              <w:jc w:val="center"/>
              <w:rPr>
                <w:rFonts w:hint="eastAsia" w:hAnsi="宋体"/>
                <w:color w:val="000000"/>
                <w:spacing w:val="-10"/>
                <w:sz w:val="21"/>
                <w:szCs w:val="21"/>
              </w:rPr>
            </w:pPr>
            <w:r>
              <w:rPr>
                <w:rFonts w:hint="eastAsia" w:hAnsi="宋体"/>
                <w:color w:val="000000"/>
                <w:spacing w:val="-10"/>
                <w:sz w:val="21"/>
                <w:szCs w:val="21"/>
              </w:rPr>
              <w:t>—</w:t>
            </w:r>
          </w:p>
        </w:tc>
        <w:tc>
          <w:tcPr>
            <w:tcW w:w="759" w:type="pct"/>
            <w:tcMar>
              <w:left w:w="28" w:type="dxa"/>
              <w:right w:w="28" w:type="dxa"/>
            </w:tcMar>
            <w:vAlign w:val="center"/>
          </w:tcPr>
          <w:p w14:paraId="6D563E46">
            <w:pPr>
              <w:spacing w:line="0" w:lineRule="atLeast"/>
              <w:jc w:val="center"/>
              <w:rPr>
                <w:rFonts w:hAnsi="宋体" w:cs="宋体"/>
                <w:color w:val="000000"/>
                <w:spacing w:val="-10"/>
                <w:sz w:val="21"/>
                <w:szCs w:val="21"/>
              </w:rPr>
            </w:pPr>
            <w:r>
              <w:rPr>
                <w:rFonts w:hint="eastAsia" w:hAnsi="宋体" w:cs="宋体"/>
                <w:color w:val="000000"/>
                <w:spacing w:val="-10"/>
                <w:sz w:val="21"/>
                <w:szCs w:val="21"/>
              </w:rPr>
              <w:t>0.018</w:t>
            </w:r>
          </w:p>
        </w:tc>
        <w:tc>
          <w:tcPr>
            <w:tcW w:w="967" w:type="pct"/>
            <w:tcMar>
              <w:left w:w="28" w:type="dxa"/>
              <w:right w:w="28" w:type="dxa"/>
            </w:tcMar>
            <w:vAlign w:val="center"/>
          </w:tcPr>
          <w:p w14:paraId="3D04C435">
            <w:pPr>
              <w:spacing w:line="0" w:lineRule="atLeast"/>
              <w:jc w:val="center"/>
              <w:rPr>
                <w:rFonts w:hAnsi="宋体" w:cs="宋体"/>
                <w:color w:val="000000"/>
                <w:spacing w:val="-10"/>
                <w:sz w:val="21"/>
                <w:szCs w:val="21"/>
              </w:rPr>
            </w:pPr>
            <w:r>
              <w:rPr>
                <w:rFonts w:hint="eastAsia" w:hAnsi="宋体" w:cs="宋体"/>
                <w:color w:val="000000"/>
                <w:spacing w:val="-10"/>
                <w:sz w:val="21"/>
                <w:szCs w:val="21"/>
              </w:rPr>
              <w:t>128</w:t>
            </w:r>
          </w:p>
        </w:tc>
        <w:tc>
          <w:tcPr>
            <w:tcW w:w="972" w:type="pct"/>
            <w:tcMar>
              <w:left w:w="28" w:type="dxa"/>
              <w:right w:w="28" w:type="dxa"/>
            </w:tcMar>
            <w:vAlign w:val="center"/>
          </w:tcPr>
          <w:p w14:paraId="4BE0844A">
            <w:pPr>
              <w:spacing w:line="0" w:lineRule="atLeast"/>
              <w:jc w:val="center"/>
              <w:rPr>
                <w:rFonts w:hint="eastAsia" w:hAnsi="宋体"/>
                <w:color w:val="000000"/>
                <w:spacing w:val="-10"/>
                <w:sz w:val="21"/>
                <w:szCs w:val="21"/>
                <w:lang w:bidi="ar"/>
              </w:rPr>
            </w:pPr>
            <w:r>
              <w:rPr>
                <w:rFonts w:hint="eastAsia" w:hAnsi="宋体"/>
                <w:color w:val="000000"/>
                <w:spacing w:val="-10"/>
                <w:sz w:val="21"/>
                <w:szCs w:val="21"/>
              </w:rPr>
              <w:t>—</w:t>
            </w:r>
          </w:p>
        </w:tc>
      </w:tr>
    </w:tbl>
    <w:p w14:paraId="1F46BCDD">
      <w:pPr>
        <w:pStyle w:val="10"/>
        <w:widowControl w:val="0"/>
        <w:rPr>
          <w:rFonts w:hint="eastAsia" w:ascii="宋体" w:hAnsi="宋体" w:eastAsia="宋体"/>
          <w:color w:val="000000"/>
          <w:highlight w:val="yellow"/>
        </w:rPr>
      </w:pPr>
      <w:r>
        <w:rPr>
          <w:rFonts w:hint="eastAsia" w:ascii="楷体_GB2312" w:hAnsi="宋体" w:eastAsia="楷体_GB2312"/>
          <w:color w:val="000000"/>
          <w:sz w:val="21"/>
          <w:szCs w:val="21"/>
          <w:highlight w:val="yellow"/>
        </w:rPr>
        <w:pict>
          <v:group id="组合 754" o:spid="_x0000_s1069" o:spt="203" style="position:absolute;left:0pt;margin-left:29.2pt;margin-top:10.45pt;height:116.25pt;width:393.75pt;z-index:251671552;mso-width-relative:page;mso-height-relative:page;" coordorigin="2170,3626496" coordsize="7875,2325">
            <o:lock v:ext="edit" aspectratio="f"/>
            <v:shape id="图片 2605" o:spid="_x0000_s1070" o:spt="75" type="#_x0000_t75" style="position:absolute;left:2170;top:3626496;height:2304;width:3524;" filled="f" o:preferrelative="t" stroked="f" coordsize="21600,21600">
              <v:path/>
              <v:fill on="f" focussize="0,0"/>
              <v:stroke on="f"/>
              <v:imagedata r:id="rId34" o:title=""/>
              <o:lock v:ext="edit" aspectratio="t"/>
            </v:shape>
            <v:shape id="图片 2606" o:spid="_x0000_s1071" o:spt="75" type="#_x0000_t75" style="position:absolute;left:6521;top:3626517;height:2304;width:3524;" filled="f" o:preferrelative="t" stroked="f" coordsize="21600,21600">
              <v:path/>
              <v:fill on="f" focussize="0,0"/>
              <v:stroke on="f"/>
              <v:imagedata r:id="rId35" o:title=""/>
              <o:lock v:ext="edit" aspectratio="t"/>
            </v:shape>
          </v:group>
        </w:pict>
      </w:r>
    </w:p>
    <w:p w14:paraId="59B79AAD">
      <w:pPr>
        <w:pStyle w:val="11"/>
        <w:ind w:firstLine="507"/>
        <w:rPr>
          <w:rFonts w:ascii="Times New Roman" w:eastAsia="黑体"/>
          <w:snapToGrid w:val="0"/>
          <w:color w:val="000000"/>
          <w:highlight w:val="yellow"/>
        </w:rPr>
      </w:pPr>
    </w:p>
    <w:p w14:paraId="2855D7FE">
      <w:pPr>
        <w:pStyle w:val="10"/>
        <w:widowControl w:val="0"/>
        <w:rPr>
          <w:rFonts w:hint="eastAsia" w:ascii="宋体" w:hAnsi="宋体" w:eastAsia="宋体" w:cs="楷体_GB2312"/>
          <w:color w:val="000000"/>
          <w:kern w:val="0"/>
          <w:highlight w:val="yellow"/>
        </w:rPr>
      </w:pPr>
    </w:p>
    <w:p w14:paraId="494F5BB4">
      <w:pPr>
        <w:rPr>
          <w:rFonts w:hint="eastAsia" w:hAnsi="宋体" w:cs="楷体_GB2312"/>
          <w:color w:val="000000"/>
          <w:kern w:val="0"/>
          <w:highlight w:val="yellow"/>
        </w:rPr>
      </w:pPr>
    </w:p>
    <w:p w14:paraId="4E11AAD6">
      <w:pPr>
        <w:jc w:val="center"/>
        <w:rPr>
          <w:rFonts w:hint="eastAsia" w:hAnsi="宋体" w:cs="宋体"/>
          <w:color w:val="000000"/>
        </w:rPr>
      </w:pPr>
    </w:p>
    <w:p w14:paraId="4D2D6499">
      <w:pPr>
        <w:jc w:val="center"/>
        <w:rPr>
          <w:rFonts w:hint="eastAsia" w:hAnsi="宋体" w:cs="宋体"/>
          <w:color w:val="000000"/>
        </w:rPr>
      </w:pPr>
      <w:r>
        <w:rPr>
          <w:rFonts w:hint="eastAsia" w:hAnsi="宋体" w:cs="宋体"/>
          <w:color w:val="000000"/>
        </w:rPr>
        <w:t>（1）100d时污染晕运移分布图        （2）1000d时污染晕运移分布图</w:t>
      </w:r>
    </w:p>
    <w:p w14:paraId="6EB33EB5">
      <w:pPr>
        <w:rPr>
          <w:rFonts w:hint="eastAsia" w:hAnsi="宋体" w:cs="宋体"/>
          <w:color w:val="000000"/>
        </w:rPr>
      </w:pPr>
      <w:r>
        <w:rPr>
          <w:rFonts w:hAnsi="宋体"/>
          <w:color w:val="000000"/>
        </w:rPr>
        <w:pict>
          <v:shape id="图片 2607" o:spid="_x0000_s1072" o:spt="75" type="#_x0000_t75" style="position:absolute;left:0pt;margin-left:69.45pt;margin-top:14.25pt;height:119.1pt;width:316.95pt;z-index:251670528;mso-width-relative:page;mso-height-relative:page;" filled="f" o:preferrelative="t" stroked="f" coordsize="21600,21600">
            <v:path/>
            <v:fill on="f" focussize="0,0"/>
            <v:stroke on="f"/>
            <v:imagedata r:id="rId36" o:title=""/>
            <o:lock v:ext="edit" aspectratio="t"/>
          </v:shape>
        </w:pict>
      </w:r>
    </w:p>
    <w:p w14:paraId="6C800048">
      <w:pPr>
        <w:rPr>
          <w:rFonts w:hint="eastAsia" w:hAnsi="宋体" w:cs="宋体"/>
          <w:color w:val="000000"/>
        </w:rPr>
      </w:pPr>
    </w:p>
    <w:p w14:paraId="59A0A174">
      <w:pPr>
        <w:rPr>
          <w:rFonts w:hint="eastAsia" w:hAnsi="宋体" w:cs="宋体"/>
          <w:color w:val="000000"/>
        </w:rPr>
      </w:pPr>
    </w:p>
    <w:p w14:paraId="48A9A3C0">
      <w:pPr>
        <w:rPr>
          <w:rFonts w:hint="eastAsia" w:hAnsi="宋体" w:cs="宋体"/>
          <w:color w:val="000000"/>
        </w:rPr>
      </w:pPr>
    </w:p>
    <w:p w14:paraId="0C350D8C">
      <w:pPr>
        <w:ind w:firstLine="526" w:firstLineChars="200"/>
        <w:rPr>
          <w:rFonts w:hint="eastAsia" w:hAnsi="宋体" w:cs="宋体"/>
          <w:color w:val="000000"/>
        </w:rPr>
      </w:pPr>
    </w:p>
    <w:p w14:paraId="18CCC1C7">
      <w:pPr>
        <w:ind w:left="526" w:leftChars="200" w:firstLine="420"/>
        <w:jc w:val="center"/>
        <w:rPr>
          <w:rFonts w:hint="eastAsia" w:hAnsi="宋体" w:cs="宋体"/>
          <w:color w:val="000000"/>
        </w:rPr>
      </w:pPr>
    </w:p>
    <w:p w14:paraId="761DD99E">
      <w:pPr>
        <w:ind w:left="526" w:leftChars="200" w:firstLine="420"/>
        <w:jc w:val="center"/>
        <w:rPr>
          <w:rFonts w:hint="eastAsia" w:hAnsi="宋体" w:cs="宋体"/>
          <w:color w:val="000000"/>
        </w:rPr>
      </w:pPr>
      <w:r>
        <w:rPr>
          <w:rFonts w:hint="eastAsia" w:hAnsi="宋体" w:cs="宋体"/>
          <w:color w:val="000000"/>
        </w:rPr>
        <w:t>（3）7300d时污染晕运移分布图</w:t>
      </w:r>
    </w:p>
    <w:p w14:paraId="29BCDE92">
      <w:pPr>
        <w:ind w:firstLine="526" w:firstLineChars="200"/>
        <w:jc w:val="center"/>
        <w:rPr>
          <w:rFonts w:hint="eastAsia" w:ascii="黑体" w:hAnsi="黑体" w:eastAsia="黑体"/>
          <w:color w:val="000000"/>
          <w:highlight w:val="yellow"/>
        </w:rPr>
      </w:pPr>
      <w:r>
        <w:rPr>
          <w:rFonts w:hint="eastAsia" w:ascii="黑体" w:hAnsi="黑体" w:eastAsia="黑体" w:cs="宋体"/>
          <w:color w:val="000000"/>
        </w:rPr>
        <w:t xml:space="preserve">图5.2-3 </w:t>
      </w:r>
      <w:r>
        <w:rPr>
          <w:rFonts w:hint="eastAsia" w:ascii="黑体" w:hAnsi="黑体" w:eastAsia="黑体" w:cs="宋体"/>
          <w:color w:val="000000"/>
          <w:lang w:val="zh-CN"/>
        </w:rPr>
        <w:t xml:space="preserve"> </w:t>
      </w:r>
      <w:r>
        <w:rPr>
          <w:rFonts w:hint="eastAsia" w:ascii="黑体" w:hAnsi="黑体" w:eastAsia="黑体"/>
          <w:color w:val="000000"/>
        </w:rPr>
        <w:t xml:space="preserve"> 非正常状况下，石油类渗漏含水层影响范围图</w:t>
      </w:r>
    </w:p>
    <w:p w14:paraId="6D857974">
      <w:pPr>
        <w:spacing w:line="460" w:lineRule="exact"/>
        <w:ind w:firstLine="526" w:firstLineChars="200"/>
        <w:rPr>
          <w:rFonts w:hint="eastAsia" w:hAnsi="宋体" w:cs="宋体"/>
          <w:color w:val="000000"/>
        </w:rPr>
      </w:pPr>
      <w:r>
        <w:rPr>
          <w:rFonts w:hint="eastAsia" w:hAnsi="宋体" w:cs="宋体"/>
          <w:color w:val="000000"/>
        </w:rPr>
        <w:t>综合以上分析可知，</w:t>
      </w:r>
      <w:r>
        <w:rPr>
          <w:rFonts w:hint="eastAsia" w:hAnsi="宋体"/>
          <w:color w:val="000000"/>
        </w:rPr>
        <w:t>在非正常状况下，由预测结果可以看出，石油类污染物泄漏100d后污染晕影响范围为388m</w:t>
      </w:r>
      <w:r>
        <w:rPr>
          <w:rFonts w:hint="eastAsia" w:hAnsi="宋体"/>
          <w:color w:val="000000"/>
          <w:vertAlign w:val="superscript"/>
        </w:rPr>
        <w:t>2</w:t>
      </w:r>
      <w:r>
        <w:rPr>
          <w:rFonts w:hint="eastAsia" w:hAnsi="宋体"/>
          <w:color w:val="000000"/>
        </w:rPr>
        <w:t>，超标范围为278m</w:t>
      </w:r>
      <w:r>
        <w:rPr>
          <w:rFonts w:hint="eastAsia" w:hAnsi="宋体"/>
          <w:color w:val="000000"/>
          <w:vertAlign w:val="superscript"/>
        </w:rPr>
        <w:t>2</w:t>
      </w:r>
      <w:r>
        <w:rPr>
          <w:rFonts w:hint="eastAsia" w:hAnsi="宋体"/>
          <w:color w:val="000000"/>
        </w:rPr>
        <w:t>，</w:t>
      </w:r>
      <w:r>
        <w:rPr>
          <w:rFonts w:hint="eastAsia" w:hAnsi="宋体" w:cs="宋体"/>
          <w:color w:val="000000"/>
        </w:rPr>
        <w:t>污染晕最大运移距离为</w:t>
      </w:r>
      <w:r>
        <w:rPr>
          <w:rFonts w:hint="eastAsia" w:hAnsi="宋体"/>
          <w:color w:val="000000"/>
        </w:rPr>
        <w:t>19m，晕中心最大浓度为1.532mg/L</w:t>
      </w:r>
      <w:r>
        <w:rPr>
          <w:rFonts w:hint="eastAsia" w:hAnsi="宋体"/>
          <w:color w:val="000000"/>
          <w:kern w:val="0"/>
        </w:rPr>
        <w:t>；</w:t>
      </w:r>
      <w:r>
        <w:rPr>
          <w:rFonts w:hint="eastAsia" w:hAnsi="宋体"/>
          <w:color w:val="000000"/>
        </w:rPr>
        <w:t>石油类污染物泄漏1000d后污染晕影响范围为908m</w:t>
      </w:r>
      <w:r>
        <w:rPr>
          <w:rFonts w:hint="eastAsia" w:hAnsi="宋体"/>
          <w:color w:val="000000"/>
          <w:vertAlign w:val="superscript"/>
        </w:rPr>
        <w:t>2</w:t>
      </w:r>
      <w:r>
        <w:rPr>
          <w:rFonts w:hint="eastAsia" w:hAnsi="宋体"/>
          <w:color w:val="000000"/>
        </w:rPr>
        <w:t>，超标范围为425m</w:t>
      </w:r>
      <w:r>
        <w:rPr>
          <w:rFonts w:hint="eastAsia" w:hAnsi="宋体"/>
          <w:color w:val="000000"/>
          <w:vertAlign w:val="superscript"/>
        </w:rPr>
        <w:t>2</w:t>
      </w:r>
      <w:r>
        <w:rPr>
          <w:rFonts w:hint="eastAsia" w:hAnsi="宋体"/>
          <w:color w:val="000000"/>
        </w:rPr>
        <w:t>，</w:t>
      </w:r>
      <w:r>
        <w:rPr>
          <w:rFonts w:hint="eastAsia" w:hAnsi="宋体" w:cs="宋体"/>
          <w:color w:val="000000"/>
        </w:rPr>
        <w:t>污染晕最大运移距离为</w:t>
      </w:r>
      <w:r>
        <w:rPr>
          <w:rFonts w:hint="eastAsia" w:hAnsi="宋体"/>
          <w:color w:val="000000"/>
        </w:rPr>
        <w:t>044m，晕中心最大浓度为0.151mg/L</w:t>
      </w:r>
      <w:r>
        <w:rPr>
          <w:rFonts w:hint="eastAsia" w:hAnsi="宋体"/>
          <w:color w:val="000000"/>
          <w:kern w:val="0"/>
        </w:rPr>
        <w:t>；</w:t>
      </w:r>
      <w:r>
        <w:rPr>
          <w:rFonts w:hint="eastAsia" w:hAnsi="宋体" w:cs="宋体"/>
          <w:color w:val="000000"/>
        </w:rPr>
        <w:t>石油类污染物泄漏</w:t>
      </w:r>
      <w:r>
        <w:rPr>
          <w:rFonts w:hint="eastAsia" w:hAnsi="宋体"/>
          <w:color w:val="000000"/>
          <w:kern w:val="0"/>
        </w:rPr>
        <w:t>7300d后</w:t>
      </w:r>
      <w:r>
        <w:rPr>
          <w:rFonts w:hint="eastAsia" w:hAnsi="宋体"/>
          <w:color w:val="000000"/>
        </w:rPr>
        <w:t>污染晕影响范围为2388m</w:t>
      </w:r>
      <w:r>
        <w:rPr>
          <w:rFonts w:hint="eastAsia" w:hAnsi="宋体"/>
          <w:color w:val="000000"/>
          <w:vertAlign w:val="superscript"/>
        </w:rPr>
        <w:t>2</w:t>
      </w:r>
      <w:r>
        <w:rPr>
          <w:rFonts w:hint="eastAsia" w:hAnsi="宋体"/>
          <w:color w:val="000000"/>
        </w:rPr>
        <w:t>，无超标范围，</w:t>
      </w:r>
      <w:r>
        <w:rPr>
          <w:rFonts w:hint="eastAsia" w:hAnsi="宋体" w:cs="宋体"/>
          <w:color w:val="000000"/>
        </w:rPr>
        <w:t>污染晕最大运移距离为</w:t>
      </w:r>
      <w:r>
        <w:rPr>
          <w:rFonts w:hint="eastAsia" w:hAnsi="宋体"/>
          <w:color w:val="000000"/>
        </w:rPr>
        <w:t>128m，晕中心最大浓度为0.018mg/L</w:t>
      </w:r>
      <w:r>
        <w:rPr>
          <w:rFonts w:hint="eastAsia" w:hAnsi="宋体"/>
          <w:color w:val="000000"/>
          <w:kern w:val="0"/>
        </w:rPr>
        <w:t>。</w:t>
      </w:r>
    </w:p>
    <w:p w14:paraId="4EAA5EE8">
      <w:pPr>
        <w:spacing w:line="460" w:lineRule="exact"/>
        <w:outlineLvl w:val="3"/>
        <w:rPr>
          <w:rFonts w:hint="eastAsia" w:hAnsi="宋体"/>
          <w:color w:val="000000"/>
          <w:szCs w:val="24"/>
        </w:rPr>
      </w:pPr>
      <w:r>
        <w:rPr>
          <w:rFonts w:hint="eastAsia" w:hAnsi="宋体"/>
          <w:color w:val="000000"/>
          <w:szCs w:val="24"/>
        </w:rPr>
        <w:t>5.2.3.3地下水环境污染预测评价结论</w:t>
      </w:r>
    </w:p>
    <w:p w14:paraId="681CAC84">
      <w:pPr>
        <w:spacing w:line="460" w:lineRule="exact"/>
        <w:ind w:firstLine="526" w:firstLineChars="200"/>
        <w:rPr>
          <w:rFonts w:hint="eastAsia" w:hAnsi="宋体"/>
          <w:color w:val="000000"/>
          <w:szCs w:val="24"/>
        </w:rPr>
      </w:pPr>
      <w:r>
        <w:rPr>
          <w:rFonts w:hint="eastAsia" w:hAnsi="宋体"/>
          <w:color w:val="000000"/>
          <w:szCs w:val="24"/>
        </w:rPr>
        <w:t>正常状况下，拟建项目严格按照《环境影响评价技术导则 地下水环境》（HJ610-2016）的要求采取源头控制和分区防控措施。正常状况下在采取防渗防腐措施后，不会对区域地下水环境产生污染影响；非正常状况下，管道破损等导致采出液泄漏进入地下水后沿水流迁移，但影响范围较小，不会对周围地下水水质产生明显污染影响。</w:t>
      </w:r>
    </w:p>
    <w:p w14:paraId="4DCFE1DD">
      <w:pPr>
        <w:spacing w:line="460" w:lineRule="exact"/>
        <w:ind w:firstLine="526" w:firstLineChars="200"/>
        <w:rPr>
          <w:rFonts w:hint="eastAsia" w:hAnsi="宋体"/>
          <w:color w:val="000000"/>
          <w:szCs w:val="24"/>
        </w:rPr>
      </w:pPr>
      <w:r>
        <w:rPr>
          <w:rFonts w:hint="eastAsia" w:hAnsi="宋体"/>
          <w:color w:val="000000"/>
          <w:szCs w:val="24"/>
        </w:rPr>
        <w:t>综上，依据《环境影响评价技术导则 地下水环境》（HJ610-2016）10.4.1内容，可得出，拟建工程各个不同阶段，地下水中各评价因子均能满足GB/T14848的要求。</w:t>
      </w:r>
    </w:p>
    <w:p w14:paraId="0BDF1D19">
      <w:pPr>
        <w:tabs>
          <w:tab w:val="left" w:pos="1134"/>
        </w:tabs>
        <w:spacing w:line="460" w:lineRule="exact"/>
        <w:outlineLvl w:val="2"/>
        <w:rPr>
          <w:rFonts w:hint="eastAsia" w:hAnsi="宋体" w:cs="宋体"/>
          <w:color w:val="000000"/>
          <w:szCs w:val="24"/>
        </w:rPr>
      </w:pPr>
      <w:r>
        <w:rPr>
          <w:rFonts w:hint="eastAsia" w:hAnsi="宋体" w:cs="宋体"/>
          <w:color w:val="000000"/>
          <w:szCs w:val="24"/>
        </w:rPr>
        <w:t>5.2.4退役期地下水环境影响分析</w:t>
      </w:r>
    </w:p>
    <w:p w14:paraId="78D7A4C1">
      <w:pPr>
        <w:spacing w:line="460" w:lineRule="exact"/>
        <w:ind w:firstLine="526" w:firstLineChars="200"/>
        <w:rPr>
          <w:rFonts w:hAnsi="宋体"/>
          <w:color w:val="000000"/>
          <w:szCs w:val="24"/>
        </w:rPr>
      </w:pPr>
      <w:r>
        <w:rPr>
          <w:rFonts w:hint="eastAsia" w:hAnsi="宋体"/>
          <w:color w:val="000000"/>
          <w:szCs w:val="24"/>
        </w:rPr>
        <w:t>退役期管线清洗废水依托塔三联合站处理，</w:t>
      </w:r>
      <w:r>
        <w:rPr>
          <w:rFonts w:hAnsi="宋体" w:cs="宋体"/>
          <w:color w:val="000000"/>
          <w:szCs w:val="24"/>
        </w:rPr>
        <w:t>在加强环境管理的情况下，不会对地下水环境造成污染影响</w:t>
      </w:r>
      <w:r>
        <w:rPr>
          <w:rFonts w:hint="eastAsia" w:hAnsi="宋体" w:cs="宋体"/>
          <w:color w:val="000000"/>
          <w:szCs w:val="24"/>
        </w:rPr>
        <w:t>。</w:t>
      </w:r>
    </w:p>
    <w:p w14:paraId="6D0053AA">
      <w:pPr>
        <w:tabs>
          <w:tab w:val="left" w:pos="1134"/>
        </w:tabs>
        <w:spacing w:line="460" w:lineRule="exact"/>
        <w:outlineLvl w:val="2"/>
        <w:rPr>
          <w:rFonts w:hint="eastAsia" w:hAnsi="宋体" w:cs="宋体"/>
          <w:color w:val="000000"/>
          <w:szCs w:val="24"/>
        </w:rPr>
      </w:pPr>
      <w:r>
        <w:rPr>
          <w:rFonts w:hint="eastAsia" w:hAnsi="宋体" w:cs="宋体"/>
          <w:color w:val="000000"/>
          <w:szCs w:val="24"/>
        </w:rPr>
        <w:t>5.2.5地下水环境评价结论</w:t>
      </w:r>
    </w:p>
    <w:p w14:paraId="43B0766C">
      <w:pPr>
        <w:autoSpaceDE w:val="0"/>
        <w:autoSpaceDN w:val="0"/>
        <w:spacing w:line="460" w:lineRule="exact"/>
        <w:ind w:firstLine="526" w:firstLineChars="200"/>
        <w:rPr>
          <w:rFonts w:hAnsi="宋体" w:cs="宋体"/>
          <w:color w:val="000000"/>
          <w:szCs w:val="24"/>
        </w:rPr>
      </w:pPr>
      <w:r>
        <w:rPr>
          <w:rFonts w:hint="eastAsia" w:hAnsi="宋体" w:cs="宋体"/>
          <w:color w:val="000000"/>
          <w:szCs w:val="24"/>
        </w:rPr>
        <w:t>（1）环境水文地质现状</w:t>
      </w:r>
    </w:p>
    <w:p w14:paraId="030EC46C">
      <w:pPr>
        <w:overflowPunct w:val="0"/>
        <w:autoSpaceDE w:val="0"/>
        <w:autoSpaceDN w:val="0"/>
        <w:spacing w:line="460" w:lineRule="exact"/>
        <w:ind w:firstLine="526" w:firstLineChars="200"/>
        <w:rPr>
          <w:rFonts w:hint="eastAsia" w:hAnsi="宋体"/>
          <w:color w:val="000000"/>
          <w:kern w:val="0"/>
        </w:rPr>
      </w:pPr>
      <w:r>
        <w:rPr>
          <w:rFonts w:hint="eastAsia" w:hAnsi="宋体"/>
          <w:color w:val="000000"/>
        </w:rPr>
        <w:t>评价区位于塔克拉玛干沙漠平原区，在钻探深度内是以单一结构的潜水含水层为主的沙漠平原区，含水层岩性为细砂、粉砂。南部沙漠区地下径流侧向补给是区域地下水的主要补给来源，以垂直蒸发和人工开采方式排泄。地下水化学类型包括Cl·SO</w:t>
      </w:r>
      <w:r>
        <w:rPr>
          <w:rFonts w:hint="eastAsia" w:hAnsi="宋体"/>
          <w:color w:val="000000"/>
          <w:vertAlign w:val="subscript"/>
        </w:rPr>
        <w:t>4</w:t>
      </w:r>
      <w:r>
        <w:rPr>
          <w:rFonts w:hint="eastAsia" w:hAnsi="宋体"/>
          <w:color w:val="000000"/>
        </w:rPr>
        <w:t>-Na·Mg型水、Cl·SO</w:t>
      </w:r>
      <w:r>
        <w:rPr>
          <w:rFonts w:hint="eastAsia" w:hAnsi="宋体"/>
          <w:color w:val="000000"/>
          <w:vertAlign w:val="subscript"/>
        </w:rPr>
        <w:t>4</w:t>
      </w:r>
      <w:r>
        <w:rPr>
          <w:rFonts w:hint="eastAsia" w:hAnsi="宋体"/>
          <w:color w:val="000000"/>
        </w:rPr>
        <w:t>-Na型水，矿化度为3.0～8.52g/L，水质差，为咸水。</w:t>
      </w:r>
    </w:p>
    <w:p w14:paraId="6CDC7390">
      <w:pPr>
        <w:spacing w:line="460" w:lineRule="exact"/>
        <w:ind w:firstLine="520" w:firstLineChars="198"/>
        <w:rPr>
          <w:rFonts w:hint="eastAsia" w:hAnsi="宋体"/>
          <w:color w:val="000000"/>
        </w:rPr>
      </w:pPr>
      <w:r>
        <w:rPr>
          <w:rFonts w:hint="eastAsia" w:hAnsi="宋体"/>
          <w:color w:val="000000"/>
        </w:rPr>
        <w:t>区域内包气带岩层主要为第四系</w:t>
      </w:r>
      <w:r>
        <w:rPr>
          <w:rFonts w:hAnsi="宋体"/>
          <w:color w:val="000000"/>
        </w:rPr>
        <w:t>粉砂</w:t>
      </w:r>
      <w:r>
        <w:rPr>
          <w:rFonts w:hint="eastAsia" w:hAnsi="宋体"/>
          <w:color w:val="000000"/>
        </w:rPr>
        <w:t>、</w:t>
      </w:r>
      <w:r>
        <w:rPr>
          <w:rFonts w:hAnsi="宋体"/>
          <w:color w:val="000000"/>
        </w:rPr>
        <w:t>粉</w:t>
      </w:r>
      <w:r>
        <w:rPr>
          <w:rFonts w:hint="eastAsia" w:hAnsi="宋体"/>
          <w:color w:val="000000"/>
        </w:rPr>
        <w:t>细砂等，综合判定项目场地内天然包气带防污性能为“弱”。</w:t>
      </w:r>
    </w:p>
    <w:p w14:paraId="24965F17">
      <w:pPr>
        <w:spacing w:line="460" w:lineRule="exact"/>
        <w:ind w:firstLine="520" w:firstLineChars="198"/>
        <w:rPr>
          <w:rFonts w:hint="eastAsia" w:hAnsi="宋体"/>
          <w:color w:val="000000"/>
          <w:szCs w:val="24"/>
        </w:rPr>
      </w:pPr>
      <w:r>
        <w:rPr>
          <w:rFonts w:hint="eastAsia" w:hAnsi="宋体" w:cs="宋体"/>
          <w:color w:val="000000"/>
          <w:kern w:val="0"/>
        </w:rPr>
        <w:t>监测期间区域地下水中石油类满足《地表水环境质量标准》（GB3838-2002）</w:t>
      </w:r>
      <w:r>
        <w:rPr>
          <w:rFonts w:hint="eastAsia" w:hAnsi="宋体"/>
          <w:color w:val="000000"/>
        </w:rPr>
        <w:t>Ⅲ类</w:t>
      </w:r>
      <w:r>
        <w:rPr>
          <w:rFonts w:hint="eastAsia" w:hAnsi="宋体" w:cs="宋体"/>
          <w:color w:val="000000"/>
          <w:kern w:val="0"/>
        </w:rPr>
        <w:t>标准要求。潜水监测点中除</w:t>
      </w:r>
      <w:r>
        <w:rPr>
          <w:rFonts w:hint="eastAsia" w:hAnsi="宋体" w:cs="宋体"/>
          <w:color w:val="000000"/>
          <w:szCs w:val="24"/>
        </w:rPr>
        <w:t>硫酸盐、氯化物、氟化物、钠、溶解性总固体、总硬度外</w:t>
      </w:r>
      <w:r>
        <w:rPr>
          <w:rFonts w:hint="eastAsia" w:hAnsi="宋体" w:cs="宋体"/>
          <w:color w:val="000000"/>
          <w:kern w:val="0"/>
        </w:rPr>
        <w:t>，其余监测因子均满足《地下水质量标准》（GB/T14848-2017）</w:t>
      </w:r>
      <w:r>
        <w:rPr>
          <w:rFonts w:hint="eastAsia" w:hAnsi="宋体"/>
          <w:color w:val="000000"/>
        </w:rPr>
        <w:t>Ⅲ类</w:t>
      </w:r>
      <w:r>
        <w:rPr>
          <w:rFonts w:hint="eastAsia" w:hAnsi="宋体" w:cs="宋体"/>
          <w:color w:val="000000"/>
          <w:kern w:val="0"/>
        </w:rPr>
        <w:t>标准要求.</w:t>
      </w:r>
    </w:p>
    <w:p w14:paraId="4709B5F2">
      <w:pPr>
        <w:spacing w:line="460" w:lineRule="exact"/>
        <w:ind w:firstLine="526" w:firstLineChars="200"/>
        <w:rPr>
          <w:rFonts w:hAnsi="宋体"/>
          <w:color w:val="000000"/>
          <w:szCs w:val="24"/>
        </w:rPr>
      </w:pPr>
      <w:r>
        <w:rPr>
          <w:rFonts w:hint="eastAsia" w:hAnsi="宋体"/>
          <w:color w:val="000000"/>
          <w:szCs w:val="24"/>
        </w:rPr>
        <w:t>（2）地下水环境的影响</w:t>
      </w:r>
    </w:p>
    <w:p w14:paraId="18B584A0">
      <w:pPr>
        <w:spacing w:line="460" w:lineRule="exact"/>
        <w:ind w:firstLine="526" w:firstLineChars="200"/>
        <w:rPr>
          <w:rFonts w:hint="eastAsia" w:hAnsi="宋体"/>
          <w:color w:val="000000"/>
          <w:szCs w:val="24"/>
        </w:rPr>
      </w:pPr>
      <w:r>
        <w:rPr>
          <w:rFonts w:hint="eastAsia" w:hAnsi="宋体"/>
          <w:color w:val="000000"/>
          <w:szCs w:val="24"/>
        </w:rPr>
        <w:t>正常状况下，管线完好无损可避免采出液泄漏而对地下水产生污染影响。</w:t>
      </w:r>
    </w:p>
    <w:p w14:paraId="5AC4B3C7">
      <w:pPr>
        <w:spacing w:line="460" w:lineRule="exact"/>
        <w:ind w:firstLine="526" w:firstLineChars="200"/>
        <w:rPr>
          <w:rFonts w:hAnsi="宋体"/>
          <w:color w:val="000000"/>
          <w:szCs w:val="24"/>
        </w:rPr>
      </w:pPr>
      <w:r>
        <w:rPr>
          <w:rFonts w:hint="eastAsia" w:hAnsi="宋体"/>
          <w:color w:val="000000"/>
          <w:szCs w:val="24"/>
        </w:rPr>
        <w:t>非正常状况下，管线破损等导致采出液泄漏进入地下水后沿水流迁移，但影响范围较小，不会对周围地下水水质产生明显污染影响。</w:t>
      </w:r>
    </w:p>
    <w:p w14:paraId="63A75EA1">
      <w:pPr>
        <w:spacing w:line="460" w:lineRule="exact"/>
        <w:ind w:firstLine="526" w:firstLineChars="200"/>
        <w:rPr>
          <w:rFonts w:hAnsi="宋体"/>
          <w:color w:val="000000"/>
          <w:szCs w:val="24"/>
        </w:rPr>
      </w:pPr>
      <w:r>
        <w:rPr>
          <w:rFonts w:hint="eastAsia" w:hAnsi="宋体"/>
          <w:color w:val="000000"/>
          <w:szCs w:val="24"/>
        </w:rPr>
        <w:t>（3）地下水污染防控措施</w:t>
      </w:r>
    </w:p>
    <w:p w14:paraId="5F7AA5A1">
      <w:pPr>
        <w:spacing w:line="460" w:lineRule="exact"/>
        <w:ind w:firstLine="526" w:firstLineChars="200"/>
        <w:rPr>
          <w:rFonts w:hAnsi="宋体"/>
          <w:color w:val="000000"/>
          <w:szCs w:val="24"/>
        </w:rPr>
      </w:pPr>
      <w:r>
        <w:rPr>
          <w:rFonts w:hint="eastAsia" w:hAnsi="宋体"/>
          <w:color w:val="000000"/>
          <w:szCs w:val="24"/>
        </w:rPr>
        <w:t>建项目依据“源头控制、分区防控、污染监控、应急响应”原则，采取严格的地下水环境污染防控措施。建立和完善拟建项目的地下水环境监测制度和环境管理体系，制定完善的监测计划。</w:t>
      </w:r>
    </w:p>
    <w:p w14:paraId="0EDF8932">
      <w:pPr>
        <w:spacing w:line="460" w:lineRule="exact"/>
        <w:ind w:firstLine="526" w:firstLineChars="200"/>
        <w:rPr>
          <w:rFonts w:hAnsi="宋体"/>
          <w:color w:val="000000"/>
          <w:szCs w:val="24"/>
        </w:rPr>
      </w:pPr>
      <w:r>
        <w:rPr>
          <w:rFonts w:hint="eastAsia" w:hAnsi="宋体"/>
          <w:color w:val="000000"/>
          <w:szCs w:val="24"/>
        </w:rPr>
        <w:t>（4）地下水环境影响评价结论</w:t>
      </w:r>
    </w:p>
    <w:p w14:paraId="3666F2DC">
      <w:pPr>
        <w:pStyle w:val="10"/>
        <w:widowControl w:val="0"/>
        <w:spacing w:line="460" w:lineRule="exact"/>
        <w:ind w:firstLine="526" w:firstLineChars="200"/>
        <w:rPr>
          <w:rFonts w:hint="eastAsia" w:ascii="宋体" w:hAnsi="宋体" w:eastAsia="宋体"/>
          <w:color w:val="000000"/>
          <w:sz w:val="24"/>
          <w:szCs w:val="24"/>
        </w:rPr>
      </w:pPr>
      <w:r>
        <w:rPr>
          <w:rFonts w:hint="eastAsia" w:ascii="宋体" w:hAnsi="宋体" w:eastAsia="宋体"/>
          <w:color w:val="000000"/>
          <w:sz w:val="24"/>
          <w:szCs w:val="24"/>
        </w:rPr>
        <w:t>拟建工程采取了源头控制、分区防渗、监控措施和应急响应等防控措施，同时制定了合理的地下水污染监控计划。因此，在加强管理并严格落实地下水污染防控措施的前提下，从地下水环境影响的角度分析，拟建工程对地下水环境影响可接受。</w:t>
      </w:r>
    </w:p>
    <w:p w14:paraId="76380002">
      <w:pPr>
        <w:spacing w:line="460" w:lineRule="exact"/>
        <w:outlineLvl w:val="1"/>
        <w:rPr>
          <w:rFonts w:hint="eastAsia" w:ascii="黑体" w:hAnsi="黑体" w:eastAsia="黑体" w:cs="黑体"/>
          <w:color w:val="000000"/>
          <w:sz w:val="28"/>
          <w:szCs w:val="28"/>
          <w:lang w:bidi="ar"/>
        </w:rPr>
      </w:pPr>
      <w:bookmarkStart w:id="214" w:name="_Toc198040191"/>
      <w:bookmarkStart w:id="215" w:name="_Toc208474685"/>
      <w:bookmarkStart w:id="216" w:name="_Toc198040335"/>
      <w:bookmarkStart w:id="217" w:name="_Toc230178801"/>
      <w:r>
        <w:rPr>
          <w:rFonts w:hint="eastAsia" w:ascii="黑体" w:hAnsi="黑体" w:eastAsia="黑体" w:cs="黑体"/>
          <w:color w:val="000000"/>
          <w:sz w:val="28"/>
          <w:szCs w:val="28"/>
          <w:lang w:bidi="ar"/>
        </w:rPr>
        <w:t>5.3地表水环境影响评价</w:t>
      </w:r>
      <w:bookmarkEnd w:id="214"/>
      <w:bookmarkEnd w:id="215"/>
      <w:bookmarkEnd w:id="216"/>
      <w:bookmarkEnd w:id="217"/>
    </w:p>
    <w:p w14:paraId="560AAD83">
      <w:pPr>
        <w:tabs>
          <w:tab w:val="left" w:pos="1134"/>
        </w:tabs>
        <w:spacing w:line="460" w:lineRule="exact"/>
        <w:outlineLvl w:val="2"/>
        <w:rPr>
          <w:rFonts w:hint="eastAsia" w:hAnsi="宋体" w:cs="宋体"/>
          <w:color w:val="000000"/>
          <w:szCs w:val="24"/>
        </w:rPr>
      </w:pPr>
      <w:r>
        <w:rPr>
          <w:rFonts w:hint="eastAsia" w:hAnsi="宋体" w:cs="宋体"/>
          <w:color w:val="000000"/>
          <w:szCs w:val="24"/>
        </w:rPr>
        <w:t>5.3.1施工期地表水环境影响分析</w:t>
      </w:r>
    </w:p>
    <w:p w14:paraId="2389EC2B">
      <w:pPr>
        <w:pStyle w:val="45"/>
        <w:widowControl w:val="0"/>
        <w:spacing w:beforeAutospacing="0" w:afterAutospacing="0" w:line="460" w:lineRule="exact"/>
        <w:ind w:firstLine="506" w:firstLineChars="200"/>
        <w:jc w:val="both"/>
        <w:rPr>
          <w:rFonts w:hint="eastAsia"/>
          <w:color w:val="000000"/>
          <w:kern w:val="2"/>
        </w:rPr>
      </w:pPr>
      <w:r>
        <w:rPr>
          <w:rFonts w:hint="eastAsia"/>
          <w:color w:val="000000"/>
          <w:kern w:val="2"/>
        </w:rPr>
        <w:t>（1）废水产生量分析</w:t>
      </w:r>
    </w:p>
    <w:p w14:paraId="0EEB7316">
      <w:pPr>
        <w:pStyle w:val="45"/>
        <w:widowControl w:val="0"/>
        <w:spacing w:beforeAutospacing="0" w:afterAutospacing="0" w:line="460" w:lineRule="exact"/>
        <w:ind w:firstLine="506" w:firstLineChars="200"/>
        <w:jc w:val="both"/>
        <w:rPr>
          <w:color w:val="000000"/>
          <w:kern w:val="2"/>
        </w:rPr>
      </w:pPr>
      <w:r>
        <w:rPr>
          <w:rFonts w:hint="eastAsia"/>
          <w:color w:val="000000"/>
          <w:kern w:val="2"/>
        </w:rPr>
        <w:t>①管线试压废水</w:t>
      </w:r>
    </w:p>
    <w:p w14:paraId="446E9E9B">
      <w:pPr>
        <w:pStyle w:val="45"/>
        <w:widowControl w:val="0"/>
        <w:spacing w:beforeAutospacing="0" w:afterAutospacing="0" w:line="460" w:lineRule="exact"/>
        <w:ind w:firstLine="526" w:firstLineChars="200"/>
        <w:jc w:val="both"/>
        <w:rPr>
          <w:rFonts w:hint="eastAsia"/>
          <w:color w:val="000000"/>
          <w:spacing w:val="5"/>
          <w:kern w:val="2"/>
        </w:rPr>
      </w:pPr>
      <w:r>
        <w:rPr>
          <w:rFonts w:hint="eastAsia"/>
          <w:color w:val="000000"/>
          <w:spacing w:val="5"/>
        </w:rPr>
        <w:t>拟建工程管道分段试压，一般采用无腐蚀性的清洁水，主要污染物为SS，试压水由管线排出由罐收集后，进入下一段管线循环使用，试压结束后用于洒水抑尘。</w:t>
      </w:r>
    </w:p>
    <w:p w14:paraId="1565CEED">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②生活污水</w:t>
      </w:r>
    </w:p>
    <w:p w14:paraId="02045717">
      <w:pPr>
        <w:pStyle w:val="45"/>
        <w:widowControl w:val="0"/>
        <w:spacing w:beforeAutospacing="0" w:afterAutospacing="0" w:line="480" w:lineRule="exact"/>
        <w:ind w:firstLine="506" w:firstLineChars="200"/>
        <w:jc w:val="both"/>
        <w:rPr>
          <w:rFonts w:hint="eastAsia"/>
          <w:color w:val="000000"/>
        </w:rPr>
      </w:pPr>
      <w:r>
        <w:rPr>
          <w:rFonts w:hint="eastAsia"/>
          <w:color w:val="000000"/>
        </w:rPr>
        <w:t>施工期产生的生活污水水量小、水质简单，生活污水依托塔三联合站公寓生活污水处理装置处理。</w:t>
      </w:r>
    </w:p>
    <w:p w14:paraId="3DB62B60">
      <w:pPr>
        <w:pStyle w:val="45"/>
        <w:widowControl w:val="0"/>
        <w:spacing w:beforeAutospacing="0" w:afterAutospacing="0" w:line="480" w:lineRule="exact"/>
        <w:ind w:firstLine="506" w:firstLineChars="200"/>
        <w:jc w:val="both"/>
        <w:rPr>
          <w:rFonts w:hint="eastAsia"/>
          <w:color w:val="000000"/>
        </w:rPr>
      </w:pPr>
      <w:r>
        <w:rPr>
          <w:rFonts w:hint="eastAsia"/>
          <w:color w:val="000000"/>
        </w:rPr>
        <w:t>（2）地表水影响分析</w:t>
      </w:r>
    </w:p>
    <w:p w14:paraId="47E49104">
      <w:pPr>
        <w:pStyle w:val="45"/>
        <w:widowControl w:val="0"/>
        <w:spacing w:beforeAutospacing="0" w:afterAutospacing="0" w:line="480" w:lineRule="exact"/>
        <w:ind w:firstLine="506" w:firstLineChars="200"/>
        <w:jc w:val="both"/>
        <w:rPr>
          <w:rFonts w:hint="eastAsia"/>
          <w:color w:val="000000"/>
        </w:rPr>
      </w:pPr>
      <w:r>
        <w:rPr>
          <w:rFonts w:hint="eastAsia"/>
          <w:color w:val="000000"/>
        </w:rPr>
        <w:t>施工期生活污水、管线试压废水等均可得到有效的处置，不会形成地表径流或因雨水的冲刷而随地表径流漫流进地表水体，故施工期的各种污染物质不存在进入地表水体，对地表水环境影响可接受。</w:t>
      </w:r>
    </w:p>
    <w:p w14:paraId="2667553F">
      <w:pPr>
        <w:tabs>
          <w:tab w:val="left" w:pos="1134"/>
        </w:tabs>
        <w:spacing w:line="480" w:lineRule="exact"/>
        <w:outlineLvl w:val="2"/>
        <w:rPr>
          <w:rFonts w:hint="eastAsia" w:hAnsi="宋体" w:cs="宋体"/>
          <w:color w:val="000000"/>
          <w:szCs w:val="24"/>
        </w:rPr>
      </w:pPr>
      <w:r>
        <w:rPr>
          <w:rFonts w:hint="eastAsia" w:hAnsi="宋体" w:cs="宋体"/>
          <w:color w:val="000000"/>
          <w:szCs w:val="24"/>
        </w:rPr>
        <w:t>5.3.2运营期地表水环境影响评价</w:t>
      </w:r>
    </w:p>
    <w:p w14:paraId="3442D60C">
      <w:pPr>
        <w:spacing w:line="480" w:lineRule="exact"/>
        <w:ind w:firstLine="526" w:firstLineChars="200"/>
        <w:rPr>
          <w:rFonts w:hAnsi="宋体"/>
          <w:color w:val="000000"/>
          <w:spacing w:val="9"/>
          <w:szCs w:val="24"/>
        </w:rPr>
      </w:pPr>
      <w:r>
        <w:rPr>
          <w:rFonts w:hint="eastAsia" w:hAnsi="宋体"/>
          <w:color w:val="000000"/>
        </w:rPr>
        <w:t>运营期无废水产生</w:t>
      </w:r>
      <w:r>
        <w:rPr>
          <w:rFonts w:hint="eastAsia" w:hAnsi="宋体"/>
          <w:color w:val="000000"/>
          <w:spacing w:val="9"/>
          <w:szCs w:val="24"/>
        </w:rPr>
        <w:t>。</w:t>
      </w:r>
    </w:p>
    <w:p w14:paraId="6463174C">
      <w:pPr>
        <w:tabs>
          <w:tab w:val="left" w:pos="1134"/>
        </w:tabs>
        <w:spacing w:line="480" w:lineRule="exact"/>
        <w:outlineLvl w:val="2"/>
        <w:rPr>
          <w:rFonts w:hint="eastAsia" w:hAnsi="宋体" w:cs="宋体"/>
          <w:color w:val="000000"/>
          <w:szCs w:val="24"/>
        </w:rPr>
      </w:pPr>
      <w:r>
        <w:rPr>
          <w:rFonts w:hint="eastAsia" w:hAnsi="宋体" w:cs="宋体"/>
          <w:color w:val="000000"/>
          <w:szCs w:val="24"/>
        </w:rPr>
        <w:t>5.3.3退役期地表水环境影响分析</w:t>
      </w:r>
    </w:p>
    <w:p w14:paraId="2C7CA2FF">
      <w:pPr>
        <w:pStyle w:val="10"/>
        <w:widowControl w:val="0"/>
        <w:spacing w:line="460" w:lineRule="exact"/>
        <w:jc w:val="both"/>
        <w:rPr>
          <w:rFonts w:hint="eastAsia" w:ascii="宋体" w:hAnsi="宋体" w:eastAsia="宋体"/>
          <w:color w:val="000000"/>
          <w:sz w:val="24"/>
          <w:szCs w:val="24"/>
        </w:rPr>
      </w:pPr>
      <w:r>
        <w:rPr>
          <w:rFonts w:hint="eastAsia" w:ascii="宋体" w:hAnsi="宋体" w:eastAsia="宋体"/>
          <w:color w:val="000000"/>
          <w:sz w:val="24"/>
          <w:szCs w:val="24"/>
        </w:rPr>
        <w:t>退役期废弃管道清洗废水依托塔三联合站处理，</w:t>
      </w:r>
      <w:r>
        <w:rPr>
          <w:rFonts w:hint="eastAsia" w:ascii="宋体" w:hAnsi="宋体" w:eastAsia="宋体" w:cs="宋体"/>
          <w:color w:val="000000"/>
          <w:sz w:val="24"/>
          <w:szCs w:val="24"/>
        </w:rPr>
        <w:t>且项目周边无地表水体</w:t>
      </w:r>
      <w:r>
        <w:rPr>
          <w:rFonts w:hint="eastAsia" w:ascii="宋体" w:hAnsi="宋体" w:eastAsia="宋体"/>
          <w:color w:val="000000"/>
          <w:sz w:val="24"/>
          <w:szCs w:val="24"/>
        </w:rPr>
        <w:t>，</w:t>
      </w:r>
      <w:r>
        <w:rPr>
          <w:rFonts w:hint="eastAsia" w:ascii="宋体" w:hAnsi="宋体" w:eastAsia="宋体" w:cs="宋体"/>
          <w:color w:val="000000"/>
          <w:sz w:val="24"/>
          <w:szCs w:val="24"/>
        </w:rPr>
        <w:t>不会对地表水环境造成污染影响。</w:t>
      </w:r>
    </w:p>
    <w:p w14:paraId="61208271">
      <w:pPr>
        <w:tabs>
          <w:tab w:val="left" w:pos="1134"/>
        </w:tabs>
        <w:spacing w:line="460" w:lineRule="exact"/>
        <w:outlineLvl w:val="2"/>
        <w:rPr>
          <w:rFonts w:hint="eastAsia" w:hAnsi="宋体" w:cs="宋体"/>
          <w:color w:val="000000"/>
          <w:szCs w:val="24"/>
        </w:rPr>
      </w:pPr>
      <w:r>
        <w:rPr>
          <w:rFonts w:hint="eastAsia" w:hAnsi="宋体" w:cs="宋体"/>
          <w:color w:val="000000"/>
          <w:szCs w:val="24"/>
        </w:rPr>
        <w:t>5.3.4地表水环境评价结论</w:t>
      </w:r>
    </w:p>
    <w:p w14:paraId="2A910076">
      <w:pPr>
        <w:pStyle w:val="10"/>
        <w:widowControl w:val="0"/>
        <w:spacing w:line="460" w:lineRule="exact"/>
        <w:rPr>
          <w:rFonts w:hint="eastAsia" w:ascii="宋体" w:hAnsi="宋体" w:eastAsia="宋体" w:cs="宋体"/>
          <w:color w:val="000000"/>
          <w:sz w:val="24"/>
          <w:szCs w:val="24"/>
        </w:rPr>
      </w:pPr>
      <w:r>
        <w:rPr>
          <w:rFonts w:hint="eastAsia" w:ascii="宋体" w:hAnsi="宋体" w:eastAsia="宋体" w:cs="宋体"/>
          <w:color w:val="000000"/>
          <w:sz w:val="24"/>
          <w:szCs w:val="24"/>
        </w:rPr>
        <w:t>综上，拟建工程废水不外排，且项目周边无地表水体</w:t>
      </w:r>
      <w:r>
        <w:rPr>
          <w:rFonts w:hint="eastAsia" w:ascii="宋体" w:hAnsi="宋体" w:eastAsia="宋体"/>
          <w:color w:val="000000"/>
          <w:sz w:val="24"/>
          <w:szCs w:val="24"/>
        </w:rPr>
        <w:t>，</w:t>
      </w:r>
      <w:r>
        <w:rPr>
          <w:rFonts w:hint="eastAsia" w:ascii="宋体" w:hAnsi="宋体" w:eastAsia="宋体" w:cs="宋体"/>
          <w:color w:val="000000"/>
          <w:sz w:val="24"/>
          <w:szCs w:val="24"/>
        </w:rPr>
        <w:t>故拟建工程实施对地表水环境可接受。</w:t>
      </w:r>
    </w:p>
    <w:p w14:paraId="24C4B2E8">
      <w:pPr>
        <w:tabs>
          <w:tab w:val="left" w:pos="1134"/>
        </w:tabs>
        <w:spacing w:line="460" w:lineRule="exact"/>
        <w:outlineLvl w:val="2"/>
        <w:rPr>
          <w:rFonts w:hint="eastAsia" w:hAnsi="宋体" w:cs="宋体"/>
          <w:color w:val="000000"/>
          <w:szCs w:val="24"/>
        </w:rPr>
      </w:pPr>
      <w:r>
        <w:rPr>
          <w:rFonts w:hint="eastAsia" w:hAnsi="宋体" w:cs="宋体"/>
          <w:color w:val="000000"/>
          <w:szCs w:val="24"/>
        </w:rPr>
        <w:t>5.3.5地表水环境影响评价自查表</w:t>
      </w:r>
    </w:p>
    <w:p w14:paraId="62EF2096">
      <w:pPr>
        <w:pStyle w:val="96"/>
        <w:spacing w:line="460" w:lineRule="exact"/>
        <w:ind w:firstLine="527"/>
        <w:rPr>
          <w:rFonts w:ascii="黑体" w:hAnsi="宋体" w:eastAsia="黑体"/>
          <w:color w:val="000000"/>
          <w:spacing w:val="5"/>
        </w:rPr>
      </w:pPr>
      <w:r>
        <w:rPr>
          <w:rFonts w:ascii="黑体" w:hAnsi="宋体" w:eastAsia="黑体"/>
          <w:color w:val="000000"/>
          <w:spacing w:val="5"/>
        </w:rPr>
        <w:t>表</w:t>
      </w:r>
      <w:r>
        <w:rPr>
          <w:rFonts w:hint="eastAsia" w:ascii="黑体" w:hAnsi="宋体" w:eastAsia="黑体"/>
          <w:color w:val="000000"/>
          <w:spacing w:val="5"/>
        </w:rPr>
        <w:t>5.3-1          地表水环境影响评价自查表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55"/>
        <w:gridCol w:w="1017"/>
        <w:gridCol w:w="3729"/>
        <w:gridCol w:w="3714"/>
      </w:tblGrid>
      <w:tr w14:paraId="67780E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2" w:type="pct"/>
            <w:gridSpan w:val="2"/>
            <w:noWrap/>
            <w:tcMar>
              <w:left w:w="28" w:type="dxa"/>
              <w:right w:w="28" w:type="dxa"/>
            </w:tcMar>
            <w:vAlign w:val="center"/>
          </w:tcPr>
          <w:p w14:paraId="163534D5">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工作内容</w:t>
            </w:r>
          </w:p>
        </w:tc>
        <w:tc>
          <w:tcPr>
            <w:tcW w:w="4128" w:type="pct"/>
            <w:gridSpan w:val="2"/>
            <w:noWrap/>
            <w:tcMar>
              <w:left w:w="28" w:type="dxa"/>
              <w:right w:w="28" w:type="dxa"/>
            </w:tcMar>
            <w:vAlign w:val="center"/>
          </w:tcPr>
          <w:p w14:paraId="224D1BAC">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自查项目</w:t>
            </w:r>
          </w:p>
        </w:tc>
      </w:tr>
      <w:tr w14:paraId="656DD0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8" w:type="pct"/>
            <w:vMerge w:val="restart"/>
            <w:noWrap/>
            <w:tcMar>
              <w:left w:w="28" w:type="dxa"/>
              <w:right w:w="28" w:type="dxa"/>
            </w:tcMar>
            <w:vAlign w:val="center"/>
          </w:tcPr>
          <w:p w14:paraId="2E7C81DC">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影响识别</w:t>
            </w:r>
          </w:p>
        </w:tc>
        <w:tc>
          <w:tcPr>
            <w:tcW w:w="564" w:type="pct"/>
            <w:noWrap/>
            <w:tcMar>
              <w:left w:w="28" w:type="dxa"/>
              <w:right w:w="28" w:type="dxa"/>
            </w:tcMar>
            <w:vAlign w:val="center"/>
          </w:tcPr>
          <w:p w14:paraId="10DCAD85">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影响类型</w:t>
            </w:r>
          </w:p>
        </w:tc>
        <w:tc>
          <w:tcPr>
            <w:tcW w:w="4128" w:type="pct"/>
            <w:gridSpan w:val="2"/>
            <w:noWrap/>
            <w:tcMar>
              <w:left w:w="28" w:type="dxa"/>
              <w:right w:w="28" w:type="dxa"/>
            </w:tcMar>
            <w:vAlign w:val="center"/>
          </w:tcPr>
          <w:p w14:paraId="5F133375">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水污染影响型☑；水文要素影响型□</w:t>
            </w:r>
          </w:p>
        </w:tc>
      </w:tr>
      <w:tr w14:paraId="794F9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41" w:hRule="atLeast"/>
          <w:jc w:val="center"/>
        </w:trPr>
        <w:tc>
          <w:tcPr>
            <w:tcW w:w="308" w:type="pct"/>
            <w:vMerge w:val="continue"/>
            <w:noWrap/>
            <w:tcMar>
              <w:left w:w="28" w:type="dxa"/>
              <w:right w:w="28" w:type="dxa"/>
            </w:tcMar>
            <w:vAlign w:val="center"/>
          </w:tcPr>
          <w:p w14:paraId="1C3EE377">
            <w:pPr>
              <w:pStyle w:val="117"/>
              <w:topLinePunct w:val="0"/>
              <w:snapToGrid/>
              <w:spacing w:after="0" w:line="0" w:lineRule="atLeast"/>
              <w:rPr>
                <w:rFonts w:hint="eastAsia" w:ascii="宋体" w:hAnsi="宋体" w:eastAsia="宋体" w:cs="宋体"/>
                <w:color w:val="000000"/>
                <w:spacing w:val="-10"/>
                <w:szCs w:val="21"/>
                <w:lang w:val="en-US" w:eastAsia="zh-CN"/>
              </w:rPr>
            </w:pPr>
          </w:p>
        </w:tc>
        <w:tc>
          <w:tcPr>
            <w:tcW w:w="564" w:type="pct"/>
            <w:noWrap/>
            <w:tcMar>
              <w:left w:w="28" w:type="dxa"/>
              <w:right w:w="28" w:type="dxa"/>
            </w:tcMar>
            <w:vAlign w:val="center"/>
          </w:tcPr>
          <w:p w14:paraId="005F5F7D">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水环境保护目标</w:t>
            </w:r>
          </w:p>
        </w:tc>
        <w:tc>
          <w:tcPr>
            <w:tcW w:w="4128" w:type="pct"/>
            <w:gridSpan w:val="2"/>
            <w:noWrap/>
            <w:tcMar>
              <w:left w:w="28" w:type="dxa"/>
              <w:right w:w="28" w:type="dxa"/>
            </w:tcMar>
            <w:vAlign w:val="center"/>
          </w:tcPr>
          <w:p w14:paraId="0F7CA153">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饮用水水源保护区□；饮用水取水□；涉水的自然保护区□；重要湿地□</w:t>
            </w:r>
          </w:p>
          <w:p w14:paraId="3AF49FBC">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重点保护与珍稀水生生物的栖息地□；重要水生生物的自然产卵场及索饵场、越冬场和洄游通道、天然渔场等渔业水体□；涉水的风景名胜区□；其他□</w:t>
            </w:r>
          </w:p>
        </w:tc>
      </w:tr>
      <w:tr w14:paraId="75E85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8" w:type="pct"/>
            <w:vMerge w:val="continue"/>
            <w:noWrap/>
            <w:tcMar>
              <w:left w:w="28" w:type="dxa"/>
              <w:right w:w="28" w:type="dxa"/>
            </w:tcMar>
            <w:vAlign w:val="center"/>
          </w:tcPr>
          <w:p w14:paraId="0A18F165">
            <w:pPr>
              <w:pStyle w:val="117"/>
              <w:topLinePunct w:val="0"/>
              <w:snapToGrid/>
              <w:spacing w:after="0" w:line="0" w:lineRule="atLeast"/>
              <w:rPr>
                <w:rFonts w:hint="eastAsia" w:ascii="宋体" w:hAnsi="宋体" w:eastAsia="宋体" w:cs="宋体"/>
                <w:color w:val="000000"/>
                <w:spacing w:val="-10"/>
                <w:szCs w:val="21"/>
                <w:lang w:val="en-US" w:eastAsia="zh-CN"/>
              </w:rPr>
            </w:pPr>
          </w:p>
        </w:tc>
        <w:tc>
          <w:tcPr>
            <w:tcW w:w="564" w:type="pct"/>
            <w:noWrap/>
            <w:tcMar>
              <w:left w:w="28" w:type="dxa"/>
              <w:right w:w="28" w:type="dxa"/>
            </w:tcMar>
            <w:vAlign w:val="center"/>
          </w:tcPr>
          <w:p w14:paraId="30227FFB">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影响途径</w:t>
            </w:r>
          </w:p>
        </w:tc>
        <w:tc>
          <w:tcPr>
            <w:tcW w:w="2068" w:type="pct"/>
            <w:noWrap/>
            <w:tcMar>
              <w:left w:w="28" w:type="dxa"/>
              <w:right w:w="28" w:type="dxa"/>
            </w:tcMar>
            <w:vAlign w:val="center"/>
          </w:tcPr>
          <w:p w14:paraId="5B1EA68C">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水污染影响型</w:t>
            </w:r>
          </w:p>
        </w:tc>
        <w:tc>
          <w:tcPr>
            <w:tcW w:w="2060" w:type="pct"/>
            <w:noWrap/>
            <w:tcMar>
              <w:left w:w="28" w:type="dxa"/>
              <w:right w:w="28" w:type="dxa"/>
            </w:tcMar>
            <w:vAlign w:val="center"/>
          </w:tcPr>
          <w:p w14:paraId="23707204">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水文要素影响型</w:t>
            </w:r>
          </w:p>
        </w:tc>
      </w:tr>
      <w:tr w14:paraId="4D8F0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8" w:type="pct"/>
            <w:vMerge w:val="continue"/>
            <w:noWrap/>
            <w:tcMar>
              <w:left w:w="28" w:type="dxa"/>
              <w:right w:w="28" w:type="dxa"/>
            </w:tcMar>
            <w:vAlign w:val="center"/>
          </w:tcPr>
          <w:p w14:paraId="7D87527B">
            <w:pPr>
              <w:pStyle w:val="117"/>
              <w:topLinePunct w:val="0"/>
              <w:snapToGrid/>
              <w:spacing w:after="0" w:line="0" w:lineRule="atLeast"/>
              <w:rPr>
                <w:rFonts w:hint="eastAsia" w:ascii="宋体" w:hAnsi="宋体" w:eastAsia="宋体" w:cs="宋体"/>
                <w:color w:val="000000"/>
                <w:spacing w:val="-10"/>
                <w:szCs w:val="21"/>
                <w:lang w:val="en-US" w:eastAsia="zh-CN"/>
              </w:rPr>
            </w:pPr>
          </w:p>
        </w:tc>
        <w:tc>
          <w:tcPr>
            <w:tcW w:w="564" w:type="pct"/>
            <w:noWrap/>
            <w:tcMar>
              <w:left w:w="28" w:type="dxa"/>
              <w:right w:w="28" w:type="dxa"/>
            </w:tcMar>
            <w:vAlign w:val="center"/>
          </w:tcPr>
          <w:p w14:paraId="1783FF70">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影响途径</w:t>
            </w:r>
          </w:p>
        </w:tc>
        <w:tc>
          <w:tcPr>
            <w:tcW w:w="2068" w:type="pct"/>
            <w:noWrap/>
            <w:tcMar>
              <w:left w:w="28" w:type="dxa"/>
              <w:right w:w="28" w:type="dxa"/>
            </w:tcMar>
            <w:vAlign w:val="center"/>
          </w:tcPr>
          <w:p w14:paraId="1B36E00E">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直接排放□；间接排放□；其他□</w:t>
            </w:r>
          </w:p>
        </w:tc>
        <w:tc>
          <w:tcPr>
            <w:tcW w:w="2060" w:type="pct"/>
            <w:noWrap/>
            <w:tcMar>
              <w:left w:w="28" w:type="dxa"/>
              <w:right w:w="28" w:type="dxa"/>
            </w:tcMar>
            <w:vAlign w:val="center"/>
          </w:tcPr>
          <w:p w14:paraId="620C1BD3">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水温□；径流□；水域面积□</w:t>
            </w:r>
          </w:p>
        </w:tc>
      </w:tr>
      <w:tr w14:paraId="534CAD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92" w:hRule="atLeast"/>
          <w:jc w:val="center"/>
        </w:trPr>
        <w:tc>
          <w:tcPr>
            <w:tcW w:w="308" w:type="pct"/>
            <w:vMerge w:val="continue"/>
            <w:noWrap/>
            <w:tcMar>
              <w:left w:w="28" w:type="dxa"/>
              <w:right w:w="28" w:type="dxa"/>
            </w:tcMar>
            <w:vAlign w:val="center"/>
          </w:tcPr>
          <w:p w14:paraId="23BE5C43">
            <w:pPr>
              <w:pStyle w:val="117"/>
              <w:topLinePunct w:val="0"/>
              <w:snapToGrid/>
              <w:spacing w:after="0" w:line="0" w:lineRule="atLeast"/>
              <w:rPr>
                <w:rFonts w:hint="eastAsia" w:ascii="宋体" w:hAnsi="宋体" w:eastAsia="宋体" w:cs="宋体"/>
                <w:color w:val="000000"/>
                <w:spacing w:val="-10"/>
                <w:szCs w:val="21"/>
                <w:lang w:val="en-US" w:eastAsia="zh-CN"/>
              </w:rPr>
            </w:pPr>
          </w:p>
        </w:tc>
        <w:tc>
          <w:tcPr>
            <w:tcW w:w="564" w:type="pct"/>
            <w:noWrap/>
            <w:tcMar>
              <w:left w:w="28" w:type="dxa"/>
              <w:right w:w="28" w:type="dxa"/>
            </w:tcMar>
            <w:vAlign w:val="center"/>
          </w:tcPr>
          <w:p w14:paraId="7007DE84">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影响因子</w:t>
            </w:r>
          </w:p>
        </w:tc>
        <w:tc>
          <w:tcPr>
            <w:tcW w:w="2068" w:type="pct"/>
            <w:noWrap/>
            <w:tcMar>
              <w:left w:w="28" w:type="dxa"/>
              <w:right w:w="28" w:type="dxa"/>
            </w:tcMar>
            <w:vAlign w:val="center"/>
          </w:tcPr>
          <w:p w14:paraId="01A43CA4">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持久性污染物□；有毒有害污染物□；非持久性污染物□；pH值□；热污染□；富营养化□；其他□</w:t>
            </w:r>
          </w:p>
        </w:tc>
        <w:tc>
          <w:tcPr>
            <w:tcW w:w="2060" w:type="pct"/>
            <w:noWrap/>
            <w:tcMar>
              <w:left w:w="28" w:type="dxa"/>
              <w:right w:w="28" w:type="dxa"/>
            </w:tcMar>
            <w:vAlign w:val="center"/>
          </w:tcPr>
          <w:p w14:paraId="36C0C2BE">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水温□；水位□；水深□；流速□；流量□；其他□</w:t>
            </w:r>
          </w:p>
        </w:tc>
      </w:tr>
      <w:tr w14:paraId="267614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2" w:type="pct"/>
            <w:gridSpan w:val="2"/>
            <w:vMerge w:val="restart"/>
            <w:noWrap/>
            <w:tcMar>
              <w:left w:w="28" w:type="dxa"/>
              <w:right w:w="28" w:type="dxa"/>
            </w:tcMar>
            <w:vAlign w:val="center"/>
          </w:tcPr>
          <w:p w14:paraId="4DD9305F">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评价等级</w:t>
            </w:r>
          </w:p>
        </w:tc>
        <w:tc>
          <w:tcPr>
            <w:tcW w:w="2068" w:type="pct"/>
            <w:noWrap/>
            <w:tcMar>
              <w:left w:w="28" w:type="dxa"/>
              <w:right w:w="28" w:type="dxa"/>
            </w:tcMar>
            <w:vAlign w:val="center"/>
          </w:tcPr>
          <w:p w14:paraId="4083FDAF">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水污染影响型</w:t>
            </w:r>
          </w:p>
        </w:tc>
        <w:tc>
          <w:tcPr>
            <w:tcW w:w="2060" w:type="pct"/>
            <w:noWrap/>
            <w:tcMar>
              <w:left w:w="28" w:type="dxa"/>
              <w:right w:w="28" w:type="dxa"/>
            </w:tcMar>
            <w:vAlign w:val="center"/>
          </w:tcPr>
          <w:p w14:paraId="510D87D1">
            <w:pPr>
              <w:pStyle w:val="117"/>
              <w:topLinePunct w:val="0"/>
              <w:snapToGrid/>
              <w:spacing w:after="0" w:line="0" w:lineRule="atLeast"/>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水文要素影响型</w:t>
            </w:r>
          </w:p>
        </w:tc>
      </w:tr>
      <w:tr w14:paraId="1DE3B3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2" w:type="pct"/>
            <w:gridSpan w:val="2"/>
            <w:vMerge w:val="continue"/>
            <w:noWrap/>
            <w:tcMar>
              <w:left w:w="28" w:type="dxa"/>
              <w:right w:w="28" w:type="dxa"/>
            </w:tcMar>
            <w:vAlign w:val="center"/>
          </w:tcPr>
          <w:p w14:paraId="479EE73F">
            <w:pPr>
              <w:pStyle w:val="117"/>
              <w:topLinePunct w:val="0"/>
              <w:snapToGrid/>
              <w:spacing w:after="0" w:line="0" w:lineRule="atLeast"/>
              <w:rPr>
                <w:rFonts w:hint="eastAsia" w:ascii="宋体" w:hAnsi="宋体" w:eastAsia="宋体" w:cs="宋体"/>
                <w:color w:val="000000"/>
                <w:spacing w:val="-10"/>
                <w:szCs w:val="21"/>
                <w:lang w:val="en-US" w:eastAsia="zh-CN"/>
              </w:rPr>
            </w:pPr>
          </w:p>
        </w:tc>
        <w:tc>
          <w:tcPr>
            <w:tcW w:w="2068" w:type="pct"/>
            <w:noWrap/>
            <w:tcMar>
              <w:left w:w="28" w:type="dxa"/>
              <w:right w:w="28" w:type="dxa"/>
            </w:tcMar>
            <w:vAlign w:val="center"/>
          </w:tcPr>
          <w:p w14:paraId="3EC46D8E">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一级□；二级□；三级A□；三级B☑</w:t>
            </w:r>
          </w:p>
        </w:tc>
        <w:tc>
          <w:tcPr>
            <w:tcW w:w="2060" w:type="pct"/>
            <w:noWrap/>
            <w:tcMar>
              <w:left w:w="28" w:type="dxa"/>
              <w:right w:w="28" w:type="dxa"/>
            </w:tcMar>
            <w:vAlign w:val="center"/>
          </w:tcPr>
          <w:p w14:paraId="2BDAD50A">
            <w:pPr>
              <w:pStyle w:val="117"/>
              <w:topLinePunct w:val="0"/>
              <w:snapToGrid/>
              <w:spacing w:after="0" w:line="0" w:lineRule="atLeast"/>
              <w:jc w:val="both"/>
              <w:rPr>
                <w:rFonts w:hint="eastAsia" w:ascii="宋体" w:hAnsi="宋体" w:eastAsia="宋体" w:cs="宋体"/>
                <w:color w:val="000000"/>
                <w:spacing w:val="-10"/>
                <w:szCs w:val="21"/>
                <w:lang w:val="en-US" w:eastAsia="zh-CN"/>
              </w:rPr>
            </w:pPr>
            <w:r>
              <w:rPr>
                <w:rFonts w:hint="eastAsia" w:ascii="宋体" w:hAnsi="宋体" w:eastAsia="宋体" w:cs="宋体"/>
                <w:color w:val="000000"/>
                <w:spacing w:val="-10"/>
                <w:szCs w:val="21"/>
                <w:lang w:val="en-US" w:eastAsia="zh-CN"/>
              </w:rPr>
              <w:t>一级□；二级□；三级□</w:t>
            </w:r>
          </w:p>
        </w:tc>
      </w:tr>
    </w:tbl>
    <w:p w14:paraId="2E31CACB">
      <w:pPr>
        <w:spacing w:before="240" w:line="460" w:lineRule="exact"/>
        <w:outlineLvl w:val="1"/>
        <w:rPr>
          <w:rFonts w:hint="eastAsia" w:ascii="黑体" w:hAnsi="黑体" w:eastAsia="黑体" w:cs="黑体"/>
          <w:color w:val="000000"/>
          <w:sz w:val="28"/>
          <w:szCs w:val="28"/>
          <w:lang w:bidi="ar"/>
        </w:rPr>
      </w:pPr>
      <w:bookmarkStart w:id="218" w:name="_Toc198040192"/>
      <w:bookmarkStart w:id="219" w:name="_Toc198040336"/>
      <w:bookmarkStart w:id="220" w:name="_Toc208474686"/>
      <w:bookmarkStart w:id="221" w:name="_Toc230178802"/>
      <w:r>
        <w:rPr>
          <w:rFonts w:hint="eastAsia" w:ascii="黑体" w:hAnsi="黑体" w:eastAsia="黑体" w:cs="黑体"/>
          <w:color w:val="000000"/>
          <w:sz w:val="28"/>
          <w:szCs w:val="28"/>
          <w:lang w:bidi="ar"/>
        </w:rPr>
        <w:t>5.4土壤环境影响评价</w:t>
      </w:r>
      <w:bookmarkEnd w:id="218"/>
      <w:bookmarkEnd w:id="219"/>
      <w:bookmarkEnd w:id="220"/>
      <w:bookmarkEnd w:id="221"/>
    </w:p>
    <w:p w14:paraId="067C837D">
      <w:pPr>
        <w:tabs>
          <w:tab w:val="left" w:pos="1134"/>
        </w:tabs>
        <w:spacing w:line="460" w:lineRule="exact"/>
        <w:outlineLvl w:val="2"/>
        <w:rPr>
          <w:rFonts w:hint="eastAsia" w:hAnsi="宋体" w:cs="宋体"/>
          <w:color w:val="000000"/>
          <w:szCs w:val="24"/>
        </w:rPr>
      </w:pPr>
      <w:r>
        <w:rPr>
          <w:rFonts w:hint="eastAsia" w:hAnsi="宋体" w:cs="宋体"/>
          <w:color w:val="000000"/>
          <w:szCs w:val="24"/>
        </w:rPr>
        <w:t>5.4.1施工期土壤环境影响分析</w:t>
      </w:r>
    </w:p>
    <w:p w14:paraId="71D0CC6F">
      <w:pPr>
        <w:spacing w:line="460" w:lineRule="exact"/>
        <w:ind w:firstLine="526" w:firstLineChars="200"/>
        <w:rPr>
          <w:rFonts w:hint="eastAsia" w:hAnsi="宋体" w:cs="宋体"/>
          <w:color w:val="000000"/>
          <w:kern w:val="0"/>
          <w:szCs w:val="24"/>
          <w:lang w:bidi="ar"/>
        </w:rPr>
      </w:pPr>
      <w:r>
        <w:rPr>
          <w:rFonts w:hint="eastAsia" w:hAnsi="宋体" w:cs="宋体"/>
          <w:color w:val="000000"/>
          <w:kern w:val="0"/>
          <w:szCs w:val="24"/>
          <w:lang w:bidi="ar"/>
        </w:rPr>
        <w:t xml:space="preserve">拟建工程施工期对土壤的影响主要是占压造成土壤压实和对土壤表层的剥离，由于挖方取土、填方堆放、土层扰乱以及对土壤性质的破坏。根据建设项目的工程内容，管线施工过程的土石方开挖、回填对土壤的影响最大。工程对土壤的影响，主要表现为对土壤性质和土壤污染两个方面。 </w:t>
      </w:r>
    </w:p>
    <w:p w14:paraId="5DB6B728">
      <w:pPr>
        <w:spacing w:line="460" w:lineRule="exact"/>
        <w:ind w:firstLine="526" w:firstLineChars="200"/>
        <w:rPr>
          <w:rFonts w:hint="eastAsia" w:hAnsi="宋体" w:cs="宋体"/>
          <w:color w:val="000000"/>
          <w:kern w:val="0"/>
          <w:szCs w:val="24"/>
          <w:lang w:bidi="ar"/>
        </w:rPr>
      </w:pPr>
      <w:r>
        <w:rPr>
          <w:rFonts w:hint="eastAsia" w:hAnsi="宋体" w:cs="宋体"/>
          <w:color w:val="000000"/>
          <w:kern w:val="0"/>
          <w:szCs w:val="24"/>
          <w:lang w:bidi="ar"/>
        </w:rPr>
        <w:t xml:space="preserve">施工期对土壤理化性质的影响主要是施工期的施工机械设备碾压等活动，可扰乱土壤表层、破坏土壤结构。由于表层的团粒结构是经过较长的历史时期形成的，一旦遭到破坏，短期内难以恢复，在生境恶劣的环境下尤其困难。因此，在整个施工区域内，该工程对土壤表层的影响较大。 </w:t>
      </w:r>
    </w:p>
    <w:p w14:paraId="6BE99DAE">
      <w:pPr>
        <w:tabs>
          <w:tab w:val="left" w:pos="1134"/>
        </w:tabs>
        <w:spacing w:line="460" w:lineRule="exact"/>
        <w:outlineLvl w:val="2"/>
        <w:rPr>
          <w:rFonts w:hint="eastAsia" w:hAnsi="宋体" w:cs="宋体"/>
          <w:color w:val="000000"/>
          <w:szCs w:val="24"/>
        </w:rPr>
      </w:pPr>
      <w:r>
        <w:rPr>
          <w:rFonts w:hint="eastAsia" w:hAnsi="宋体" w:cs="宋体"/>
          <w:color w:val="000000"/>
          <w:szCs w:val="24"/>
        </w:rPr>
        <w:t>5.4.2运营期土壤环境影响评价</w:t>
      </w:r>
    </w:p>
    <w:p w14:paraId="34672832">
      <w:pPr>
        <w:spacing w:line="460" w:lineRule="exact"/>
        <w:outlineLvl w:val="3"/>
        <w:rPr>
          <w:rFonts w:hAnsi="宋体"/>
          <w:color w:val="000000"/>
          <w:szCs w:val="24"/>
        </w:rPr>
      </w:pPr>
      <w:r>
        <w:rPr>
          <w:rFonts w:hint="eastAsia" w:hAnsi="宋体" w:cs="宋体"/>
          <w:color w:val="000000"/>
          <w:szCs w:val="24"/>
        </w:rPr>
        <w:t>5.4.2</w:t>
      </w:r>
      <w:r>
        <w:rPr>
          <w:rFonts w:hint="eastAsia" w:hAnsi="宋体"/>
          <w:color w:val="000000"/>
          <w:szCs w:val="24"/>
        </w:rPr>
        <w:t>.1 环境影响识别</w:t>
      </w:r>
    </w:p>
    <w:p w14:paraId="5D7931B6">
      <w:pPr>
        <w:spacing w:line="480" w:lineRule="exact"/>
        <w:ind w:firstLine="526" w:firstLineChars="200"/>
        <w:rPr>
          <w:rFonts w:hAnsi="宋体"/>
          <w:color w:val="000000"/>
          <w:szCs w:val="24"/>
        </w:rPr>
      </w:pPr>
      <w:r>
        <w:rPr>
          <w:rFonts w:hint="eastAsia" w:hAnsi="宋体"/>
          <w:color w:val="000000"/>
          <w:szCs w:val="24"/>
        </w:rPr>
        <w:t>（1）项目类型</w:t>
      </w:r>
    </w:p>
    <w:p w14:paraId="6CD57FC3">
      <w:pPr>
        <w:spacing w:line="460" w:lineRule="exact"/>
        <w:ind w:firstLine="506" w:firstLineChars="200"/>
        <w:rPr>
          <w:rFonts w:hAnsi="宋体"/>
          <w:color w:val="000000"/>
          <w:spacing w:val="0"/>
          <w:szCs w:val="24"/>
        </w:rPr>
      </w:pPr>
      <w:r>
        <w:rPr>
          <w:rFonts w:hint="eastAsia" w:hAnsi="宋体" w:cs="宋体"/>
          <w:color w:val="000000"/>
          <w:spacing w:val="0"/>
          <w:szCs w:val="24"/>
        </w:rPr>
        <w:t>根据《环境影响评价技术导则 陆地石油天然气开发建设项目》（HJ 349-2023），拟建工程集输管线属于Ⅱ类项目。</w:t>
      </w:r>
    </w:p>
    <w:p w14:paraId="6C6B5EDE">
      <w:pPr>
        <w:spacing w:line="460" w:lineRule="exact"/>
        <w:ind w:firstLine="526" w:firstLineChars="200"/>
        <w:rPr>
          <w:rFonts w:hAnsi="宋体"/>
          <w:color w:val="000000"/>
          <w:szCs w:val="24"/>
        </w:rPr>
      </w:pPr>
      <w:r>
        <w:rPr>
          <w:rFonts w:hint="eastAsia" w:hAnsi="宋体"/>
          <w:color w:val="000000"/>
          <w:szCs w:val="24"/>
        </w:rPr>
        <w:t>（2）影响类型及途径</w:t>
      </w:r>
    </w:p>
    <w:p w14:paraId="56AC1685">
      <w:pPr>
        <w:spacing w:line="460" w:lineRule="exact"/>
        <w:ind w:firstLine="526" w:firstLineChars="200"/>
        <w:rPr>
          <w:rFonts w:hint="eastAsia"/>
          <w:color w:val="000000"/>
          <w:szCs w:val="24"/>
        </w:rPr>
      </w:pPr>
      <w:r>
        <w:rPr>
          <w:rFonts w:hint="eastAsia"/>
          <w:color w:val="000000"/>
          <w:szCs w:val="24"/>
        </w:rPr>
        <w:t>根据《环境影响评价技术导则 土壤环境（试行）》（HJ964-2018）、</w:t>
      </w:r>
      <w:r>
        <w:rPr>
          <w:rFonts w:hint="eastAsia" w:hAnsi="宋体"/>
          <w:color w:val="000000"/>
          <w:szCs w:val="24"/>
        </w:rPr>
        <w:t>《环境影响评价技术导则 陆地石油天然气开发建设项目》（HJ 349-2023）以及区域历史监测数据，项目所在区域土壤盐分含量≤2</w:t>
      </w:r>
      <w:r>
        <w:rPr>
          <w:rFonts w:hint="eastAsia" w:hAnsi="宋体" w:cs="宋体"/>
          <w:color w:val="000000"/>
          <w:szCs w:val="24"/>
        </w:rPr>
        <w:t>g/kg，区域5.5＜pH＜8.5，</w:t>
      </w:r>
      <w:r>
        <w:rPr>
          <w:rFonts w:hint="eastAsia" w:hAnsi="宋体" w:cs="宋体"/>
          <w:color w:val="000000"/>
        </w:rPr>
        <w:t>不属于土壤盐化、酸化和碱化地区，</w:t>
      </w:r>
      <w:r>
        <w:rPr>
          <w:rFonts w:hint="eastAsia" w:hAnsi="宋体"/>
          <w:color w:val="000000"/>
          <w:szCs w:val="24"/>
        </w:rPr>
        <w:t>拟建工程类别按照污染影响型项目考虑</w:t>
      </w:r>
      <w:r>
        <w:rPr>
          <w:rFonts w:hint="eastAsia"/>
          <w:color w:val="000000"/>
          <w:szCs w:val="24"/>
        </w:rPr>
        <w:t>。</w:t>
      </w:r>
    </w:p>
    <w:p w14:paraId="6FBD24D2">
      <w:pPr>
        <w:spacing w:line="460" w:lineRule="exact"/>
        <w:ind w:firstLine="526" w:firstLineChars="200"/>
        <w:rPr>
          <w:rFonts w:hint="eastAsia"/>
          <w:color w:val="000000"/>
          <w:szCs w:val="24"/>
        </w:rPr>
      </w:pPr>
      <w:r>
        <w:rPr>
          <w:rFonts w:hint="eastAsia" w:hAnsi="宋体"/>
          <w:color w:val="000000"/>
        </w:rPr>
        <w:t>运营期无废水产生，不会造成废水地面漫流影响</w:t>
      </w:r>
      <w:r>
        <w:rPr>
          <w:rFonts w:hint="eastAsia" w:hAnsi="宋体"/>
          <w:color w:val="000000"/>
          <w:szCs w:val="24"/>
        </w:rPr>
        <w:t>；非正常状况</w:t>
      </w:r>
      <w:r>
        <w:rPr>
          <w:rFonts w:hint="eastAsia"/>
          <w:color w:val="000000"/>
          <w:szCs w:val="24"/>
        </w:rPr>
        <w:t>管道连接处破裂发生泄漏，</w:t>
      </w:r>
      <w:r>
        <w:rPr>
          <w:rFonts w:hint="eastAsia" w:hAnsi="宋体"/>
          <w:color w:val="000000"/>
          <w:szCs w:val="24"/>
        </w:rPr>
        <w:t>可能通过垂直入渗的</w:t>
      </w:r>
      <w:bookmarkStart w:id="389" w:name="_GoBack"/>
      <w:bookmarkEnd w:id="389"/>
      <w:r>
        <w:rPr>
          <w:rFonts w:hint="eastAsia" w:hAnsi="宋体"/>
          <w:color w:val="000000"/>
          <w:szCs w:val="24"/>
        </w:rPr>
        <w:t>形式对土壤造成影响。影响类型见表</w:t>
      </w:r>
      <w:r>
        <w:rPr>
          <w:rFonts w:hint="eastAsia"/>
          <w:color w:val="000000"/>
          <w:szCs w:val="24"/>
        </w:rPr>
        <w:t>5.4-1</w:t>
      </w:r>
      <w:r>
        <w:rPr>
          <w:rFonts w:hint="eastAsia" w:hAnsi="宋体"/>
          <w:color w:val="000000"/>
          <w:szCs w:val="24"/>
        </w:rPr>
        <w:t>。</w:t>
      </w:r>
    </w:p>
    <w:p w14:paraId="638376CC">
      <w:pPr>
        <w:spacing w:line="460" w:lineRule="exact"/>
        <w:ind w:firstLine="526" w:firstLineChars="200"/>
        <w:rPr>
          <w:rFonts w:ascii="黑体" w:hAnsi="黑体" w:eastAsia="黑体"/>
          <w:color w:val="000000"/>
          <w:szCs w:val="24"/>
        </w:rPr>
      </w:pPr>
      <w:r>
        <w:rPr>
          <w:rFonts w:hint="eastAsia" w:ascii="黑体" w:hAnsi="黑体" w:eastAsia="黑体"/>
          <w:color w:val="000000"/>
          <w:szCs w:val="24"/>
        </w:rPr>
        <w:t>表5.4-1           建设项目影响类型表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409"/>
        <w:gridCol w:w="1102"/>
        <w:gridCol w:w="1141"/>
        <w:gridCol w:w="1172"/>
        <w:gridCol w:w="839"/>
        <w:gridCol w:w="839"/>
        <w:gridCol w:w="839"/>
        <w:gridCol w:w="837"/>
        <w:gridCol w:w="837"/>
      </w:tblGrid>
      <w:tr w14:paraId="15757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408" w:type="dxa"/>
            <w:vMerge w:val="restart"/>
            <w:noWrap/>
            <w:tcMar>
              <w:left w:w="28" w:type="dxa"/>
              <w:right w:w="28" w:type="dxa"/>
            </w:tcMar>
            <w:vAlign w:val="center"/>
          </w:tcPr>
          <w:p w14:paraId="4E6A9117">
            <w:pPr>
              <w:spacing w:line="0" w:lineRule="atLeast"/>
              <w:jc w:val="center"/>
              <w:rPr>
                <w:rFonts w:hAnsi="宋体"/>
                <w:color w:val="000000"/>
                <w:spacing w:val="-10"/>
                <w:sz w:val="21"/>
                <w:szCs w:val="21"/>
              </w:rPr>
            </w:pPr>
            <w:r>
              <w:rPr>
                <w:rFonts w:hint="eastAsia" w:hAnsi="宋体"/>
                <w:color w:val="000000"/>
                <w:spacing w:val="-10"/>
                <w:sz w:val="21"/>
                <w:szCs w:val="21"/>
              </w:rPr>
              <w:t>不同时段</w:t>
            </w:r>
          </w:p>
        </w:tc>
        <w:tc>
          <w:tcPr>
            <w:tcW w:w="4254" w:type="dxa"/>
            <w:gridSpan w:val="4"/>
            <w:noWrap/>
            <w:tcMar>
              <w:left w:w="28" w:type="dxa"/>
              <w:right w:w="28" w:type="dxa"/>
            </w:tcMar>
            <w:vAlign w:val="center"/>
          </w:tcPr>
          <w:p w14:paraId="4575E163">
            <w:pPr>
              <w:spacing w:line="0" w:lineRule="atLeast"/>
              <w:jc w:val="center"/>
              <w:rPr>
                <w:rFonts w:hAnsi="宋体"/>
                <w:color w:val="000000"/>
                <w:spacing w:val="-10"/>
                <w:sz w:val="21"/>
                <w:szCs w:val="21"/>
              </w:rPr>
            </w:pPr>
            <w:r>
              <w:rPr>
                <w:rFonts w:hint="eastAsia" w:hAnsi="宋体"/>
                <w:color w:val="000000"/>
                <w:spacing w:val="-10"/>
                <w:sz w:val="21"/>
                <w:szCs w:val="21"/>
              </w:rPr>
              <w:t>污染影响型</w:t>
            </w:r>
          </w:p>
        </w:tc>
        <w:tc>
          <w:tcPr>
            <w:tcW w:w="3352" w:type="dxa"/>
            <w:gridSpan w:val="4"/>
            <w:noWrap/>
            <w:tcMar>
              <w:left w:w="28" w:type="dxa"/>
              <w:right w:w="28" w:type="dxa"/>
            </w:tcMar>
            <w:vAlign w:val="center"/>
          </w:tcPr>
          <w:p w14:paraId="0A292C4C">
            <w:pPr>
              <w:spacing w:line="0" w:lineRule="atLeast"/>
              <w:jc w:val="center"/>
              <w:rPr>
                <w:rFonts w:hAnsi="宋体"/>
                <w:color w:val="000000"/>
                <w:spacing w:val="-10"/>
                <w:sz w:val="21"/>
                <w:szCs w:val="21"/>
              </w:rPr>
            </w:pPr>
            <w:r>
              <w:rPr>
                <w:rFonts w:hint="eastAsia" w:hAnsi="宋体"/>
                <w:color w:val="000000"/>
                <w:spacing w:val="-10"/>
                <w:sz w:val="21"/>
                <w:szCs w:val="21"/>
              </w:rPr>
              <w:t>生态影响型</w:t>
            </w:r>
          </w:p>
        </w:tc>
      </w:tr>
      <w:tr w14:paraId="27992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408" w:type="dxa"/>
            <w:vMerge w:val="continue"/>
            <w:noWrap/>
            <w:tcMar>
              <w:left w:w="28" w:type="dxa"/>
              <w:right w:w="28" w:type="dxa"/>
            </w:tcMar>
            <w:vAlign w:val="center"/>
          </w:tcPr>
          <w:p w14:paraId="53B2E83F">
            <w:pPr>
              <w:spacing w:line="0" w:lineRule="atLeast"/>
              <w:jc w:val="center"/>
              <w:rPr>
                <w:rFonts w:hAnsi="宋体"/>
                <w:color w:val="000000"/>
                <w:spacing w:val="-10"/>
                <w:sz w:val="21"/>
                <w:szCs w:val="21"/>
              </w:rPr>
            </w:pPr>
          </w:p>
        </w:tc>
        <w:tc>
          <w:tcPr>
            <w:tcW w:w="1102" w:type="dxa"/>
            <w:noWrap/>
            <w:tcMar>
              <w:left w:w="28" w:type="dxa"/>
              <w:right w:w="28" w:type="dxa"/>
            </w:tcMar>
            <w:vAlign w:val="center"/>
          </w:tcPr>
          <w:p w14:paraId="4C13EC77">
            <w:pPr>
              <w:spacing w:line="0" w:lineRule="atLeast"/>
              <w:jc w:val="center"/>
              <w:rPr>
                <w:rFonts w:hAnsi="宋体"/>
                <w:color w:val="000000"/>
                <w:spacing w:val="-10"/>
                <w:sz w:val="21"/>
                <w:szCs w:val="21"/>
              </w:rPr>
            </w:pPr>
            <w:r>
              <w:rPr>
                <w:rFonts w:hint="eastAsia" w:hAnsi="宋体"/>
                <w:color w:val="000000"/>
                <w:spacing w:val="-10"/>
                <w:sz w:val="21"/>
                <w:szCs w:val="21"/>
              </w:rPr>
              <w:t>大气沉降</w:t>
            </w:r>
          </w:p>
        </w:tc>
        <w:tc>
          <w:tcPr>
            <w:tcW w:w="1141" w:type="dxa"/>
            <w:noWrap/>
            <w:tcMar>
              <w:left w:w="28" w:type="dxa"/>
              <w:right w:w="28" w:type="dxa"/>
            </w:tcMar>
            <w:vAlign w:val="center"/>
          </w:tcPr>
          <w:p w14:paraId="1A85F014">
            <w:pPr>
              <w:spacing w:line="0" w:lineRule="atLeast"/>
              <w:jc w:val="center"/>
              <w:rPr>
                <w:rFonts w:hAnsi="宋体"/>
                <w:color w:val="000000"/>
                <w:spacing w:val="-10"/>
                <w:sz w:val="21"/>
                <w:szCs w:val="21"/>
              </w:rPr>
            </w:pPr>
            <w:r>
              <w:rPr>
                <w:rFonts w:hint="eastAsia" w:hAnsi="宋体"/>
                <w:color w:val="000000"/>
                <w:spacing w:val="-10"/>
                <w:sz w:val="21"/>
                <w:szCs w:val="21"/>
              </w:rPr>
              <w:t>地面漫流</w:t>
            </w:r>
          </w:p>
        </w:tc>
        <w:tc>
          <w:tcPr>
            <w:tcW w:w="1172" w:type="dxa"/>
            <w:noWrap/>
            <w:tcMar>
              <w:left w:w="28" w:type="dxa"/>
              <w:right w:w="28" w:type="dxa"/>
            </w:tcMar>
            <w:vAlign w:val="center"/>
          </w:tcPr>
          <w:p w14:paraId="3454C5CA">
            <w:pPr>
              <w:spacing w:line="0" w:lineRule="atLeast"/>
              <w:jc w:val="center"/>
              <w:rPr>
                <w:rFonts w:hAnsi="宋体"/>
                <w:color w:val="000000"/>
                <w:spacing w:val="-10"/>
                <w:sz w:val="21"/>
                <w:szCs w:val="21"/>
              </w:rPr>
            </w:pPr>
            <w:r>
              <w:rPr>
                <w:rFonts w:hint="eastAsia" w:hAnsi="宋体"/>
                <w:color w:val="000000"/>
                <w:spacing w:val="-10"/>
                <w:sz w:val="21"/>
                <w:szCs w:val="21"/>
              </w:rPr>
              <w:t>垂直入渗</w:t>
            </w:r>
          </w:p>
        </w:tc>
        <w:tc>
          <w:tcPr>
            <w:tcW w:w="839" w:type="dxa"/>
            <w:noWrap/>
            <w:tcMar>
              <w:left w:w="28" w:type="dxa"/>
              <w:right w:w="28" w:type="dxa"/>
            </w:tcMar>
            <w:vAlign w:val="center"/>
          </w:tcPr>
          <w:p w14:paraId="51C35EAC">
            <w:pPr>
              <w:spacing w:line="0" w:lineRule="atLeast"/>
              <w:jc w:val="center"/>
              <w:rPr>
                <w:rFonts w:hAnsi="宋体"/>
                <w:color w:val="000000"/>
                <w:spacing w:val="-10"/>
                <w:sz w:val="21"/>
                <w:szCs w:val="21"/>
              </w:rPr>
            </w:pPr>
            <w:r>
              <w:rPr>
                <w:rFonts w:hint="eastAsia" w:hAnsi="宋体"/>
                <w:color w:val="000000"/>
                <w:spacing w:val="-10"/>
                <w:sz w:val="21"/>
                <w:szCs w:val="21"/>
              </w:rPr>
              <w:t>其它</w:t>
            </w:r>
          </w:p>
        </w:tc>
        <w:tc>
          <w:tcPr>
            <w:tcW w:w="839" w:type="dxa"/>
            <w:noWrap/>
            <w:tcMar>
              <w:left w:w="28" w:type="dxa"/>
              <w:right w:w="28" w:type="dxa"/>
            </w:tcMar>
            <w:vAlign w:val="center"/>
          </w:tcPr>
          <w:p w14:paraId="48299C55">
            <w:pPr>
              <w:spacing w:line="0" w:lineRule="atLeast"/>
              <w:jc w:val="center"/>
              <w:rPr>
                <w:rFonts w:hAnsi="宋体"/>
                <w:color w:val="000000"/>
                <w:spacing w:val="-10"/>
                <w:sz w:val="21"/>
                <w:szCs w:val="21"/>
              </w:rPr>
            </w:pPr>
            <w:r>
              <w:rPr>
                <w:rFonts w:hint="eastAsia" w:hAnsi="宋体"/>
                <w:color w:val="000000"/>
                <w:spacing w:val="-10"/>
                <w:sz w:val="21"/>
                <w:szCs w:val="21"/>
              </w:rPr>
              <w:t>盐化</w:t>
            </w:r>
          </w:p>
        </w:tc>
        <w:tc>
          <w:tcPr>
            <w:tcW w:w="839" w:type="dxa"/>
            <w:noWrap/>
            <w:tcMar>
              <w:left w:w="28" w:type="dxa"/>
              <w:right w:w="28" w:type="dxa"/>
            </w:tcMar>
            <w:vAlign w:val="center"/>
          </w:tcPr>
          <w:p w14:paraId="12AF5956">
            <w:pPr>
              <w:spacing w:line="0" w:lineRule="atLeast"/>
              <w:jc w:val="center"/>
              <w:rPr>
                <w:rFonts w:hAnsi="宋体"/>
                <w:color w:val="000000"/>
                <w:spacing w:val="-10"/>
                <w:sz w:val="21"/>
                <w:szCs w:val="21"/>
              </w:rPr>
            </w:pPr>
            <w:r>
              <w:rPr>
                <w:rFonts w:hint="eastAsia" w:hAnsi="宋体"/>
                <w:color w:val="000000"/>
                <w:spacing w:val="-10"/>
                <w:sz w:val="21"/>
                <w:szCs w:val="21"/>
              </w:rPr>
              <w:t>碱化</w:t>
            </w:r>
          </w:p>
        </w:tc>
        <w:tc>
          <w:tcPr>
            <w:tcW w:w="837" w:type="dxa"/>
            <w:noWrap/>
            <w:tcMar>
              <w:left w:w="28" w:type="dxa"/>
              <w:right w:w="28" w:type="dxa"/>
            </w:tcMar>
            <w:vAlign w:val="center"/>
          </w:tcPr>
          <w:p w14:paraId="2D348EED">
            <w:pPr>
              <w:spacing w:line="0" w:lineRule="atLeast"/>
              <w:jc w:val="center"/>
              <w:rPr>
                <w:rFonts w:hAnsi="宋体"/>
                <w:color w:val="000000"/>
                <w:spacing w:val="-10"/>
                <w:sz w:val="21"/>
                <w:szCs w:val="21"/>
              </w:rPr>
            </w:pPr>
            <w:r>
              <w:rPr>
                <w:rFonts w:hint="eastAsia" w:hAnsi="宋体"/>
                <w:color w:val="000000"/>
                <w:spacing w:val="-10"/>
                <w:sz w:val="21"/>
                <w:szCs w:val="21"/>
              </w:rPr>
              <w:t>酸化</w:t>
            </w:r>
          </w:p>
        </w:tc>
        <w:tc>
          <w:tcPr>
            <w:tcW w:w="837" w:type="dxa"/>
            <w:noWrap/>
            <w:tcMar>
              <w:left w:w="28" w:type="dxa"/>
              <w:right w:w="28" w:type="dxa"/>
            </w:tcMar>
            <w:vAlign w:val="center"/>
          </w:tcPr>
          <w:p w14:paraId="736CE9B7">
            <w:pPr>
              <w:spacing w:line="0" w:lineRule="atLeast"/>
              <w:jc w:val="center"/>
              <w:rPr>
                <w:rFonts w:hAnsi="宋体"/>
                <w:color w:val="000000"/>
                <w:spacing w:val="-10"/>
                <w:sz w:val="21"/>
                <w:szCs w:val="21"/>
              </w:rPr>
            </w:pPr>
            <w:r>
              <w:rPr>
                <w:rFonts w:hint="eastAsia" w:hAnsi="宋体"/>
                <w:color w:val="000000"/>
                <w:spacing w:val="-10"/>
                <w:sz w:val="21"/>
                <w:szCs w:val="21"/>
              </w:rPr>
              <w:t>其它</w:t>
            </w:r>
          </w:p>
        </w:tc>
      </w:tr>
      <w:tr w14:paraId="01B928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408" w:type="dxa"/>
            <w:noWrap/>
            <w:tcMar>
              <w:left w:w="28" w:type="dxa"/>
              <w:right w:w="28" w:type="dxa"/>
            </w:tcMar>
            <w:vAlign w:val="center"/>
          </w:tcPr>
          <w:p w14:paraId="28569E11">
            <w:pPr>
              <w:spacing w:line="0" w:lineRule="atLeast"/>
              <w:jc w:val="center"/>
              <w:rPr>
                <w:rFonts w:hAnsi="宋体"/>
                <w:color w:val="000000"/>
                <w:spacing w:val="-10"/>
                <w:sz w:val="21"/>
                <w:szCs w:val="21"/>
              </w:rPr>
            </w:pPr>
            <w:r>
              <w:rPr>
                <w:rFonts w:hint="eastAsia" w:hAnsi="宋体"/>
                <w:color w:val="000000"/>
                <w:spacing w:val="-10"/>
                <w:sz w:val="21"/>
                <w:szCs w:val="21"/>
              </w:rPr>
              <w:t>建设期</w:t>
            </w:r>
          </w:p>
        </w:tc>
        <w:tc>
          <w:tcPr>
            <w:tcW w:w="1102" w:type="dxa"/>
            <w:noWrap/>
            <w:tcMar>
              <w:left w:w="28" w:type="dxa"/>
              <w:right w:w="28" w:type="dxa"/>
            </w:tcMar>
            <w:vAlign w:val="center"/>
          </w:tcPr>
          <w:p w14:paraId="539052B7">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41" w:type="dxa"/>
            <w:noWrap/>
            <w:tcMar>
              <w:left w:w="28" w:type="dxa"/>
              <w:right w:w="28" w:type="dxa"/>
            </w:tcMar>
            <w:vAlign w:val="center"/>
          </w:tcPr>
          <w:p w14:paraId="094088D4">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72" w:type="dxa"/>
            <w:noWrap/>
            <w:tcMar>
              <w:left w:w="28" w:type="dxa"/>
              <w:right w:w="28" w:type="dxa"/>
            </w:tcMar>
            <w:vAlign w:val="center"/>
          </w:tcPr>
          <w:p w14:paraId="3F87D266">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5FDD5A0C">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77DABFFE">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34A4CE12">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3370758E">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4D256419">
            <w:pPr>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695601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408" w:type="dxa"/>
            <w:noWrap/>
            <w:tcMar>
              <w:left w:w="28" w:type="dxa"/>
              <w:right w:w="28" w:type="dxa"/>
            </w:tcMar>
            <w:vAlign w:val="center"/>
          </w:tcPr>
          <w:p w14:paraId="6EC4B55A">
            <w:pPr>
              <w:spacing w:line="0" w:lineRule="atLeast"/>
              <w:jc w:val="center"/>
              <w:rPr>
                <w:rFonts w:hAnsi="宋体"/>
                <w:color w:val="000000"/>
                <w:spacing w:val="-10"/>
                <w:sz w:val="21"/>
                <w:szCs w:val="21"/>
              </w:rPr>
            </w:pPr>
            <w:r>
              <w:rPr>
                <w:rFonts w:hint="eastAsia" w:hAnsi="宋体"/>
                <w:color w:val="000000"/>
                <w:spacing w:val="-10"/>
                <w:sz w:val="21"/>
                <w:szCs w:val="21"/>
              </w:rPr>
              <w:t>运营期</w:t>
            </w:r>
          </w:p>
        </w:tc>
        <w:tc>
          <w:tcPr>
            <w:tcW w:w="1102" w:type="dxa"/>
            <w:noWrap/>
            <w:tcMar>
              <w:left w:w="28" w:type="dxa"/>
              <w:right w:w="28" w:type="dxa"/>
            </w:tcMar>
            <w:vAlign w:val="center"/>
          </w:tcPr>
          <w:p w14:paraId="0A40B5EC">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41" w:type="dxa"/>
            <w:noWrap/>
            <w:tcMar>
              <w:left w:w="28" w:type="dxa"/>
              <w:right w:w="28" w:type="dxa"/>
            </w:tcMar>
            <w:vAlign w:val="center"/>
          </w:tcPr>
          <w:p w14:paraId="1A4D2734">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72" w:type="dxa"/>
            <w:noWrap/>
            <w:tcMar>
              <w:left w:w="28" w:type="dxa"/>
              <w:right w:w="28" w:type="dxa"/>
            </w:tcMar>
            <w:vAlign w:val="center"/>
          </w:tcPr>
          <w:p w14:paraId="14A0BF33">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7CE689FA">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10089DE8">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3D3C84CC">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1FCE090B">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3E11FD7A">
            <w:pPr>
              <w:spacing w:line="0" w:lineRule="atLeast"/>
              <w:jc w:val="center"/>
              <w:rPr>
                <w:rFonts w:hAnsi="宋体"/>
                <w:color w:val="000000"/>
                <w:spacing w:val="-10"/>
                <w:sz w:val="21"/>
                <w:szCs w:val="21"/>
              </w:rPr>
            </w:pPr>
            <w:r>
              <w:rPr>
                <w:rFonts w:hint="eastAsia" w:hAnsi="宋体"/>
                <w:color w:val="000000"/>
                <w:spacing w:val="-10"/>
                <w:sz w:val="21"/>
                <w:szCs w:val="21"/>
              </w:rPr>
              <w:t>--</w:t>
            </w:r>
          </w:p>
        </w:tc>
      </w:tr>
      <w:tr w14:paraId="077C7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408" w:type="dxa"/>
            <w:noWrap/>
            <w:tcMar>
              <w:left w:w="28" w:type="dxa"/>
              <w:right w:w="28" w:type="dxa"/>
            </w:tcMar>
            <w:vAlign w:val="center"/>
          </w:tcPr>
          <w:p w14:paraId="065009CE">
            <w:pPr>
              <w:spacing w:line="0" w:lineRule="atLeast"/>
              <w:jc w:val="center"/>
              <w:rPr>
                <w:rFonts w:hAnsi="宋体"/>
                <w:color w:val="000000"/>
                <w:spacing w:val="-10"/>
                <w:sz w:val="21"/>
                <w:szCs w:val="21"/>
              </w:rPr>
            </w:pPr>
            <w:r>
              <w:rPr>
                <w:rFonts w:hint="eastAsia" w:hAnsi="宋体"/>
                <w:color w:val="000000"/>
                <w:spacing w:val="-10"/>
                <w:sz w:val="21"/>
                <w:szCs w:val="21"/>
              </w:rPr>
              <w:t>服务期满后</w:t>
            </w:r>
          </w:p>
        </w:tc>
        <w:tc>
          <w:tcPr>
            <w:tcW w:w="1102" w:type="dxa"/>
            <w:noWrap/>
            <w:tcMar>
              <w:left w:w="28" w:type="dxa"/>
              <w:right w:w="28" w:type="dxa"/>
            </w:tcMar>
            <w:vAlign w:val="center"/>
          </w:tcPr>
          <w:p w14:paraId="61701CF5">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41" w:type="dxa"/>
            <w:noWrap/>
            <w:tcMar>
              <w:left w:w="28" w:type="dxa"/>
              <w:right w:w="28" w:type="dxa"/>
            </w:tcMar>
            <w:vAlign w:val="center"/>
          </w:tcPr>
          <w:p w14:paraId="5E736E92">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1172" w:type="dxa"/>
            <w:noWrap/>
            <w:tcMar>
              <w:left w:w="28" w:type="dxa"/>
              <w:right w:w="28" w:type="dxa"/>
            </w:tcMar>
            <w:vAlign w:val="center"/>
          </w:tcPr>
          <w:p w14:paraId="110D7725">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5B0E159C">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149F01A3">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9" w:type="dxa"/>
            <w:noWrap/>
            <w:tcMar>
              <w:left w:w="28" w:type="dxa"/>
              <w:right w:w="28" w:type="dxa"/>
            </w:tcMar>
            <w:vAlign w:val="center"/>
          </w:tcPr>
          <w:p w14:paraId="5E327629">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0964A349">
            <w:pPr>
              <w:spacing w:line="0" w:lineRule="atLeast"/>
              <w:jc w:val="center"/>
              <w:rPr>
                <w:rFonts w:hAnsi="宋体"/>
                <w:color w:val="000000"/>
                <w:spacing w:val="-10"/>
                <w:sz w:val="21"/>
                <w:szCs w:val="21"/>
              </w:rPr>
            </w:pPr>
            <w:r>
              <w:rPr>
                <w:rFonts w:hint="eastAsia" w:hAnsi="宋体"/>
                <w:color w:val="000000"/>
                <w:spacing w:val="-10"/>
                <w:sz w:val="21"/>
                <w:szCs w:val="21"/>
              </w:rPr>
              <w:t>--</w:t>
            </w:r>
          </w:p>
        </w:tc>
        <w:tc>
          <w:tcPr>
            <w:tcW w:w="837" w:type="dxa"/>
            <w:noWrap/>
            <w:tcMar>
              <w:left w:w="28" w:type="dxa"/>
              <w:right w:w="28" w:type="dxa"/>
            </w:tcMar>
            <w:vAlign w:val="center"/>
          </w:tcPr>
          <w:p w14:paraId="6870BA4D">
            <w:pPr>
              <w:spacing w:line="0" w:lineRule="atLeast"/>
              <w:jc w:val="center"/>
              <w:rPr>
                <w:rFonts w:hAnsi="宋体"/>
                <w:color w:val="000000"/>
                <w:spacing w:val="-10"/>
                <w:sz w:val="21"/>
                <w:szCs w:val="21"/>
              </w:rPr>
            </w:pPr>
            <w:r>
              <w:rPr>
                <w:rFonts w:hint="eastAsia" w:hAnsi="宋体"/>
                <w:color w:val="000000"/>
                <w:spacing w:val="-10"/>
                <w:sz w:val="21"/>
                <w:szCs w:val="21"/>
              </w:rPr>
              <w:t>--</w:t>
            </w:r>
          </w:p>
        </w:tc>
      </w:tr>
    </w:tbl>
    <w:p w14:paraId="1A2C5DCD">
      <w:pPr>
        <w:spacing w:before="240" w:line="460" w:lineRule="exact"/>
        <w:ind w:firstLine="526" w:firstLineChars="200"/>
        <w:rPr>
          <w:rFonts w:hAnsi="宋体"/>
          <w:color w:val="000000"/>
          <w:szCs w:val="24"/>
        </w:rPr>
      </w:pPr>
      <w:r>
        <w:rPr>
          <w:rFonts w:hint="eastAsia" w:hAnsi="宋体"/>
          <w:color w:val="000000"/>
          <w:szCs w:val="24"/>
        </w:rPr>
        <w:t>（3）影响源及影响因子</w:t>
      </w:r>
    </w:p>
    <w:p w14:paraId="5A226C63">
      <w:pPr>
        <w:spacing w:line="460" w:lineRule="exact"/>
        <w:ind w:firstLine="518" w:firstLineChars="200"/>
        <w:rPr>
          <w:rFonts w:hint="eastAsia"/>
          <w:color w:val="000000"/>
          <w:spacing w:val="3"/>
          <w:szCs w:val="24"/>
        </w:rPr>
      </w:pPr>
      <w:r>
        <w:rPr>
          <w:rFonts w:hint="eastAsia" w:hAnsi="宋体" w:cs="宋体"/>
          <w:color w:val="000000"/>
          <w:spacing w:val="3"/>
          <w:szCs w:val="24"/>
        </w:rPr>
        <w:t>拟建工程管线输送介质为采出液，集输管线破裂时，石油烃可能会下渗到土壤中，造成一定的影响。因此本评价选取石油烃作为代表性污染物进行预测。拟建工程土壤环境影响源及影响因子识别结果参见表5.4-2</w:t>
      </w:r>
      <w:r>
        <w:rPr>
          <w:rFonts w:hint="eastAsia"/>
          <w:color w:val="000000"/>
          <w:spacing w:val="3"/>
          <w:szCs w:val="24"/>
        </w:rPr>
        <w:t>。</w:t>
      </w:r>
    </w:p>
    <w:p w14:paraId="5AD16832">
      <w:pPr>
        <w:spacing w:line="460" w:lineRule="exact"/>
        <w:ind w:firstLine="526" w:firstLineChars="200"/>
        <w:rPr>
          <w:rFonts w:hint="eastAsia" w:ascii="黑体" w:hAnsi="黑体" w:eastAsia="黑体"/>
          <w:color w:val="000000"/>
          <w:szCs w:val="24"/>
        </w:rPr>
      </w:pPr>
      <w:r>
        <w:rPr>
          <w:rFonts w:hint="eastAsia" w:ascii="黑体" w:hAnsi="黑体" w:eastAsia="黑体"/>
          <w:color w:val="000000"/>
          <w:szCs w:val="24"/>
        </w:rPr>
        <w:t>表5.4-2       土壤环境影响源及影响因子识别表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26"/>
        <w:gridCol w:w="2238"/>
        <w:gridCol w:w="1852"/>
        <w:gridCol w:w="1599"/>
      </w:tblGrid>
      <w:tr w14:paraId="5DEB83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26" w:type="dxa"/>
            <w:tcMar>
              <w:left w:w="28" w:type="dxa"/>
              <w:right w:w="28" w:type="dxa"/>
            </w:tcMar>
            <w:vAlign w:val="center"/>
          </w:tcPr>
          <w:p w14:paraId="0A3A96B8">
            <w:pPr>
              <w:spacing w:line="0" w:lineRule="atLeast"/>
              <w:jc w:val="center"/>
              <w:rPr>
                <w:rFonts w:hAnsi="宋体"/>
                <w:color w:val="000000"/>
                <w:spacing w:val="-10"/>
                <w:sz w:val="21"/>
                <w:szCs w:val="21"/>
              </w:rPr>
            </w:pPr>
            <w:r>
              <w:rPr>
                <w:rFonts w:hint="eastAsia" w:hAnsi="宋体"/>
                <w:color w:val="000000"/>
                <w:spacing w:val="-10"/>
                <w:sz w:val="21"/>
                <w:szCs w:val="21"/>
              </w:rPr>
              <w:t>污染源</w:t>
            </w:r>
          </w:p>
        </w:tc>
        <w:tc>
          <w:tcPr>
            <w:tcW w:w="2238" w:type="dxa"/>
            <w:tcMar>
              <w:left w:w="28" w:type="dxa"/>
              <w:right w:w="28" w:type="dxa"/>
            </w:tcMar>
            <w:vAlign w:val="center"/>
          </w:tcPr>
          <w:p w14:paraId="08544A36">
            <w:pPr>
              <w:spacing w:line="0" w:lineRule="atLeast"/>
              <w:jc w:val="center"/>
              <w:rPr>
                <w:rFonts w:hAnsi="宋体"/>
                <w:color w:val="000000"/>
                <w:spacing w:val="-10"/>
                <w:sz w:val="21"/>
                <w:szCs w:val="21"/>
              </w:rPr>
            </w:pPr>
            <w:r>
              <w:rPr>
                <w:rFonts w:hint="eastAsia" w:hAnsi="宋体"/>
                <w:color w:val="000000"/>
                <w:spacing w:val="-10"/>
                <w:sz w:val="21"/>
                <w:szCs w:val="21"/>
              </w:rPr>
              <w:t>污染途径</w:t>
            </w:r>
          </w:p>
        </w:tc>
        <w:tc>
          <w:tcPr>
            <w:tcW w:w="1852" w:type="dxa"/>
            <w:tcMar>
              <w:left w:w="28" w:type="dxa"/>
              <w:right w:w="28" w:type="dxa"/>
            </w:tcMar>
            <w:vAlign w:val="center"/>
          </w:tcPr>
          <w:p w14:paraId="16D07ED6">
            <w:pPr>
              <w:spacing w:line="0" w:lineRule="atLeast"/>
              <w:jc w:val="center"/>
              <w:rPr>
                <w:rFonts w:hAnsi="宋体"/>
                <w:color w:val="000000"/>
                <w:spacing w:val="-10"/>
                <w:sz w:val="21"/>
                <w:szCs w:val="21"/>
              </w:rPr>
            </w:pPr>
            <w:r>
              <w:rPr>
                <w:rFonts w:hint="eastAsia" w:hAnsi="宋体"/>
                <w:color w:val="000000"/>
                <w:spacing w:val="-10"/>
                <w:sz w:val="21"/>
                <w:szCs w:val="21"/>
              </w:rPr>
              <w:t>特征因子</w:t>
            </w:r>
          </w:p>
        </w:tc>
        <w:tc>
          <w:tcPr>
            <w:tcW w:w="1599" w:type="dxa"/>
            <w:tcMar>
              <w:left w:w="28" w:type="dxa"/>
              <w:right w:w="28" w:type="dxa"/>
            </w:tcMar>
            <w:vAlign w:val="center"/>
          </w:tcPr>
          <w:p w14:paraId="2E860D97">
            <w:pPr>
              <w:spacing w:line="0" w:lineRule="atLeast"/>
              <w:jc w:val="center"/>
              <w:rPr>
                <w:rFonts w:hAnsi="宋体"/>
                <w:color w:val="000000"/>
                <w:spacing w:val="-10"/>
                <w:sz w:val="21"/>
                <w:szCs w:val="21"/>
              </w:rPr>
            </w:pPr>
            <w:r>
              <w:rPr>
                <w:rFonts w:hint="eastAsia" w:hAnsi="宋体"/>
                <w:color w:val="000000"/>
                <w:spacing w:val="-10"/>
                <w:sz w:val="21"/>
                <w:szCs w:val="21"/>
              </w:rPr>
              <w:t>备注</w:t>
            </w:r>
          </w:p>
        </w:tc>
      </w:tr>
      <w:tr w14:paraId="4B635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26" w:type="dxa"/>
            <w:tcMar>
              <w:left w:w="28" w:type="dxa"/>
              <w:right w:w="28" w:type="dxa"/>
            </w:tcMar>
            <w:vAlign w:val="center"/>
          </w:tcPr>
          <w:p w14:paraId="467B6530">
            <w:pPr>
              <w:spacing w:line="0" w:lineRule="atLeast"/>
              <w:jc w:val="center"/>
              <w:rPr>
                <w:rFonts w:hint="eastAsia" w:hAnsi="宋体"/>
                <w:color w:val="000000"/>
                <w:spacing w:val="-10"/>
                <w:sz w:val="21"/>
                <w:szCs w:val="21"/>
              </w:rPr>
            </w:pPr>
            <w:r>
              <w:rPr>
                <w:rFonts w:hint="eastAsia" w:hAnsi="宋体"/>
                <w:color w:val="000000"/>
                <w:spacing w:val="-10"/>
                <w:sz w:val="21"/>
                <w:szCs w:val="21"/>
              </w:rPr>
              <w:t>集输管线破裂泄漏</w:t>
            </w:r>
          </w:p>
        </w:tc>
        <w:tc>
          <w:tcPr>
            <w:tcW w:w="2238" w:type="dxa"/>
            <w:tcMar>
              <w:left w:w="28" w:type="dxa"/>
              <w:right w:w="28" w:type="dxa"/>
            </w:tcMar>
            <w:vAlign w:val="center"/>
          </w:tcPr>
          <w:p w14:paraId="298C90C8">
            <w:pPr>
              <w:spacing w:line="0" w:lineRule="atLeast"/>
              <w:jc w:val="center"/>
              <w:rPr>
                <w:rFonts w:hint="eastAsia" w:hAnsi="宋体"/>
                <w:color w:val="000000"/>
                <w:spacing w:val="-10"/>
                <w:sz w:val="21"/>
                <w:szCs w:val="21"/>
              </w:rPr>
            </w:pPr>
            <w:r>
              <w:rPr>
                <w:rFonts w:hint="eastAsia" w:hAnsi="宋体"/>
                <w:color w:val="000000"/>
                <w:spacing w:val="-10"/>
                <w:sz w:val="21"/>
                <w:szCs w:val="21"/>
              </w:rPr>
              <w:t>垂直入渗</w:t>
            </w:r>
          </w:p>
        </w:tc>
        <w:tc>
          <w:tcPr>
            <w:tcW w:w="1852" w:type="dxa"/>
            <w:tcMar>
              <w:left w:w="28" w:type="dxa"/>
              <w:right w:w="28" w:type="dxa"/>
            </w:tcMar>
            <w:vAlign w:val="center"/>
          </w:tcPr>
          <w:p w14:paraId="4CB5C5B2">
            <w:pPr>
              <w:spacing w:line="0" w:lineRule="atLeast"/>
              <w:jc w:val="center"/>
              <w:rPr>
                <w:rFonts w:hint="eastAsia" w:hAnsi="宋体"/>
                <w:color w:val="000000"/>
                <w:spacing w:val="-10"/>
                <w:sz w:val="21"/>
                <w:szCs w:val="21"/>
              </w:rPr>
            </w:pPr>
            <w:r>
              <w:rPr>
                <w:rFonts w:hint="eastAsia" w:hAnsi="宋体"/>
                <w:color w:val="000000"/>
                <w:spacing w:val="-10"/>
                <w:sz w:val="21"/>
                <w:szCs w:val="21"/>
              </w:rPr>
              <w:t>石油烃</w:t>
            </w:r>
          </w:p>
        </w:tc>
        <w:tc>
          <w:tcPr>
            <w:tcW w:w="1599" w:type="dxa"/>
            <w:tcMar>
              <w:left w:w="28" w:type="dxa"/>
              <w:right w:w="28" w:type="dxa"/>
            </w:tcMar>
            <w:vAlign w:val="center"/>
          </w:tcPr>
          <w:p w14:paraId="04667E84">
            <w:pPr>
              <w:spacing w:line="0" w:lineRule="atLeast"/>
              <w:jc w:val="center"/>
              <w:rPr>
                <w:rFonts w:hint="eastAsia" w:hAnsi="宋体"/>
                <w:color w:val="000000"/>
                <w:spacing w:val="-10"/>
                <w:sz w:val="21"/>
                <w:szCs w:val="21"/>
              </w:rPr>
            </w:pPr>
            <w:r>
              <w:rPr>
                <w:rFonts w:hint="eastAsia" w:hAnsi="宋体"/>
                <w:color w:val="000000"/>
                <w:spacing w:val="-10"/>
                <w:sz w:val="21"/>
                <w:szCs w:val="21"/>
              </w:rPr>
              <w:t>事故工况</w:t>
            </w:r>
          </w:p>
        </w:tc>
      </w:tr>
    </w:tbl>
    <w:p w14:paraId="5360630A">
      <w:pPr>
        <w:tabs>
          <w:tab w:val="center" w:pos="4479"/>
        </w:tabs>
        <w:spacing w:before="240" w:line="460" w:lineRule="exact"/>
        <w:outlineLvl w:val="3"/>
        <w:rPr>
          <w:rFonts w:hAnsi="宋体" w:cs="宋体"/>
          <w:color w:val="000000"/>
          <w:szCs w:val="24"/>
        </w:rPr>
      </w:pPr>
      <w:r>
        <w:rPr>
          <w:rFonts w:hint="eastAsia" w:hAnsi="宋体" w:cs="宋体"/>
          <w:color w:val="000000"/>
          <w:szCs w:val="24"/>
        </w:rPr>
        <w:t>5.4.2.2 土壤环境影响预测与评价</w:t>
      </w:r>
    </w:p>
    <w:p w14:paraId="5A7C62C5">
      <w:pPr>
        <w:spacing w:line="460" w:lineRule="exact"/>
        <w:ind w:firstLine="526" w:firstLineChars="200"/>
        <w:rPr>
          <w:rFonts w:hint="eastAsia" w:hAnsi="宋体" w:cs="宋体"/>
          <w:color w:val="000000"/>
          <w:szCs w:val="24"/>
        </w:rPr>
      </w:pPr>
      <w:r>
        <w:rPr>
          <w:rFonts w:hint="eastAsia" w:hAnsi="宋体" w:cs="宋体"/>
          <w:color w:val="000000"/>
          <w:szCs w:val="24"/>
        </w:rPr>
        <w:t>（1）</w:t>
      </w:r>
      <w:r>
        <w:rPr>
          <w:rFonts w:hint="eastAsia" w:hAnsi="宋体" w:cs="宋体"/>
          <w:snapToGrid w:val="0"/>
          <w:color w:val="000000"/>
          <w:kern w:val="0"/>
          <w:szCs w:val="24"/>
        </w:rPr>
        <w:t>预测情景</w:t>
      </w:r>
    </w:p>
    <w:p w14:paraId="0219B5A0">
      <w:pPr>
        <w:spacing w:line="460" w:lineRule="exact"/>
        <w:ind w:firstLine="526" w:firstLineChars="200"/>
        <w:rPr>
          <w:rFonts w:hint="eastAsia" w:hAnsi="宋体" w:cs="宋体"/>
          <w:color w:val="000000"/>
          <w:szCs w:val="24"/>
        </w:rPr>
      </w:pPr>
      <w:r>
        <w:rPr>
          <w:rFonts w:hint="eastAsia" w:hAnsi="宋体" w:cs="宋体"/>
          <w:color w:val="000000"/>
          <w:szCs w:val="24"/>
        </w:rPr>
        <w:t>拟建工程实施后，由于严格按照要求采取防渗措施，在正常工况下不会发生油品渗漏进入土壤。因此，垂直入渗造成土壤污染主要为非正常泄漏工况，</w:t>
      </w:r>
      <w:r>
        <w:rPr>
          <w:rFonts w:hint="eastAsia" w:hAnsi="宋体" w:cs="宋体"/>
          <w:snapToGrid w:val="0"/>
          <w:color w:val="000000"/>
          <w:kern w:val="0"/>
          <w:szCs w:val="24"/>
        </w:rPr>
        <w:t>根据企业的实际情况分析，结合前文“影响源及影响因子”。综合考虑拟建工程物料特性及土壤特征，本次评价重点针对管线破损泄漏的石油烃对土壤垂直下渗的污染，作为预测情景</w:t>
      </w:r>
      <w:r>
        <w:rPr>
          <w:rFonts w:hint="eastAsia" w:hAnsi="宋体" w:cs="宋体"/>
          <w:color w:val="000000"/>
          <w:szCs w:val="24"/>
        </w:rPr>
        <w:t>。</w:t>
      </w:r>
    </w:p>
    <w:p w14:paraId="7C4F763C">
      <w:pPr>
        <w:spacing w:line="460" w:lineRule="exact"/>
        <w:ind w:firstLine="526" w:firstLineChars="200"/>
        <w:rPr>
          <w:rFonts w:hint="eastAsia" w:hAnsi="宋体" w:cs="宋体"/>
          <w:color w:val="000000"/>
          <w:szCs w:val="24"/>
        </w:rPr>
      </w:pPr>
      <w:r>
        <w:rPr>
          <w:rFonts w:hint="eastAsia" w:hAnsi="宋体" w:cs="宋体"/>
          <w:color w:val="000000"/>
          <w:szCs w:val="24"/>
        </w:rPr>
        <w:t>（2）预测模型</w:t>
      </w:r>
    </w:p>
    <w:p w14:paraId="1D151B74">
      <w:pPr>
        <w:spacing w:line="460" w:lineRule="exact"/>
        <w:ind w:firstLine="539"/>
        <w:rPr>
          <w:rFonts w:hint="eastAsia" w:hAnsi="宋体" w:cs="宋体"/>
          <w:color w:val="000000"/>
          <w:szCs w:val="24"/>
        </w:rPr>
      </w:pPr>
      <w:r>
        <w:rPr>
          <w:rFonts w:hint="eastAsia" w:hAnsi="宋体" w:cs="宋体"/>
          <w:color w:val="000000"/>
          <w:szCs w:val="24"/>
        </w:rPr>
        <w:t>根据《环境影响评价技术导则 土壤环境（试行）》（HJ964-2018）附录E中预测方法对拟建工程垂直入渗对区域土壤环境影响进行预测，预测公式如下：</w:t>
      </w:r>
    </w:p>
    <w:p w14:paraId="7E7BC7F7">
      <w:pPr>
        <w:numPr>
          <w:ilvl w:val="0"/>
          <w:numId w:val="2"/>
        </w:numPr>
        <w:spacing w:line="480" w:lineRule="exact"/>
        <w:rPr>
          <w:rFonts w:hint="eastAsia" w:hAnsi="宋体" w:cs="宋体"/>
          <w:color w:val="000000"/>
          <w:szCs w:val="24"/>
        </w:rPr>
      </w:pPr>
      <w:r>
        <w:rPr>
          <w:rFonts w:hint="eastAsia" w:hAnsi="宋体" w:cs="宋体"/>
          <w:color w:val="000000"/>
          <w:szCs w:val="24"/>
        </w:rPr>
        <w:t>维非饱和溶质垂向运移控制方程：</w:t>
      </w:r>
    </w:p>
    <w:p w14:paraId="67F39904">
      <w:pPr>
        <w:pStyle w:val="13"/>
        <w:adjustRightInd w:val="0"/>
        <w:spacing w:after="0"/>
        <w:rPr>
          <w:rFonts w:hint="eastAsia" w:hAnsi="宋体"/>
          <w:color w:val="000000"/>
          <w:szCs w:val="24"/>
        </w:rPr>
      </w:pPr>
      <w:r>
        <w:rPr>
          <w:rFonts w:hint="eastAsia" w:hAnsi="宋体"/>
          <w:color w:val="000000"/>
          <w:szCs w:val="24"/>
        </w:rPr>
        <w:t xml:space="preserve">                     </w:t>
      </w:r>
      <w:r>
        <w:rPr>
          <w:rFonts w:hint="eastAsia" w:hAnsi="宋体"/>
          <w:color w:val="000000"/>
          <w:szCs w:val="24"/>
        </w:rPr>
        <w:pict>
          <v:shape id="_x0000_i1026" o:spt="75" type="#_x0000_t75" style="height:31.5pt;width:148.6pt;" filled="f" o:preferrelative="t" stroked="f" coordsize="21600,21600">
            <v:path/>
            <v:fill on="f" focussize="0,0"/>
            <v:stroke on="f"/>
            <v:imagedata r:id="rId37" o:title=""/>
            <o:lock v:ext="edit" aspectratio="t"/>
            <w10:wrap type="none"/>
            <w10:anchorlock/>
          </v:shape>
        </w:pict>
      </w:r>
      <w:r>
        <w:rPr>
          <w:rFonts w:hint="eastAsia" w:hAnsi="宋体"/>
          <w:color w:val="000000"/>
          <w:szCs w:val="24"/>
        </w:rPr>
        <w:t xml:space="preserve"> </w:t>
      </w:r>
    </w:p>
    <w:p w14:paraId="0BCEC951">
      <w:pPr>
        <w:spacing w:line="480" w:lineRule="exact"/>
        <w:ind w:firstLine="465"/>
        <w:rPr>
          <w:rFonts w:hint="eastAsia" w:hAnsi="宋体" w:cs="宋体"/>
          <w:color w:val="000000"/>
          <w:szCs w:val="24"/>
        </w:rPr>
      </w:pPr>
      <w:r>
        <w:rPr>
          <w:rFonts w:hint="eastAsia" w:hAnsi="宋体" w:cs="宋体"/>
          <w:color w:val="000000"/>
          <w:szCs w:val="24"/>
        </w:rPr>
        <w:t>式中：c--污染物介质中的浓度，mg/L；</w:t>
      </w:r>
    </w:p>
    <w:p w14:paraId="57379220">
      <w:pPr>
        <w:spacing w:line="480" w:lineRule="exact"/>
        <w:ind w:firstLine="465"/>
        <w:rPr>
          <w:rFonts w:hint="eastAsia" w:hAnsi="宋体" w:cs="宋体"/>
          <w:color w:val="000000"/>
          <w:szCs w:val="24"/>
        </w:rPr>
      </w:pPr>
      <w:r>
        <w:rPr>
          <w:rFonts w:hint="eastAsia" w:hAnsi="宋体" w:cs="宋体"/>
          <w:color w:val="000000"/>
          <w:szCs w:val="24"/>
        </w:rPr>
        <w:t xml:space="preserve">      D--弥散系数，m</w:t>
      </w:r>
      <w:r>
        <w:rPr>
          <w:rFonts w:hint="eastAsia" w:hAnsi="宋体" w:cs="宋体"/>
          <w:color w:val="000000"/>
          <w:szCs w:val="24"/>
          <w:vertAlign w:val="superscript"/>
        </w:rPr>
        <w:t>2</w:t>
      </w:r>
      <w:r>
        <w:rPr>
          <w:rFonts w:hint="eastAsia" w:hAnsi="宋体" w:cs="宋体"/>
          <w:color w:val="000000"/>
          <w:szCs w:val="24"/>
        </w:rPr>
        <w:t>/d；</w:t>
      </w:r>
    </w:p>
    <w:p w14:paraId="740A8D65">
      <w:pPr>
        <w:spacing w:line="480" w:lineRule="exact"/>
        <w:ind w:firstLine="465"/>
        <w:rPr>
          <w:rFonts w:hint="eastAsia" w:hAnsi="宋体" w:cs="宋体"/>
          <w:color w:val="000000"/>
          <w:szCs w:val="24"/>
        </w:rPr>
      </w:pPr>
      <w:r>
        <w:rPr>
          <w:rFonts w:hint="eastAsia" w:hAnsi="宋体" w:cs="宋体"/>
          <w:color w:val="000000"/>
          <w:szCs w:val="24"/>
        </w:rPr>
        <w:t xml:space="preserve">      q--渗流速度，m/d；</w:t>
      </w:r>
    </w:p>
    <w:p w14:paraId="117072E4">
      <w:pPr>
        <w:spacing w:line="480" w:lineRule="exact"/>
        <w:ind w:firstLine="465"/>
        <w:rPr>
          <w:rFonts w:hint="eastAsia" w:hAnsi="宋体" w:cs="宋体"/>
          <w:color w:val="000000"/>
          <w:szCs w:val="24"/>
        </w:rPr>
      </w:pPr>
      <w:r>
        <w:rPr>
          <w:rFonts w:hint="eastAsia" w:hAnsi="宋体" w:cs="宋体"/>
          <w:color w:val="000000"/>
          <w:szCs w:val="24"/>
        </w:rPr>
        <w:t xml:space="preserve">      z--沿z轴的距离，m；</w:t>
      </w:r>
    </w:p>
    <w:p w14:paraId="7362949D">
      <w:pPr>
        <w:spacing w:line="480" w:lineRule="exact"/>
        <w:ind w:firstLine="465"/>
        <w:rPr>
          <w:rFonts w:hint="eastAsia" w:hAnsi="宋体" w:cs="宋体"/>
          <w:color w:val="000000"/>
          <w:szCs w:val="24"/>
        </w:rPr>
      </w:pPr>
      <w:r>
        <w:rPr>
          <w:rFonts w:hint="eastAsia" w:hAnsi="宋体"/>
          <w:color w:val="000000"/>
          <w:szCs w:val="24"/>
        </w:rPr>
        <w:t xml:space="preserve">  </w:t>
      </w:r>
      <w:r>
        <w:rPr>
          <w:rFonts w:hint="eastAsia" w:hAnsi="宋体" w:cs="宋体"/>
          <w:color w:val="000000"/>
          <w:szCs w:val="24"/>
        </w:rPr>
        <w:t xml:space="preserve">    t--时间变量，d；</w:t>
      </w:r>
    </w:p>
    <w:p w14:paraId="39873769">
      <w:pPr>
        <w:spacing w:line="480" w:lineRule="exact"/>
        <w:ind w:firstLine="526" w:firstLineChars="200"/>
        <w:rPr>
          <w:rFonts w:hint="eastAsia" w:hAnsi="宋体" w:cs="宋体"/>
          <w:color w:val="000000"/>
          <w:szCs w:val="24"/>
        </w:rPr>
      </w:pPr>
      <w:r>
        <w:rPr>
          <w:rFonts w:hint="eastAsia" w:hAnsi="宋体" w:cs="宋体"/>
          <w:color w:val="000000"/>
          <w:szCs w:val="24"/>
        </w:rPr>
        <w:t xml:space="preserve">     θ-土壤含水率，%。</w:t>
      </w:r>
    </w:p>
    <w:p w14:paraId="18436B01">
      <w:pPr>
        <w:spacing w:line="480" w:lineRule="exact"/>
        <w:ind w:firstLine="465"/>
        <w:rPr>
          <w:rFonts w:hint="eastAsia" w:hAnsi="宋体" w:cs="宋体"/>
          <w:color w:val="000000"/>
          <w:szCs w:val="24"/>
        </w:rPr>
      </w:pPr>
      <w:r>
        <w:rPr>
          <w:rFonts w:hint="eastAsia" w:hAnsi="宋体"/>
          <w:color w:val="000000"/>
          <w:szCs w:val="24"/>
        </w:rPr>
        <w:t>②</w:t>
      </w:r>
      <w:r>
        <w:rPr>
          <w:rFonts w:hint="eastAsia" w:hAnsi="宋体" w:cs="宋体"/>
          <w:color w:val="000000"/>
          <w:szCs w:val="24"/>
        </w:rPr>
        <w:t>初始条件</w:t>
      </w:r>
    </w:p>
    <w:p w14:paraId="1B5A55A5">
      <w:pPr>
        <w:pStyle w:val="13"/>
        <w:adjustRightInd w:val="0"/>
        <w:spacing w:before="120" w:after="0" w:line="480" w:lineRule="exact"/>
        <w:rPr>
          <w:rFonts w:hint="eastAsia" w:hAnsi="宋体" w:eastAsia="宋体"/>
          <w:color w:val="000000"/>
          <w:sz w:val="24"/>
          <w:szCs w:val="24"/>
        </w:rPr>
      </w:pPr>
      <w:r>
        <w:rPr>
          <w:rFonts w:hint="eastAsia" w:hAnsi="宋体"/>
          <w:color w:val="000000"/>
          <w:szCs w:val="24"/>
        </w:rPr>
        <w:t xml:space="preserve">                  </w:t>
      </w:r>
      <w:r>
        <w:rPr>
          <w:rFonts w:hAnsi="宋体"/>
          <w:color w:val="000000"/>
          <w:szCs w:val="24"/>
        </w:rPr>
        <w:pict>
          <v:shape id="_x0000_i1027" o:spt="75" type="#_x0000_t75" style="height:19.85pt;width:197pt;" filled="f" o:preferrelative="t" stroked="f" coordsize="21600,21600">
            <v:path/>
            <v:fill on="f" focussize="0,0"/>
            <v:stroke on="f"/>
            <v:imagedata r:id="rId38" o:title=""/>
            <o:lock v:ext="edit" aspectratio="t"/>
            <w10:wrap type="none"/>
            <w10:anchorlock/>
          </v:shape>
        </w:pict>
      </w:r>
      <w:r>
        <w:rPr>
          <w:rFonts w:hint="eastAsia" w:hAnsi="宋体" w:eastAsia="宋体"/>
          <w:color w:val="000000"/>
          <w:sz w:val="24"/>
          <w:szCs w:val="24"/>
        </w:rPr>
        <w:t xml:space="preserve"> </w:t>
      </w:r>
    </w:p>
    <w:p w14:paraId="66909B22">
      <w:pPr>
        <w:spacing w:line="480" w:lineRule="exact"/>
        <w:ind w:firstLine="526" w:firstLineChars="200"/>
        <w:rPr>
          <w:rFonts w:hint="eastAsia" w:hAnsi="宋体" w:cs="宋体"/>
          <w:color w:val="000000"/>
          <w:szCs w:val="24"/>
        </w:rPr>
      </w:pPr>
      <w:r>
        <w:rPr>
          <w:rFonts w:hint="eastAsia" w:hAnsi="宋体" w:cs="宋体"/>
          <w:color w:val="000000"/>
          <w:szCs w:val="24"/>
        </w:rPr>
        <w:t>③边界条件</w:t>
      </w:r>
    </w:p>
    <w:p w14:paraId="451F3FC0">
      <w:pPr>
        <w:spacing w:line="480" w:lineRule="exact"/>
        <w:ind w:firstLine="526" w:firstLineChars="200"/>
        <w:rPr>
          <w:rFonts w:hint="eastAsia" w:hAnsi="宋体" w:cs="宋体"/>
          <w:color w:val="000000"/>
          <w:szCs w:val="24"/>
        </w:rPr>
      </w:pPr>
      <w:r>
        <w:rPr>
          <w:rFonts w:hint="eastAsia" w:hAnsi="宋体" w:cs="宋体"/>
          <w:color w:val="000000"/>
          <w:szCs w:val="24"/>
        </w:rPr>
        <w:t>第一类Dirichlet边界条件：</w:t>
      </w:r>
    </w:p>
    <w:p w14:paraId="0874B3CE">
      <w:pPr>
        <w:spacing w:line="480" w:lineRule="exact"/>
        <w:ind w:firstLine="526" w:firstLineChars="200"/>
        <w:rPr>
          <w:rFonts w:hint="eastAsia" w:hAnsi="宋体" w:cs="宋体"/>
          <w:color w:val="000000"/>
          <w:szCs w:val="24"/>
        </w:rPr>
      </w:pPr>
      <w:r>
        <w:rPr>
          <w:rFonts w:hint="eastAsia" w:hAnsi="宋体" w:cs="宋体"/>
          <w:color w:val="000000"/>
          <w:szCs w:val="24"/>
        </w:rPr>
        <w:t>a.连续点源：</w:t>
      </w:r>
    </w:p>
    <w:p w14:paraId="79FDDA3C">
      <w:pPr>
        <w:spacing w:before="240" w:line="480" w:lineRule="exact"/>
        <w:jc w:val="center"/>
        <w:rPr>
          <w:rFonts w:hint="eastAsia" w:hAnsi="宋体"/>
          <w:color w:val="000000"/>
          <w:szCs w:val="24"/>
        </w:rPr>
      </w:pPr>
      <w:r>
        <w:rPr>
          <w:rFonts w:hAnsi="宋体"/>
          <w:color w:val="000000"/>
          <w:szCs w:val="24"/>
        </w:rPr>
        <w:pict>
          <v:shape id="_x0000_i1028" o:spt="75" type="#_x0000_t75" style="height:15.75pt;width:138pt;" filled="f" o:preferrelative="t" stroked="f" coordsize="21600,21600">
            <v:path/>
            <v:fill on="f" focussize="0,0"/>
            <v:stroke on="f"/>
            <v:imagedata r:id="rId39" r:href="rId40" o:title=""/>
            <o:lock v:ext="edit" aspectratio="t"/>
            <w10:wrap type="none"/>
            <w10:anchorlock/>
          </v:shape>
        </w:pict>
      </w:r>
      <w:r>
        <w:rPr>
          <w:rFonts w:hint="eastAsia" w:hAnsi="宋体"/>
          <w:color w:val="000000"/>
          <w:szCs w:val="24"/>
        </w:rPr>
        <w:t xml:space="preserve"> </w:t>
      </w:r>
    </w:p>
    <w:p w14:paraId="5453F7A0">
      <w:pPr>
        <w:pStyle w:val="34"/>
        <w:spacing w:before="240" w:line="480" w:lineRule="exact"/>
        <w:rPr>
          <w:rFonts w:hAnsi="宋体"/>
          <w:color w:val="000000"/>
          <w:szCs w:val="24"/>
        </w:rPr>
      </w:pPr>
      <w:r>
        <w:rPr>
          <w:rFonts w:hAnsi="宋体"/>
          <w:color w:val="000000"/>
          <w:szCs w:val="24"/>
        </w:rPr>
        <w:t xml:space="preserve">                     </w:t>
      </w:r>
      <w:r>
        <w:rPr>
          <w:rFonts w:hAnsi="宋体"/>
          <w:color w:val="000000"/>
          <w:szCs w:val="24"/>
        </w:rPr>
        <w:pict>
          <v:shape id="_x0000_i1029" o:spt="75" type="#_x0000_t75" style="height:31.5pt;width:159.85pt;" filled="f" o:preferrelative="t" stroked="f" coordsize="21600,21600">
            <v:path/>
            <v:fill on="f" focussize="0,0"/>
            <v:stroke on="f"/>
            <v:imagedata r:id="rId41" o:title=""/>
            <o:lock v:ext="edit" aspectratio="t"/>
            <w10:wrap type="none"/>
            <w10:anchorlock/>
          </v:shape>
        </w:pict>
      </w:r>
    </w:p>
    <w:p w14:paraId="29CFDDD0">
      <w:pPr>
        <w:spacing w:line="480" w:lineRule="exact"/>
        <w:ind w:firstLine="526" w:firstLineChars="200"/>
        <w:rPr>
          <w:rFonts w:hint="eastAsia" w:hAnsi="宋体"/>
          <w:color w:val="000000"/>
          <w:szCs w:val="24"/>
        </w:rPr>
      </w:pPr>
      <w:r>
        <w:rPr>
          <w:rFonts w:hint="eastAsia" w:hAnsi="宋体" w:cs="宋体"/>
          <w:color w:val="000000"/>
          <w:szCs w:val="24"/>
        </w:rPr>
        <w:t>b.</w:t>
      </w:r>
      <w:r>
        <w:rPr>
          <w:rFonts w:hint="eastAsia" w:hAnsi="宋体"/>
          <w:color w:val="000000"/>
          <w:szCs w:val="24"/>
        </w:rPr>
        <w:t>非连续点源：</w:t>
      </w:r>
    </w:p>
    <w:p w14:paraId="6EF5CEB4">
      <w:pPr>
        <w:spacing w:line="480" w:lineRule="exact"/>
        <w:ind w:firstLine="465"/>
        <w:rPr>
          <w:rFonts w:hint="eastAsia" w:hAnsi="宋体" w:cs="宋体"/>
          <w:color w:val="000000"/>
          <w:szCs w:val="24"/>
        </w:rPr>
      </w:pPr>
      <w:r>
        <w:rPr>
          <w:rFonts w:hint="eastAsia" w:hAnsi="宋体" w:cs="宋体"/>
          <w:color w:val="000000"/>
          <w:szCs w:val="24"/>
        </w:rPr>
        <w:t>第二类Neumann零梯度边界条件：</w:t>
      </w:r>
    </w:p>
    <w:p w14:paraId="76CBF32A">
      <w:pPr>
        <w:spacing w:before="240" w:line="480" w:lineRule="exact"/>
        <w:rPr>
          <w:rFonts w:hint="eastAsia" w:hAnsi="宋体"/>
          <w:color w:val="000000"/>
          <w:szCs w:val="24"/>
        </w:rPr>
      </w:pPr>
      <w:r>
        <w:rPr>
          <w:rFonts w:hint="eastAsia" w:hAnsi="宋体"/>
          <w:color w:val="000000"/>
          <w:szCs w:val="24"/>
        </w:rPr>
        <w:t xml:space="preserve">                     </w:t>
      </w:r>
      <w:r>
        <w:rPr>
          <w:rFonts w:hAnsi="宋体"/>
          <w:color w:val="000000"/>
          <w:szCs w:val="24"/>
        </w:rPr>
        <w:pict>
          <v:shape id="_x0000_i1030" o:spt="75" type="#_x0000_t75" style="height:31.5pt;width:147.1pt;" filled="f" o:preferrelative="t" stroked="f" coordsize="21600,21600">
            <v:path/>
            <v:fill on="f" focussize="0,0"/>
            <v:stroke on="f"/>
            <v:imagedata r:id="rId42" o:title=""/>
            <o:lock v:ext="edit" aspectratio="t"/>
            <w10:wrap type="none"/>
            <w10:anchorlock/>
          </v:shape>
        </w:pict>
      </w:r>
    </w:p>
    <w:p w14:paraId="6B3FDE26">
      <w:pPr>
        <w:spacing w:line="480" w:lineRule="exact"/>
        <w:ind w:firstLine="526" w:firstLineChars="200"/>
        <w:rPr>
          <w:rFonts w:hint="eastAsia" w:hAnsi="宋体" w:cs="宋体"/>
          <w:color w:val="000000"/>
          <w:szCs w:val="24"/>
        </w:rPr>
      </w:pPr>
      <w:r>
        <w:rPr>
          <w:rFonts w:hint="eastAsia" w:hAnsi="宋体" w:cs="宋体"/>
          <w:color w:val="000000"/>
          <w:szCs w:val="24"/>
        </w:rPr>
        <w:t>（3）预测参数选取</w:t>
      </w:r>
    </w:p>
    <w:p w14:paraId="7E4A0CAD">
      <w:pPr>
        <w:spacing w:line="480" w:lineRule="exact"/>
        <w:ind w:firstLine="515" w:firstLineChars="196"/>
        <w:rPr>
          <w:rFonts w:hint="eastAsia" w:hAnsi="宋体" w:cs="宋体"/>
          <w:color w:val="000000"/>
          <w:szCs w:val="24"/>
        </w:rPr>
      </w:pPr>
      <w:r>
        <w:rPr>
          <w:rFonts w:hint="eastAsia" w:hAnsi="宋体" w:cs="宋体"/>
          <w:color w:val="000000"/>
          <w:szCs w:val="24"/>
        </w:rPr>
        <w:t>根据现场土壤采样及水文地质调查结果，预测模型参数取值见表5.4-3。</w:t>
      </w:r>
    </w:p>
    <w:p w14:paraId="520998AB">
      <w:pPr>
        <w:spacing w:line="480" w:lineRule="exact"/>
        <w:ind w:firstLine="526" w:firstLineChars="200"/>
        <w:rPr>
          <w:rFonts w:hint="eastAsia" w:ascii="黑体" w:hAnsi="黑体" w:eastAsia="黑体"/>
          <w:color w:val="000000"/>
          <w:szCs w:val="24"/>
        </w:rPr>
      </w:pPr>
      <w:r>
        <w:rPr>
          <w:rFonts w:hint="eastAsia" w:ascii="黑体" w:hAnsi="黑体" w:eastAsia="黑体" w:cs="宋体"/>
          <w:color w:val="000000"/>
          <w:szCs w:val="24"/>
        </w:rPr>
        <w:t>表</w:t>
      </w:r>
      <w:r>
        <w:rPr>
          <w:rFonts w:hint="eastAsia" w:ascii="黑体" w:hAnsi="黑体" w:eastAsia="黑体"/>
          <w:color w:val="000000"/>
          <w:szCs w:val="24"/>
        </w:rPr>
        <w:t>5.4-3</w:t>
      </w:r>
      <w:r>
        <w:rPr>
          <w:rFonts w:hint="eastAsia" w:ascii="黑体" w:hAnsi="黑体" w:eastAsia="黑体" w:cs="宋体"/>
          <w:color w:val="000000"/>
          <w:szCs w:val="24"/>
        </w:rPr>
        <w:t xml:space="preserve">      </w:t>
      </w:r>
      <w:r>
        <w:rPr>
          <w:rFonts w:hint="eastAsia" w:ascii="黑体" w:hAnsi="黑体" w:eastAsia="黑体"/>
          <w:color w:val="000000"/>
          <w:szCs w:val="24"/>
        </w:rPr>
        <w:t xml:space="preserve">   垂直入渗预测模型参数一览表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994"/>
        <w:gridCol w:w="915"/>
        <w:gridCol w:w="1563"/>
        <w:gridCol w:w="798"/>
        <w:gridCol w:w="1719"/>
        <w:gridCol w:w="1304"/>
        <w:gridCol w:w="1722"/>
      </w:tblGrid>
      <w:tr w14:paraId="096CF1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4" w:type="dxa"/>
            <w:tcMar>
              <w:left w:w="28" w:type="dxa"/>
              <w:right w:w="28" w:type="dxa"/>
            </w:tcMar>
            <w:vAlign w:val="center"/>
          </w:tcPr>
          <w:p w14:paraId="125B01E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土壤质地</w:t>
            </w:r>
          </w:p>
        </w:tc>
        <w:tc>
          <w:tcPr>
            <w:tcW w:w="915" w:type="dxa"/>
            <w:tcMar>
              <w:left w:w="28" w:type="dxa"/>
              <w:right w:w="28" w:type="dxa"/>
            </w:tcMar>
            <w:vAlign w:val="center"/>
          </w:tcPr>
          <w:p w14:paraId="13AACD3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厚度（m）</w:t>
            </w:r>
          </w:p>
        </w:tc>
        <w:tc>
          <w:tcPr>
            <w:tcW w:w="1563" w:type="dxa"/>
            <w:tcMar>
              <w:left w:w="28" w:type="dxa"/>
              <w:right w:w="28" w:type="dxa"/>
            </w:tcMar>
            <w:vAlign w:val="center"/>
          </w:tcPr>
          <w:p w14:paraId="0B0C926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渗透系数（m/d）</w:t>
            </w:r>
          </w:p>
        </w:tc>
        <w:tc>
          <w:tcPr>
            <w:tcW w:w="798" w:type="dxa"/>
            <w:tcMar>
              <w:left w:w="28" w:type="dxa"/>
              <w:right w:w="28" w:type="dxa"/>
            </w:tcMar>
            <w:vAlign w:val="center"/>
          </w:tcPr>
          <w:p w14:paraId="65E19AA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孔隙度</w:t>
            </w:r>
          </w:p>
        </w:tc>
        <w:tc>
          <w:tcPr>
            <w:tcW w:w="1719" w:type="dxa"/>
            <w:tcMar>
              <w:left w:w="28" w:type="dxa"/>
              <w:right w:w="28" w:type="dxa"/>
            </w:tcMar>
            <w:vAlign w:val="center"/>
          </w:tcPr>
          <w:p w14:paraId="7093FA7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土壤含水量（%）</w:t>
            </w:r>
          </w:p>
        </w:tc>
        <w:tc>
          <w:tcPr>
            <w:tcW w:w="1304" w:type="dxa"/>
            <w:tcMar>
              <w:left w:w="28" w:type="dxa"/>
              <w:right w:w="28" w:type="dxa"/>
            </w:tcMar>
            <w:vAlign w:val="center"/>
          </w:tcPr>
          <w:p w14:paraId="554CF82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弥散系数（m</w:t>
            </w:r>
            <w:r>
              <w:rPr>
                <w:rFonts w:hint="eastAsia" w:hAnsi="宋体" w:cs="宋体"/>
                <w:color w:val="000000"/>
                <w:spacing w:val="-10"/>
                <w:sz w:val="21"/>
                <w:szCs w:val="21"/>
                <w:vertAlign w:val="superscript"/>
              </w:rPr>
              <w:t>2</w:t>
            </w:r>
            <w:r>
              <w:rPr>
                <w:rFonts w:hint="eastAsia" w:hAnsi="宋体" w:cs="宋体"/>
                <w:color w:val="000000"/>
                <w:spacing w:val="-10"/>
                <w:sz w:val="21"/>
                <w:szCs w:val="21"/>
              </w:rPr>
              <w:t>/d）</w:t>
            </w:r>
          </w:p>
        </w:tc>
        <w:tc>
          <w:tcPr>
            <w:tcW w:w="1722" w:type="dxa"/>
            <w:tcMar>
              <w:left w:w="28" w:type="dxa"/>
              <w:right w:w="28" w:type="dxa"/>
            </w:tcMar>
            <w:vAlign w:val="center"/>
          </w:tcPr>
          <w:p w14:paraId="4A1F5B2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土壤容重（kg/m</w:t>
            </w:r>
            <w:r>
              <w:rPr>
                <w:rFonts w:hint="eastAsia" w:hAnsi="宋体" w:cs="宋体"/>
                <w:color w:val="000000"/>
                <w:spacing w:val="-10"/>
                <w:sz w:val="21"/>
                <w:szCs w:val="21"/>
                <w:vertAlign w:val="superscript"/>
              </w:rPr>
              <w:t>3</w:t>
            </w:r>
            <w:r>
              <w:rPr>
                <w:rFonts w:hint="eastAsia" w:hAnsi="宋体" w:cs="宋体"/>
                <w:color w:val="000000"/>
                <w:spacing w:val="-10"/>
                <w:sz w:val="21"/>
                <w:szCs w:val="21"/>
              </w:rPr>
              <w:t>）</w:t>
            </w:r>
          </w:p>
        </w:tc>
      </w:tr>
      <w:tr w14:paraId="32F0A0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94" w:type="dxa"/>
            <w:tcMar>
              <w:left w:w="28" w:type="dxa"/>
              <w:right w:w="28" w:type="dxa"/>
            </w:tcMar>
            <w:vAlign w:val="center"/>
          </w:tcPr>
          <w:p w14:paraId="31FB2AC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沙土</w:t>
            </w:r>
          </w:p>
        </w:tc>
        <w:tc>
          <w:tcPr>
            <w:tcW w:w="915" w:type="dxa"/>
            <w:tcMar>
              <w:left w:w="28" w:type="dxa"/>
              <w:right w:w="28" w:type="dxa"/>
            </w:tcMar>
            <w:vAlign w:val="center"/>
          </w:tcPr>
          <w:p w14:paraId="69C423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1563" w:type="dxa"/>
            <w:tcMar>
              <w:left w:w="28" w:type="dxa"/>
              <w:right w:w="28" w:type="dxa"/>
            </w:tcMar>
            <w:vAlign w:val="center"/>
          </w:tcPr>
          <w:p w14:paraId="5254EEE6">
            <w:pPr>
              <w:spacing w:line="0" w:lineRule="atLeast"/>
              <w:jc w:val="center"/>
              <w:rPr>
                <w:rFonts w:hAnsi="宋体" w:cs="宋体"/>
                <w:color w:val="000000"/>
                <w:spacing w:val="-10"/>
                <w:sz w:val="21"/>
                <w:szCs w:val="21"/>
              </w:rPr>
            </w:pPr>
            <w:r>
              <w:rPr>
                <w:rFonts w:hint="eastAsia" w:hAnsi="宋体" w:cs="宋体"/>
                <w:color w:val="000000"/>
                <w:spacing w:val="-10"/>
                <w:sz w:val="21"/>
                <w:szCs w:val="21"/>
              </w:rPr>
              <w:t>0.5</w:t>
            </w:r>
          </w:p>
        </w:tc>
        <w:tc>
          <w:tcPr>
            <w:tcW w:w="798" w:type="dxa"/>
            <w:tcMar>
              <w:left w:w="28" w:type="dxa"/>
              <w:right w:w="28" w:type="dxa"/>
            </w:tcMar>
            <w:vAlign w:val="center"/>
          </w:tcPr>
          <w:p w14:paraId="4E34B7BA">
            <w:pPr>
              <w:spacing w:line="0" w:lineRule="atLeast"/>
              <w:jc w:val="center"/>
              <w:rPr>
                <w:rFonts w:hAnsi="宋体" w:cs="宋体"/>
                <w:color w:val="000000"/>
                <w:spacing w:val="-10"/>
                <w:sz w:val="21"/>
                <w:szCs w:val="21"/>
              </w:rPr>
            </w:pPr>
            <w:r>
              <w:rPr>
                <w:rFonts w:hint="eastAsia" w:hAnsi="宋体" w:cs="宋体"/>
                <w:color w:val="000000"/>
                <w:spacing w:val="-10"/>
                <w:sz w:val="21"/>
                <w:szCs w:val="21"/>
              </w:rPr>
              <w:t>0.42</w:t>
            </w:r>
          </w:p>
        </w:tc>
        <w:tc>
          <w:tcPr>
            <w:tcW w:w="1719" w:type="dxa"/>
            <w:tcMar>
              <w:left w:w="28" w:type="dxa"/>
              <w:right w:w="28" w:type="dxa"/>
            </w:tcMar>
            <w:vAlign w:val="center"/>
          </w:tcPr>
          <w:p w14:paraId="7B955DE2">
            <w:pPr>
              <w:spacing w:line="0" w:lineRule="atLeast"/>
              <w:jc w:val="center"/>
              <w:rPr>
                <w:rFonts w:hAnsi="宋体" w:cs="宋体"/>
                <w:color w:val="000000"/>
                <w:spacing w:val="-10"/>
                <w:sz w:val="21"/>
                <w:szCs w:val="21"/>
              </w:rPr>
            </w:pPr>
            <w:r>
              <w:rPr>
                <w:rFonts w:hint="eastAsia" w:hAnsi="宋体" w:cs="宋体"/>
                <w:color w:val="000000"/>
                <w:spacing w:val="-10"/>
                <w:sz w:val="21"/>
                <w:szCs w:val="21"/>
              </w:rPr>
              <w:t>1.2</w:t>
            </w:r>
          </w:p>
        </w:tc>
        <w:tc>
          <w:tcPr>
            <w:tcW w:w="1304" w:type="dxa"/>
            <w:tcMar>
              <w:left w:w="28" w:type="dxa"/>
              <w:right w:w="28" w:type="dxa"/>
            </w:tcMar>
            <w:vAlign w:val="center"/>
          </w:tcPr>
          <w:p w14:paraId="71BC05F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722" w:type="dxa"/>
            <w:tcMar>
              <w:left w:w="28" w:type="dxa"/>
              <w:right w:w="28" w:type="dxa"/>
            </w:tcMar>
            <w:vAlign w:val="center"/>
          </w:tcPr>
          <w:p w14:paraId="16B3AC8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1.25×</w:t>
            </w:r>
            <w:r>
              <w:rPr>
                <w:rFonts w:hAnsi="宋体" w:cs="宋体"/>
                <w:color w:val="000000"/>
                <w:spacing w:val="-10"/>
                <w:sz w:val="21"/>
                <w:szCs w:val="21"/>
              </w:rPr>
              <w:t>10</w:t>
            </w:r>
            <w:r>
              <w:rPr>
                <w:rFonts w:hAnsi="宋体" w:cs="宋体"/>
                <w:color w:val="000000"/>
                <w:spacing w:val="-10"/>
                <w:sz w:val="21"/>
                <w:szCs w:val="21"/>
                <w:vertAlign w:val="superscript"/>
              </w:rPr>
              <w:t>3</w:t>
            </w:r>
          </w:p>
        </w:tc>
      </w:tr>
    </w:tbl>
    <w:p w14:paraId="32C65CF7">
      <w:pPr>
        <w:spacing w:before="240" w:line="480" w:lineRule="exact"/>
        <w:ind w:firstLine="526" w:firstLineChars="200"/>
        <w:rPr>
          <w:rFonts w:hint="eastAsia" w:hAnsi="宋体" w:cs="宋体"/>
          <w:color w:val="000000"/>
          <w:szCs w:val="24"/>
        </w:rPr>
      </w:pPr>
      <w:r>
        <w:rPr>
          <w:rFonts w:hint="eastAsia" w:hAnsi="宋体" w:cs="宋体"/>
          <w:color w:val="000000"/>
          <w:szCs w:val="24"/>
        </w:rPr>
        <w:t>（4）预测源强</w:t>
      </w:r>
    </w:p>
    <w:p w14:paraId="567AFA39">
      <w:pPr>
        <w:spacing w:line="480" w:lineRule="exact"/>
        <w:ind w:firstLine="526" w:firstLineChars="200"/>
        <w:rPr>
          <w:rFonts w:hint="eastAsia" w:hAnsi="宋体" w:cs="宋体"/>
          <w:color w:val="000000"/>
          <w:szCs w:val="24"/>
        </w:rPr>
      </w:pPr>
      <w:r>
        <w:rPr>
          <w:rFonts w:hint="eastAsia" w:hAnsi="宋体" w:cs="宋体"/>
          <w:color w:val="000000"/>
          <w:szCs w:val="24"/>
        </w:rPr>
        <w:t>根据工程分析，结合项目特点，本评价</w:t>
      </w:r>
      <w:r>
        <w:rPr>
          <w:rFonts w:hint="eastAsia" w:hAnsi="宋体" w:cs="宋体"/>
          <w:snapToGrid w:val="0"/>
          <w:color w:val="000000"/>
          <w:kern w:val="0"/>
          <w:szCs w:val="24"/>
        </w:rPr>
        <w:t>重点针对管线破损泄漏的石油烃对土壤垂直下渗的污染</w:t>
      </w:r>
      <w:r>
        <w:rPr>
          <w:rFonts w:hint="eastAsia" w:hAnsi="宋体" w:cs="宋体"/>
          <w:color w:val="000000"/>
          <w:szCs w:val="24"/>
        </w:rPr>
        <w:t>。</w:t>
      </w:r>
    </w:p>
    <w:p w14:paraId="736442A5">
      <w:pPr>
        <w:spacing w:line="480" w:lineRule="exact"/>
        <w:ind w:firstLine="539"/>
        <w:rPr>
          <w:rFonts w:hint="eastAsia" w:ascii="黑体" w:hAnsi="黑体" w:eastAsia="黑体"/>
          <w:color w:val="000000"/>
          <w:szCs w:val="24"/>
        </w:rPr>
      </w:pPr>
      <w:r>
        <w:rPr>
          <w:rFonts w:hint="eastAsia" w:ascii="黑体" w:hAnsi="黑体" w:eastAsia="黑体" w:cs="宋体"/>
          <w:color w:val="000000"/>
          <w:szCs w:val="24"/>
        </w:rPr>
        <w:t>表</w:t>
      </w:r>
      <w:r>
        <w:rPr>
          <w:rFonts w:hint="eastAsia" w:ascii="黑体" w:hAnsi="黑体" w:eastAsia="黑体"/>
          <w:color w:val="000000"/>
          <w:szCs w:val="24"/>
        </w:rPr>
        <w:t>5.4-4</w:t>
      </w:r>
      <w:r>
        <w:rPr>
          <w:rFonts w:hint="eastAsia" w:ascii="黑体" w:hAnsi="黑体" w:eastAsia="黑体" w:cs="宋体"/>
          <w:color w:val="000000"/>
          <w:szCs w:val="24"/>
        </w:rPr>
        <w:t xml:space="preserve">         </w:t>
      </w:r>
      <w:r>
        <w:rPr>
          <w:rFonts w:hint="eastAsia" w:ascii="黑体" w:hAnsi="黑体" w:eastAsia="黑体"/>
          <w:color w:val="000000"/>
          <w:szCs w:val="24"/>
        </w:rPr>
        <w:t xml:space="preserve">   土壤预测源强表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401"/>
        <w:gridCol w:w="1860"/>
        <w:gridCol w:w="1810"/>
        <w:gridCol w:w="1944"/>
      </w:tblGrid>
      <w:tr w14:paraId="78D15F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1" w:type="dxa"/>
            <w:tcMar>
              <w:left w:w="28" w:type="dxa"/>
              <w:right w:w="28" w:type="dxa"/>
            </w:tcMar>
            <w:vAlign w:val="center"/>
          </w:tcPr>
          <w:p w14:paraId="352D3852">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渗漏点</w:t>
            </w:r>
          </w:p>
        </w:tc>
        <w:tc>
          <w:tcPr>
            <w:tcW w:w="1860" w:type="dxa"/>
            <w:tcMar>
              <w:left w:w="28" w:type="dxa"/>
              <w:right w:w="28" w:type="dxa"/>
            </w:tcMar>
            <w:vAlign w:val="center"/>
          </w:tcPr>
          <w:p w14:paraId="7D6F6C3C">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污染物</w:t>
            </w:r>
          </w:p>
        </w:tc>
        <w:tc>
          <w:tcPr>
            <w:tcW w:w="1810" w:type="dxa"/>
            <w:tcMar>
              <w:left w:w="28" w:type="dxa"/>
              <w:right w:w="28" w:type="dxa"/>
            </w:tcMar>
            <w:vAlign w:val="center"/>
          </w:tcPr>
          <w:p w14:paraId="1F5DBF1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浓度mg/L</w:t>
            </w:r>
          </w:p>
        </w:tc>
        <w:tc>
          <w:tcPr>
            <w:tcW w:w="1944" w:type="dxa"/>
            <w:tcMar>
              <w:left w:w="28" w:type="dxa"/>
              <w:right w:w="28" w:type="dxa"/>
            </w:tcMar>
            <w:vAlign w:val="center"/>
          </w:tcPr>
          <w:p w14:paraId="5F4C51EA">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渗漏特征</w:t>
            </w:r>
          </w:p>
        </w:tc>
      </w:tr>
      <w:tr w14:paraId="342DD0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1" w:type="dxa"/>
            <w:tcMar>
              <w:left w:w="28" w:type="dxa"/>
              <w:right w:w="28" w:type="dxa"/>
            </w:tcMar>
            <w:vAlign w:val="center"/>
          </w:tcPr>
          <w:p w14:paraId="1D9FCF31">
            <w:pPr>
              <w:spacing w:line="0" w:lineRule="atLeast"/>
              <w:jc w:val="center"/>
              <w:rPr>
                <w:rFonts w:hint="eastAsia" w:hAnsi="宋体"/>
                <w:color w:val="000000"/>
                <w:spacing w:val="-10"/>
                <w:sz w:val="21"/>
                <w:szCs w:val="21"/>
              </w:rPr>
            </w:pPr>
            <w:r>
              <w:rPr>
                <w:rFonts w:hint="eastAsia" w:hAnsi="宋体"/>
                <w:color w:val="000000"/>
                <w:spacing w:val="-10"/>
                <w:sz w:val="21"/>
                <w:szCs w:val="21"/>
              </w:rPr>
              <w:t>集输管线破裂泄漏</w:t>
            </w:r>
          </w:p>
        </w:tc>
        <w:tc>
          <w:tcPr>
            <w:tcW w:w="1860" w:type="dxa"/>
            <w:tcMar>
              <w:left w:w="28" w:type="dxa"/>
              <w:right w:w="28" w:type="dxa"/>
            </w:tcMar>
            <w:vAlign w:val="center"/>
          </w:tcPr>
          <w:p w14:paraId="570F0EDE">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石油烃</w:t>
            </w:r>
          </w:p>
        </w:tc>
        <w:tc>
          <w:tcPr>
            <w:tcW w:w="1810" w:type="dxa"/>
            <w:tcMar>
              <w:left w:w="28" w:type="dxa"/>
              <w:right w:w="28" w:type="dxa"/>
            </w:tcMar>
            <w:vAlign w:val="center"/>
          </w:tcPr>
          <w:p w14:paraId="09761C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757500</w:t>
            </w:r>
          </w:p>
        </w:tc>
        <w:tc>
          <w:tcPr>
            <w:tcW w:w="1944" w:type="dxa"/>
            <w:tcMar>
              <w:left w:w="28" w:type="dxa"/>
              <w:right w:w="28" w:type="dxa"/>
            </w:tcMar>
            <w:vAlign w:val="center"/>
          </w:tcPr>
          <w:p w14:paraId="6FDA67E1">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瞬时</w:t>
            </w:r>
          </w:p>
        </w:tc>
      </w:tr>
    </w:tbl>
    <w:p w14:paraId="41820C05">
      <w:pPr>
        <w:overflowPunct w:val="0"/>
        <w:autoSpaceDE w:val="0"/>
        <w:autoSpaceDN w:val="0"/>
        <w:spacing w:before="240" w:line="470" w:lineRule="exact"/>
        <w:ind w:firstLine="526" w:firstLineChars="200"/>
        <w:rPr>
          <w:rFonts w:hAnsi="宋体" w:cs="宋体"/>
          <w:color w:val="000000"/>
          <w:szCs w:val="24"/>
        </w:rPr>
      </w:pPr>
      <w:r>
        <w:rPr>
          <w:rFonts w:hint="eastAsia" w:hAnsi="宋体" w:cs="宋体"/>
          <w:color w:val="000000"/>
          <w:szCs w:val="24"/>
        </w:rPr>
        <w:t>项目集输管线破裂泄漏石油烃的初始浓度设定为</w:t>
      </w:r>
      <w:r>
        <w:rPr>
          <w:rFonts w:hint="eastAsia" w:hAnsi="宋体" w:cs="宋体"/>
          <w:color w:val="000000"/>
          <w:spacing w:val="-10"/>
          <w:szCs w:val="24"/>
        </w:rPr>
        <w:t>757500</w:t>
      </w:r>
      <w:r>
        <w:rPr>
          <w:rFonts w:hint="eastAsia" w:hAnsi="宋体" w:cs="宋体"/>
          <w:color w:val="000000"/>
          <w:szCs w:val="24"/>
        </w:rPr>
        <w:t>mg/L（考虑泄漏初期采出液中含水率较低，按最不利情况考虑，以泄漏凝析油进行预测，即泄漏浓度为凝析油密度）。</w:t>
      </w:r>
    </w:p>
    <w:p w14:paraId="49D793C6">
      <w:pPr>
        <w:spacing w:line="470" w:lineRule="exact"/>
        <w:ind w:firstLine="526" w:firstLineChars="200"/>
        <w:rPr>
          <w:rFonts w:hint="eastAsia" w:hAnsi="宋体" w:cs="宋体"/>
          <w:color w:val="000000"/>
          <w:szCs w:val="24"/>
        </w:rPr>
      </w:pPr>
      <w:r>
        <w:rPr>
          <w:rFonts w:hint="eastAsia" w:hAnsi="宋体" w:cs="宋体"/>
          <w:color w:val="000000"/>
          <w:szCs w:val="24"/>
        </w:rPr>
        <w:t>（5）预测结果</w:t>
      </w:r>
    </w:p>
    <w:p w14:paraId="20DADF95">
      <w:pPr>
        <w:spacing w:line="470" w:lineRule="exact"/>
        <w:ind w:firstLine="526" w:firstLineChars="200"/>
        <w:rPr>
          <w:rFonts w:hint="eastAsia" w:hAnsi="宋体" w:cs="宋体"/>
          <w:color w:val="000000"/>
          <w:szCs w:val="24"/>
        </w:rPr>
      </w:pPr>
      <w:r>
        <w:rPr>
          <w:rFonts w:hint="eastAsia" w:hAnsi="宋体" w:cs="宋体"/>
          <w:color w:val="000000"/>
          <w:szCs w:val="24"/>
        </w:rPr>
        <w:t>集输管线破裂泄漏，泄漏油品中石油烃以点源形式垂直进入土壤环境。初始浓度设定为</w:t>
      </w:r>
      <w:r>
        <w:rPr>
          <w:rFonts w:hint="eastAsia" w:hAnsi="宋体" w:cs="宋体"/>
          <w:color w:val="000000"/>
          <w:spacing w:val="-10"/>
          <w:szCs w:val="24"/>
        </w:rPr>
        <w:t>757500</w:t>
      </w:r>
      <w:r>
        <w:rPr>
          <w:rFonts w:hint="eastAsia" w:hAnsi="宋体" w:cs="宋体"/>
          <w:color w:val="000000"/>
          <w:szCs w:val="24"/>
        </w:rPr>
        <w:t>mg/L（考虑泄漏初期采出液中含水率较低，按最不利情况考虑，以泄漏凝析油进行预测，即泄漏浓度为凝析油密度），考虑到石油烃以点源形式泄漏，预测时间节点分别为，T1：1d，T2：3d，T3：10d，T4：20d。</w:t>
      </w:r>
    </w:p>
    <w:p w14:paraId="6DBB2D99">
      <w:pPr>
        <w:adjustRightInd w:val="0"/>
        <w:spacing w:line="470" w:lineRule="exact"/>
        <w:ind w:firstLine="526" w:firstLineChars="200"/>
        <w:rPr>
          <w:rFonts w:hint="eastAsia" w:hAnsi="宋体" w:cs="宋体"/>
          <w:color w:val="000000"/>
          <w:szCs w:val="24"/>
        </w:rPr>
      </w:pPr>
      <w:r>
        <w:rPr>
          <w:rFonts w:hint="eastAsia" w:hAnsi="宋体" w:cs="宋体"/>
          <w:color w:val="000000"/>
          <w:szCs w:val="24"/>
        </w:rPr>
        <w:t>石油烃沿土壤迁移模拟结果如图5.4-1所示。预测结果见表5.4-5。</w:t>
      </w:r>
    </w:p>
    <w:p w14:paraId="062B3664">
      <w:pPr>
        <w:pStyle w:val="47"/>
        <w:ind w:left="527"/>
        <w:rPr>
          <w:color w:val="000000"/>
        </w:rPr>
      </w:pPr>
      <w:r>
        <w:rPr>
          <w:color w:val="000000"/>
        </w:rPr>
        <w:pict>
          <v:group id="组合 282" o:spid="_x0000_s1078" o:spt="203" style="position:absolute;left:0pt;margin-left:73.4pt;margin-top:18.3pt;height:221.5pt;width:308pt;z-index:251667456;mso-width-relative:page;mso-height-relative:page;" coordorigin="3088,3500783" coordsize="6160,4430">
            <o:lock v:ext="edit" aspectratio="f"/>
            <v:shape id="图片 2179" o:spid="_x0000_s1079" o:spt="75" type="#_x0000_t75" style="position:absolute;left:3088;top:3500783;height:4430;width:6160;" filled="f" o:preferrelative="t" stroked="f" coordsize="21600,21600">
              <v:path/>
              <v:fill on="f" focussize="0,0"/>
              <v:stroke on="f"/>
              <v:imagedata r:id="rId43" o:title=""/>
              <o:lock v:ext="edit" aspectratio="t"/>
            </v:shape>
            <v:shape id="文本框 2180" o:spid="_x0000_s1080" o:spt="202" type="#_x0000_t202" style="position:absolute;left:4068;top:3501045;height:547;width:616;" filled="f" stroked="f" coordsize="21600,21600">
              <v:path/>
              <v:fill on="f" focussize="0,0"/>
              <v:stroke on="f"/>
              <v:imagedata o:title=""/>
              <o:lock v:ext="edit" aspectratio="f"/>
              <v:textbox>
                <w:txbxContent>
                  <w:p w14:paraId="4F1CE7F3">
                    <w:pPr>
                      <w:rPr>
                        <w:rFonts w:hint="eastAsia" w:hAnsi="宋体" w:cs="宋体"/>
                        <w:b/>
                        <w:bCs/>
                        <w:sz w:val="21"/>
                        <w:szCs w:val="21"/>
                      </w:rPr>
                    </w:pPr>
                    <w:r>
                      <w:rPr>
                        <w:rFonts w:hint="eastAsia" w:hAnsi="宋体" w:cs="宋体"/>
                        <w:b/>
                        <w:bCs/>
                        <w:sz w:val="21"/>
                        <w:szCs w:val="21"/>
                      </w:rPr>
                      <w:t>1d</w:t>
                    </w:r>
                  </w:p>
                </w:txbxContent>
              </v:textbox>
            </v:shape>
            <v:shape id="文本框 2181" o:spid="_x0000_s1081" o:spt="202" type="#_x0000_t202" style="position:absolute;left:4376;top:3501160;height:547;width:616;" filled="f" stroked="f" coordsize="21600,21600">
              <v:path/>
              <v:fill on="f" focussize="0,0"/>
              <v:stroke on="f"/>
              <v:imagedata o:title=""/>
              <o:lock v:ext="edit" aspectratio="f"/>
              <v:textbox>
                <w:txbxContent>
                  <w:p w14:paraId="539DF3C7">
                    <w:pPr>
                      <w:rPr>
                        <w:rFonts w:hint="eastAsia" w:hAnsi="宋体" w:cs="宋体"/>
                        <w:b/>
                        <w:bCs/>
                        <w:sz w:val="21"/>
                        <w:szCs w:val="21"/>
                      </w:rPr>
                    </w:pPr>
                    <w:r>
                      <w:rPr>
                        <w:rFonts w:hint="eastAsia" w:hAnsi="宋体" w:cs="宋体"/>
                        <w:b/>
                        <w:bCs/>
                        <w:sz w:val="21"/>
                        <w:szCs w:val="21"/>
                      </w:rPr>
                      <w:t>3d</w:t>
                    </w:r>
                  </w:p>
                </w:txbxContent>
              </v:textbox>
            </v:shape>
            <v:shape id="文本框 2182" o:spid="_x0000_s1082" o:spt="202" type="#_x0000_t202" style="position:absolute;left:4730;top:3501320;height:547;width:776;" filled="f" stroked="f" coordsize="21600,21600">
              <v:path/>
              <v:fill on="f" focussize="0,0"/>
              <v:stroke on="f"/>
              <v:imagedata o:title=""/>
              <o:lock v:ext="edit" aspectratio="f"/>
              <v:textbox>
                <w:txbxContent>
                  <w:p w14:paraId="1D23CD8A">
                    <w:pPr>
                      <w:rPr>
                        <w:rFonts w:hint="eastAsia" w:hAnsi="宋体" w:cs="宋体"/>
                        <w:b/>
                        <w:bCs/>
                        <w:sz w:val="21"/>
                        <w:szCs w:val="21"/>
                      </w:rPr>
                    </w:pPr>
                    <w:r>
                      <w:rPr>
                        <w:rFonts w:hint="eastAsia" w:hAnsi="宋体" w:cs="宋体"/>
                        <w:b/>
                        <w:bCs/>
                        <w:sz w:val="21"/>
                        <w:szCs w:val="21"/>
                      </w:rPr>
                      <w:t>10d</w:t>
                    </w:r>
                  </w:p>
                </w:txbxContent>
              </v:textbox>
            </v:shape>
            <v:shape id="文本框 2183" o:spid="_x0000_s1083" o:spt="202" type="#_x0000_t202" style="position:absolute;left:5134;top:3501493;height:547;width:969;" filled="f" stroked="f" coordsize="21600,21600">
              <v:path/>
              <v:fill on="f" focussize="0,0"/>
              <v:stroke on="f"/>
              <v:imagedata o:title=""/>
              <o:lock v:ext="edit" aspectratio="f"/>
              <v:textbox>
                <w:txbxContent>
                  <w:p w14:paraId="7A8B25C9">
                    <w:pPr>
                      <w:rPr>
                        <w:rFonts w:hint="eastAsia" w:hAnsi="宋体" w:cs="宋体"/>
                        <w:b/>
                        <w:bCs/>
                        <w:sz w:val="21"/>
                        <w:szCs w:val="21"/>
                      </w:rPr>
                    </w:pPr>
                    <w:r>
                      <w:rPr>
                        <w:rFonts w:hint="eastAsia" w:hAnsi="宋体" w:cs="宋体"/>
                        <w:b/>
                        <w:bCs/>
                        <w:sz w:val="21"/>
                        <w:szCs w:val="21"/>
                      </w:rPr>
                      <w:t>20d</w:t>
                    </w:r>
                  </w:p>
                </w:txbxContent>
              </v:textbox>
            </v:shape>
          </v:group>
        </w:pict>
      </w:r>
    </w:p>
    <w:p w14:paraId="094F3E00">
      <w:pPr>
        <w:pStyle w:val="10"/>
        <w:rPr>
          <w:color w:val="000000"/>
        </w:rPr>
      </w:pPr>
    </w:p>
    <w:p w14:paraId="5DFECBAE">
      <w:pPr>
        <w:pStyle w:val="10"/>
        <w:widowControl w:val="0"/>
        <w:spacing w:line="480" w:lineRule="exact"/>
        <w:rPr>
          <w:color w:val="000000"/>
          <w:sz w:val="24"/>
          <w:szCs w:val="24"/>
        </w:rPr>
      </w:pPr>
    </w:p>
    <w:p w14:paraId="5346291C">
      <w:pPr>
        <w:spacing w:line="480" w:lineRule="exact"/>
        <w:rPr>
          <w:rFonts w:hint="eastAsia" w:hAnsi="宋体"/>
          <w:color w:val="000000"/>
          <w:szCs w:val="24"/>
        </w:rPr>
      </w:pPr>
    </w:p>
    <w:p w14:paraId="0CEBE8F7">
      <w:pPr>
        <w:spacing w:line="480" w:lineRule="exact"/>
        <w:rPr>
          <w:rFonts w:hint="eastAsia" w:hAnsi="宋体"/>
          <w:color w:val="000000"/>
          <w:szCs w:val="24"/>
        </w:rPr>
      </w:pPr>
    </w:p>
    <w:p w14:paraId="3C17214F">
      <w:pPr>
        <w:spacing w:line="480" w:lineRule="exact"/>
        <w:rPr>
          <w:rFonts w:hint="eastAsia" w:hAnsi="宋体"/>
          <w:color w:val="000000"/>
          <w:szCs w:val="24"/>
        </w:rPr>
      </w:pPr>
    </w:p>
    <w:p w14:paraId="13D44909">
      <w:pPr>
        <w:pStyle w:val="10"/>
        <w:widowControl w:val="0"/>
        <w:spacing w:line="480" w:lineRule="exact"/>
        <w:rPr>
          <w:rFonts w:hint="eastAsia"/>
          <w:color w:val="000000"/>
          <w:sz w:val="24"/>
          <w:szCs w:val="24"/>
        </w:rPr>
      </w:pPr>
    </w:p>
    <w:p w14:paraId="07A3D2FC">
      <w:pPr>
        <w:spacing w:line="480" w:lineRule="exact"/>
        <w:rPr>
          <w:rFonts w:hint="eastAsia" w:hAnsi="宋体"/>
          <w:color w:val="000000"/>
          <w:szCs w:val="24"/>
        </w:rPr>
      </w:pPr>
    </w:p>
    <w:p w14:paraId="7C6EE5ED">
      <w:pPr>
        <w:spacing w:line="480" w:lineRule="exact"/>
        <w:rPr>
          <w:rFonts w:hint="eastAsia" w:hAnsi="宋体"/>
          <w:color w:val="000000"/>
          <w:szCs w:val="24"/>
        </w:rPr>
      </w:pPr>
    </w:p>
    <w:p w14:paraId="19A43100">
      <w:pPr>
        <w:spacing w:line="480" w:lineRule="exact"/>
        <w:rPr>
          <w:rFonts w:hAnsi="宋体"/>
          <w:color w:val="000000"/>
          <w:szCs w:val="24"/>
        </w:rPr>
      </w:pPr>
    </w:p>
    <w:p w14:paraId="63A3735C">
      <w:pPr>
        <w:spacing w:line="480" w:lineRule="exact"/>
        <w:jc w:val="center"/>
        <w:rPr>
          <w:rFonts w:hint="eastAsia" w:ascii="黑体" w:hAnsi="黑体" w:eastAsia="黑体"/>
          <w:color w:val="000000"/>
          <w:szCs w:val="24"/>
        </w:rPr>
      </w:pPr>
      <w:r>
        <w:rPr>
          <w:rFonts w:hint="eastAsia" w:ascii="黑体" w:hAnsi="黑体" w:eastAsia="黑体" w:cs="宋体"/>
          <w:color w:val="000000"/>
          <w:szCs w:val="24"/>
        </w:rPr>
        <w:t>图</w:t>
      </w:r>
      <w:r>
        <w:rPr>
          <w:rFonts w:hint="eastAsia" w:ascii="黑体" w:hAnsi="黑体" w:eastAsia="黑体"/>
          <w:color w:val="000000"/>
          <w:szCs w:val="24"/>
        </w:rPr>
        <w:t>5.4-1 石油烃在不同水平年沿土壤垂向迁移情况</w:t>
      </w:r>
    </w:p>
    <w:p w14:paraId="3FC490B6">
      <w:pPr>
        <w:spacing w:line="480" w:lineRule="exact"/>
        <w:ind w:firstLine="526" w:firstLineChars="200"/>
        <w:rPr>
          <w:rFonts w:hint="eastAsia" w:ascii="黑体" w:hAnsi="黑体" w:eastAsia="黑体"/>
          <w:color w:val="000000"/>
          <w:szCs w:val="24"/>
        </w:rPr>
      </w:pPr>
      <w:r>
        <w:rPr>
          <w:rFonts w:hint="eastAsia" w:ascii="黑体" w:hAnsi="黑体" w:eastAsia="黑体" w:cs="宋体"/>
          <w:color w:val="000000"/>
          <w:kern w:val="0"/>
          <w:szCs w:val="24"/>
        </w:rPr>
        <w:t>表</w:t>
      </w:r>
      <w:r>
        <w:rPr>
          <w:rFonts w:hint="eastAsia" w:ascii="黑体" w:hAnsi="黑体" w:eastAsia="黑体"/>
          <w:color w:val="000000"/>
          <w:szCs w:val="24"/>
        </w:rPr>
        <w:t>5.4-5</w:t>
      </w:r>
      <w:r>
        <w:rPr>
          <w:rFonts w:hint="eastAsia" w:ascii="黑体" w:hAnsi="黑体" w:eastAsia="黑体" w:cs="宋体"/>
          <w:color w:val="000000"/>
          <w:kern w:val="0"/>
          <w:szCs w:val="24"/>
        </w:rPr>
        <w:t xml:space="preserve">          </w:t>
      </w:r>
      <w:r>
        <w:rPr>
          <w:rFonts w:hint="eastAsia" w:ascii="黑体" w:hAnsi="黑体" w:eastAsia="黑体" w:cs="宋体"/>
          <w:color w:val="000000"/>
          <w:kern w:val="0"/>
          <w:szCs w:val="24"/>
          <w:lang w:val="zh-CN"/>
        </w:rPr>
        <w:t xml:space="preserve">    </w:t>
      </w:r>
      <w:r>
        <w:rPr>
          <w:rFonts w:hint="eastAsia" w:ascii="黑体" w:hAnsi="黑体" w:eastAsia="黑体"/>
          <w:color w:val="000000"/>
          <w:szCs w:val="24"/>
        </w:rPr>
        <w:t>土壤预测情况表</w:t>
      </w:r>
    </w:p>
    <w:tbl>
      <w:tblPr>
        <w:tblStyle w:val="48"/>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991"/>
        <w:gridCol w:w="3062"/>
        <w:gridCol w:w="3955"/>
      </w:tblGrid>
      <w:tr w14:paraId="73EFE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5" w:type="pct"/>
            <w:tcMar>
              <w:left w:w="28" w:type="dxa"/>
              <w:right w:w="28" w:type="dxa"/>
            </w:tcMar>
            <w:vAlign w:val="center"/>
          </w:tcPr>
          <w:p w14:paraId="278B9944">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序号</w:t>
            </w:r>
          </w:p>
        </w:tc>
        <w:tc>
          <w:tcPr>
            <w:tcW w:w="1699" w:type="pct"/>
            <w:tcMar>
              <w:left w:w="28" w:type="dxa"/>
              <w:right w:w="28" w:type="dxa"/>
            </w:tcMar>
            <w:vAlign w:val="center"/>
          </w:tcPr>
          <w:p w14:paraId="4FFE9024">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预测时间</w:t>
            </w:r>
          </w:p>
        </w:tc>
        <w:tc>
          <w:tcPr>
            <w:tcW w:w="2195" w:type="pct"/>
            <w:tcMar>
              <w:left w:w="28" w:type="dxa"/>
              <w:right w:w="28" w:type="dxa"/>
            </w:tcMar>
            <w:vAlign w:val="center"/>
          </w:tcPr>
          <w:p w14:paraId="55BD5B2B">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污染深度</w:t>
            </w:r>
          </w:p>
        </w:tc>
      </w:tr>
      <w:tr w14:paraId="4BD43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5" w:type="pct"/>
            <w:tcMar>
              <w:left w:w="28" w:type="dxa"/>
              <w:right w:w="28" w:type="dxa"/>
            </w:tcMar>
            <w:vAlign w:val="center"/>
          </w:tcPr>
          <w:p w14:paraId="26E7873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w:t>
            </w:r>
          </w:p>
        </w:tc>
        <w:tc>
          <w:tcPr>
            <w:tcW w:w="1699" w:type="pct"/>
            <w:tcMar>
              <w:left w:w="28" w:type="dxa"/>
              <w:right w:w="28" w:type="dxa"/>
            </w:tcMar>
            <w:vAlign w:val="center"/>
          </w:tcPr>
          <w:p w14:paraId="54D36650">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1d</w:t>
            </w:r>
          </w:p>
        </w:tc>
        <w:tc>
          <w:tcPr>
            <w:tcW w:w="2195" w:type="pct"/>
            <w:tcMar>
              <w:left w:w="28" w:type="dxa"/>
              <w:right w:w="28" w:type="dxa"/>
            </w:tcMar>
            <w:vAlign w:val="center"/>
          </w:tcPr>
          <w:p w14:paraId="1D2C9CCF">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10cm</w:t>
            </w:r>
          </w:p>
        </w:tc>
      </w:tr>
      <w:tr w14:paraId="07E6BC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5" w:type="pct"/>
            <w:tcMar>
              <w:left w:w="28" w:type="dxa"/>
              <w:right w:w="28" w:type="dxa"/>
            </w:tcMar>
            <w:vAlign w:val="center"/>
          </w:tcPr>
          <w:p w14:paraId="1B633C97">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2</w:t>
            </w:r>
          </w:p>
        </w:tc>
        <w:tc>
          <w:tcPr>
            <w:tcW w:w="1699" w:type="pct"/>
            <w:tcMar>
              <w:left w:w="28" w:type="dxa"/>
              <w:right w:w="28" w:type="dxa"/>
            </w:tcMar>
            <w:vAlign w:val="center"/>
          </w:tcPr>
          <w:p w14:paraId="4B8C7FD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3d</w:t>
            </w:r>
          </w:p>
        </w:tc>
        <w:tc>
          <w:tcPr>
            <w:tcW w:w="2195" w:type="pct"/>
            <w:tcMar>
              <w:left w:w="28" w:type="dxa"/>
              <w:right w:w="28" w:type="dxa"/>
            </w:tcMar>
            <w:vAlign w:val="center"/>
          </w:tcPr>
          <w:p w14:paraId="3AEB793D">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18cm</w:t>
            </w:r>
          </w:p>
        </w:tc>
      </w:tr>
      <w:tr w14:paraId="5A25DD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5" w:type="pct"/>
            <w:tcMar>
              <w:left w:w="28" w:type="dxa"/>
              <w:right w:w="28" w:type="dxa"/>
            </w:tcMar>
            <w:vAlign w:val="center"/>
          </w:tcPr>
          <w:p w14:paraId="3A4D589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w:t>
            </w:r>
          </w:p>
        </w:tc>
        <w:tc>
          <w:tcPr>
            <w:tcW w:w="1699" w:type="pct"/>
            <w:tcMar>
              <w:left w:w="28" w:type="dxa"/>
              <w:right w:w="28" w:type="dxa"/>
            </w:tcMar>
            <w:vAlign w:val="center"/>
          </w:tcPr>
          <w:p w14:paraId="2FE4A651">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10d</w:t>
            </w:r>
          </w:p>
        </w:tc>
        <w:tc>
          <w:tcPr>
            <w:tcW w:w="2195" w:type="pct"/>
            <w:tcMar>
              <w:left w:w="28" w:type="dxa"/>
              <w:right w:w="28" w:type="dxa"/>
            </w:tcMar>
            <w:vAlign w:val="center"/>
          </w:tcPr>
          <w:p w14:paraId="48017E33">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32cm</w:t>
            </w:r>
          </w:p>
        </w:tc>
      </w:tr>
      <w:tr w14:paraId="5BCA29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5" w:type="pct"/>
            <w:tcMar>
              <w:left w:w="28" w:type="dxa"/>
              <w:right w:w="28" w:type="dxa"/>
            </w:tcMar>
            <w:vAlign w:val="center"/>
          </w:tcPr>
          <w:p w14:paraId="13A5EC6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4</w:t>
            </w:r>
          </w:p>
        </w:tc>
        <w:tc>
          <w:tcPr>
            <w:tcW w:w="1699" w:type="pct"/>
            <w:tcMar>
              <w:left w:w="28" w:type="dxa"/>
              <w:right w:w="28" w:type="dxa"/>
            </w:tcMar>
            <w:vAlign w:val="center"/>
          </w:tcPr>
          <w:p w14:paraId="0D9DFC24">
            <w:pPr>
              <w:spacing w:line="0" w:lineRule="atLeast"/>
              <w:jc w:val="center"/>
              <w:rPr>
                <w:rFonts w:hAnsi="宋体" w:cs="宋体"/>
                <w:color w:val="000000"/>
                <w:spacing w:val="-10"/>
                <w:kern w:val="0"/>
                <w:sz w:val="21"/>
                <w:szCs w:val="21"/>
              </w:rPr>
            </w:pPr>
            <w:r>
              <w:rPr>
                <w:rFonts w:hint="eastAsia" w:hAnsi="宋体" w:cs="宋体"/>
                <w:color w:val="000000"/>
                <w:spacing w:val="-10"/>
                <w:kern w:val="0"/>
                <w:sz w:val="21"/>
                <w:szCs w:val="21"/>
              </w:rPr>
              <w:t>20d</w:t>
            </w:r>
          </w:p>
        </w:tc>
        <w:tc>
          <w:tcPr>
            <w:tcW w:w="2195" w:type="pct"/>
            <w:tcMar>
              <w:left w:w="28" w:type="dxa"/>
              <w:right w:w="28" w:type="dxa"/>
            </w:tcMar>
            <w:vAlign w:val="center"/>
          </w:tcPr>
          <w:p w14:paraId="2FFA1D3E">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50cm</w:t>
            </w:r>
          </w:p>
        </w:tc>
      </w:tr>
    </w:tbl>
    <w:p w14:paraId="0D1AAAE7">
      <w:pPr>
        <w:spacing w:before="240" w:line="480" w:lineRule="exact"/>
        <w:ind w:firstLine="526" w:firstLineChars="200"/>
        <w:rPr>
          <w:rFonts w:hAnsi="宋体" w:cs="宋体"/>
          <w:color w:val="000000"/>
          <w:szCs w:val="24"/>
        </w:rPr>
      </w:pPr>
      <w:r>
        <w:rPr>
          <w:rFonts w:hint="eastAsia" w:hAnsi="宋体" w:cs="宋体"/>
          <w:color w:val="000000"/>
          <w:szCs w:val="24"/>
        </w:rPr>
        <w:t>由图5.4-1土壤模拟结果可知，入渗20天后，污染深度为50cm，整体渗漏速率较慢。</w:t>
      </w:r>
    </w:p>
    <w:p w14:paraId="15FCD6E4">
      <w:pPr>
        <w:tabs>
          <w:tab w:val="left" w:pos="1134"/>
        </w:tabs>
        <w:spacing w:line="480" w:lineRule="exact"/>
        <w:outlineLvl w:val="2"/>
        <w:rPr>
          <w:rFonts w:hint="eastAsia" w:hAnsi="宋体" w:cs="宋体"/>
          <w:color w:val="000000"/>
          <w:szCs w:val="24"/>
        </w:rPr>
      </w:pPr>
      <w:r>
        <w:rPr>
          <w:rFonts w:hint="eastAsia" w:hAnsi="宋体" w:cs="宋体"/>
          <w:color w:val="000000"/>
          <w:szCs w:val="24"/>
        </w:rPr>
        <w:t>5.4.3退役期土壤环境影响分析</w:t>
      </w:r>
    </w:p>
    <w:p w14:paraId="424F4233">
      <w:pPr>
        <w:spacing w:line="480" w:lineRule="exact"/>
        <w:ind w:firstLine="526" w:firstLineChars="200"/>
        <w:rPr>
          <w:rFonts w:hAnsi="宋体"/>
          <w:color w:val="000000"/>
          <w:szCs w:val="24"/>
        </w:rPr>
      </w:pPr>
      <w:r>
        <w:rPr>
          <w:rFonts w:hint="eastAsia" w:hAnsi="宋体" w:cs="宋体"/>
          <w:color w:val="000000"/>
          <w:kern w:val="0"/>
          <w:szCs w:val="24"/>
          <w:lang w:bidi="ar"/>
        </w:rPr>
        <w:t>退役期对</w:t>
      </w:r>
      <w:r>
        <w:rPr>
          <w:rFonts w:hint="eastAsia" w:hAnsi="宋体"/>
          <w:color w:val="000000"/>
          <w:szCs w:val="24"/>
        </w:rPr>
        <w:t>废弃管线维持现状，避免因开挖管线对区域生态环境造成二次破坏，管线内物质应清洗干净，管线两端使用盲板封堵</w:t>
      </w:r>
      <w:r>
        <w:rPr>
          <w:rFonts w:hint="eastAsia" w:hAnsi="宋体" w:cs="宋体"/>
          <w:color w:val="000000"/>
          <w:kern w:val="0"/>
          <w:szCs w:val="24"/>
          <w:lang w:bidi="ar"/>
        </w:rPr>
        <w:t>，经土壤污染状况调查，确保无土壤环境污染遗留问题后，进行生态恢复工作，并依法进行分类管理。因此，退役期施工活动对土壤环境在可接受范围内。</w:t>
      </w:r>
    </w:p>
    <w:p w14:paraId="319A36CE">
      <w:pPr>
        <w:tabs>
          <w:tab w:val="left" w:pos="1134"/>
        </w:tabs>
        <w:spacing w:line="480" w:lineRule="exact"/>
        <w:outlineLvl w:val="2"/>
        <w:rPr>
          <w:rFonts w:hint="eastAsia" w:hAnsi="宋体" w:cs="宋体"/>
          <w:color w:val="000000"/>
          <w:szCs w:val="24"/>
        </w:rPr>
      </w:pPr>
      <w:r>
        <w:rPr>
          <w:rFonts w:hint="eastAsia" w:hAnsi="宋体" w:cs="宋体"/>
          <w:color w:val="000000"/>
          <w:szCs w:val="24"/>
        </w:rPr>
        <w:t>5.4.4土壤环境影响评价结论</w:t>
      </w:r>
    </w:p>
    <w:p w14:paraId="79AA2C85">
      <w:pPr>
        <w:pStyle w:val="10"/>
        <w:widowControl w:val="0"/>
        <w:spacing w:line="480" w:lineRule="exact"/>
        <w:jc w:val="both"/>
        <w:rPr>
          <w:rFonts w:hint="eastAsia" w:ascii="宋体" w:hAnsi="宋体" w:eastAsia="宋体" w:cs="宋体"/>
          <w:color w:val="000000"/>
          <w:sz w:val="24"/>
          <w:szCs w:val="24"/>
        </w:rPr>
      </w:pPr>
      <w:r>
        <w:rPr>
          <w:rFonts w:hint="eastAsia" w:ascii="宋体" w:hAnsi="宋体" w:eastAsia="宋体" w:cs="宋体"/>
          <w:color w:val="000000"/>
          <w:sz w:val="24"/>
          <w:szCs w:val="24"/>
        </w:rPr>
        <w:t>拟建工程</w:t>
      </w:r>
      <w:r>
        <w:rPr>
          <w:rFonts w:hint="eastAsia" w:ascii="宋体" w:hAnsi="宋体" w:eastAsia="宋体" w:cs="宋体"/>
          <w:color w:val="000000"/>
          <w:sz w:val="24"/>
          <w:szCs w:val="24"/>
          <w:lang w:bidi="ar"/>
        </w:rPr>
        <w:t>占地范围内土壤满足《土壤环境质量 建设用地土壤污染风险管控标准（试行）》（GB36600-2018）中第二类用地土壤污染风险筛选值。</w:t>
      </w:r>
      <w:r>
        <w:rPr>
          <w:rFonts w:hint="eastAsia" w:ascii="宋体" w:hAnsi="宋体" w:eastAsia="宋体" w:cs="宋体"/>
          <w:color w:val="000000"/>
          <w:sz w:val="24"/>
          <w:szCs w:val="24"/>
        </w:rPr>
        <w:t>同时根据土壤垂直入渗预测结果可知石油烃在土壤中随时间不断向下迁移，石油烃主要积聚在土壤表层50cm以内，其污染也主要限于地表，土壤底部石油烃浓度未检出。因此，拟建工程需采取土壤防治措施按照“源头控制、过程防控”相结合的原则，并定期开展土壤跟踪监测，在严格按照土壤污染防护措施后，从土壤环境影响的角度，拟建工程建设可行。</w:t>
      </w:r>
    </w:p>
    <w:p w14:paraId="100EA251">
      <w:pPr>
        <w:tabs>
          <w:tab w:val="left" w:pos="1134"/>
        </w:tabs>
        <w:spacing w:line="480" w:lineRule="exact"/>
        <w:outlineLvl w:val="2"/>
        <w:rPr>
          <w:rFonts w:hint="eastAsia" w:hAnsi="宋体" w:cs="宋体"/>
          <w:color w:val="000000"/>
          <w:szCs w:val="24"/>
        </w:rPr>
      </w:pPr>
      <w:r>
        <w:rPr>
          <w:rFonts w:hint="eastAsia" w:hAnsi="宋体" w:cs="宋体"/>
          <w:color w:val="000000"/>
          <w:szCs w:val="24"/>
        </w:rPr>
        <w:t>5.4.5土壤环境影响自查表</w:t>
      </w:r>
    </w:p>
    <w:p w14:paraId="45D7F46E">
      <w:pPr>
        <w:pStyle w:val="135"/>
        <w:spacing w:line="480" w:lineRule="exact"/>
        <w:ind w:firstLine="526" w:firstLineChars="200"/>
        <w:textAlignment w:val="auto"/>
        <w:rPr>
          <w:rFonts w:hint="eastAsia" w:ascii="黑体" w:hAnsi="宋体" w:eastAsia="黑体" w:cs="宋体"/>
          <w:color w:val="000000"/>
          <w:spacing w:val="5"/>
          <w:szCs w:val="24"/>
        </w:rPr>
      </w:pPr>
      <w:r>
        <w:rPr>
          <w:rFonts w:ascii="黑体" w:hAnsi="宋体" w:eastAsia="黑体" w:cs="宋体"/>
          <w:color w:val="000000"/>
          <w:spacing w:val="5"/>
          <w:szCs w:val="24"/>
        </w:rPr>
        <w:t>表</w:t>
      </w:r>
      <w:r>
        <w:rPr>
          <w:rFonts w:hint="eastAsia" w:ascii="黑体" w:hAnsi="黑体" w:eastAsia="黑体"/>
          <w:color w:val="000000"/>
          <w:szCs w:val="24"/>
        </w:rPr>
        <w:t>5.4-6</w:t>
      </w:r>
      <w:r>
        <w:rPr>
          <w:rFonts w:hint="eastAsia" w:ascii="黑体" w:hAnsi="宋体" w:eastAsia="黑体" w:cs="宋体"/>
          <w:color w:val="000000"/>
          <w:spacing w:val="5"/>
          <w:szCs w:val="24"/>
        </w:rPr>
        <w:t xml:space="preserve">        土壤环境影响评价自查表</w:t>
      </w:r>
    </w:p>
    <w:tbl>
      <w:tblPr>
        <w:tblStyle w:val="48"/>
        <w:tblW w:w="50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44"/>
        <w:gridCol w:w="18"/>
        <w:gridCol w:w="1512"/>
        <w:gridCol w:w="1355"/>
        <w:gridCol w:w="1410"/>
        <w:gridCol w:w="665"/>
        <w:gridCol w:w="598"/>
        <w:gridCol w:w="2311"/>
        <w:gridCol w:w="606"/>
      </w:tblGrid>
      <w:tr w14:paraId="5EE8CE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074" w:type="dxa"/>
            <w:gridSpan w:val="3"/>
            <w:tcMar>
              <w:left w:w="28" w:type="dxa"/>
              <w:right w:w="28" w:type="dxa"/>
            </w:tcMar>
            <w:vAlign w:val="center"/>
          </w:tcPr>
          <w:p w14:paraId="3B25B028">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工作内容</w:t>
            </w:r>
          </w:p>
        </w:tc>
        <w:tc>
          <w:tcPr>
            <w:tcW w:w="6339" w:type="dxa"/>
            <w:gridSpan w:val="5"/>
            <w:tcMar>
              <w:left w:w="28" w:type="dxa"/>
              <w:right w:w="28" w:type="dxa"/>
            </w:tcMar>
            <w:vAlign w:val="center"/>
          </w:tcPr>
          <w:p w14:paraId="762A116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完成情况</w:t>
            </w:r>
          </w:p>
        </w:tc>
        <w:tc>
          <w:tcPr>
            <w:tcW w:w="606" w:type="dxa"/>
            <w:tcMar>
              <w:left w:w="28" w:type="dxa"/>
              <w:right w:w="28" w:type="dxa"/>
            </w:tcMar>
            <w:vAlign w:val="center"/>
          </w:tcPr>
          <w:p w14:paraId="0D54FC7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备注</w:t>
            </w:r>
          </w:p>
        </w:tc>
      </w:tr>
      <w:tr w14:paraId="7FFDBC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restart"/>
            <w:tcMar>
              <w:left w:w="28" w:type="dxa"/>
              <w:right w:w="28" w:type="dxa"/>
            </w:tcMar>
            <w:vAlign w:val="center"/>
          </w:tcPr>
          <w:p w14:paraId="5C0D66B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影响识别</w:t>
            </w:r>
          </w:p>
        </w:tc>
        <w:tc>
          <w:tcPr>
            <w:tcW w:w="1512" w:type="dxa"/>
            <w:tcMar>
              <w:left w:w="28" w:type="dxa"/>
              <w:right w:w="28" w:type="dxa"/>
            </w:tcMar>
            <w:vAlign w:val="center"/>
          </w:tcPr>
          <w:p w14:paraId="14F19B5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影响类型</w:t>
            </w:r>
          </w:p>
        </w:tc>
        <w:tc>
          <w:tcPr>
            <w:tcW w:w="6339" w:type="dxa"/>
            <w:gridSpan w:val="5"/>
            <w:tcMar>
              <w:left w:w="28" w:type="dxa"/>
              <w:right w:w="28" w:type="dxa"/>
            </w:tcMar>
            <w:vAlign w:val="center"/>
          </w:tcPr>
          <w:p w14:paraId="7DA5A45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污染影响型</w:t>
            </w:r>
            <w:r>
              <w:rPr>
                <w:rFonts w:hint="eastAsia" w:hAnsi="宋体" w:cs="宋体"/>
                <w:color w:val="000000"/>
                <w:spacing w:val="-10"/>
                <w:sz w:val="21"/>
                <w:szCs w:val="21"/>
              </w:rPr>
              <w:t>☑；生态影响型□；两种兼有□</w:t>
            </w:r>
          </w:p>
        </w:tc>
        <w:tc>
          <w:tcPr>
            <w:tcW w:w="606" w:type="dxa"/>
            <w:tcMar>
              <w:left w:w="28" w:type="dxa"/>
              <w:right w:w="28" w:type="dxa"/>
            </w:tcMar>
            <w:vAlign w:val="center"/>
          </w:tcPr>
          <w:p w14:paraId="3A369689">
            <w:pPr>
              <w:spacing w:line="0" w:lineRule="atLeast"/>
              <w:jc w:val="center"/>
              <w:rPr>
                <w:rFonts w:hint="eastAsia" w:hAnsi="宋体" w:cs="宋体"/>
                <w:color w:val="000000"/>
                <w:spacing w:val="-10"/>
                <w:sz w:val="21"/>
                <w:szCs w:val="21"/>
                <w:lang w:bidi="ar"/>
              </w:rPr>
            </w:pPr>
          </w:p>
        </w:tc>
      </w:tr>
      <w:tr w14:paraId="5F379B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7555C834">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02997E9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土地利用类型</w:t>
            </w:r>
          </w:p>
        </w:tc>
        <w:tc>
          <w:tcPr>
            <w:tcW w:w="6339" w:type="dxa"/>
            <w:gridSpan w:val="5"/>
            <w:tcMar>
              <w:left w:w="28" w:type="dxa"/>
              <w:right w:w="28" w:type="dxa"/>
            </w:tcMar>
            <w:vAlign w:val="center"/>
          </w:tcPr>
          <w:p w14:paraId="0221BBA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建设用地</w:t>
            </w:r>
            <w:r>
              <w:rPr>
                <w:rFonts w:hint="eastAsia" w:hAnsi="宋体" w:cs="宋体"/>
                <w:color w:val="000000"/>
                <w:spacing w:val="-10"/>
                <w:sz w:val="21"/>
                <w:szCs w:val="21"/>
              </w:rPr>
              <w:t>□；农用地□；未利用地☑</w:t>
            </w:r>
          </w:p>
        </w:tc>
        <w:tc>
          <w:tcPr>
            <w:tcW w:w="606" w:type="dxa"/>
            <w:tcMar>
              <w:left w:w="28" w:type="dxa"/>
              <w:right w:w="28" w:type="dxa"/>
            </w:tcMar>
            <w:vAlign w:val="center"/>
          </w:tcPr>
          <w:p w14:paraId="6F0C1D0C">
            <w:pPr>
              <w:spacing w:line="0" w:lineRule="atLeast"/>
              <w:jc w:val="center"/>
              <w:rPr>
                <w:rFonts w:hint="eastAsia" w:hAnsi="宋体" w:cs="宋体"/>
                <w:color w:val="000000"/>
                <w:spacing w:val="-10"/>
                <w:sz w:val="21"/>
                <w:szCs w:val="21"/>
                <w:lang w:bidi="ar"/>
              </w:rPr>
            </w:pPr>
          </w:p>
        </w:tc>
      </w:tr>
      <w:tr w14:paraId="543601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4D1DDBF9">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6A77BFA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占地规模</w:t>
            </w:r>
          </w:p>
        </w:tc>
        <w:tc>
          <w:tcPr>
            <w:tcW w:w="6339" w:type="dxa"/>
            <w:gridSpan w:val="5"/>
            <w:tcMar>
              <w:left w:w="28" w:type="dxa"/>
              <w:right w:w="28" w:type="dxa"/>
            </w:tcMar>
            <w:vAlign w:val="center"/>
          </w:tcPr>
          <w:p w14:paraId="386911E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小型</w:t>
            </w:r>
          </w:p>
        </w:tc>
        <w:tc>
          <w:tcPr>
            <w:tcW w:w="606" w:type="dxa"/>
            <w:tcMar>
              <w:left w:w="28" w:type="dxa"/>
              <w:right w:w="28" w:type="dxa"/>
            </w:tcMar>
            <w:vAlign w:val="center"/>
          </w:tcPr>
          <w:p w14:paraId="783524BD">
            <w:pPr>
              <w:spacing w:line="0" w:lineRule="atLeast"/>
              <w:jc w:val="center"/>
              <w:rPr>
                <w:rFonts w:hint="eastAsia" w:hAnsi="宋体" w:cs="宋体"/>
                <w:color w:val="000000"/>
                <w:spacing w:val="-10"/>
                <w:sz w:val="21"/>
                <w:szCs w:val="21"/>
                <w:lang w:bidi="ar"/>
              </w:rPr>
            </w:pPr>
          </w:p>
        </w:tc>
      </w:tr>
      <w:tr w14:paraId="0C21B7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1B85D39F">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5774255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敏感目标信息</w:t>
            </w:r>
          </w:p>
        </w:tc>
        <w:tc>
          <w:tcPr>
            <w:tcW w:w="6339" w:type="dxa"/>
            <w:gridSpan w:val="5"/>
            <w:tcMar>
              <w:left w:w="28" w:type="dxa"/>
              <w:right w:w="28" w:type="dxa"/>
            </w:tcMar>
            <w:vAlign w:val="center"/>
          </w:tcPr>
          <w:p w14:paraId="46F39C7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敏感目标（）、方位（）、距离（）</w:t>
            </w:r>
          </w:p>
        </w:tc>
        <w:tc>
          <w:tcPr>
            <w:tcW w:w="606" w:type="dxa"/>
            <w:tcMar>
              <w:left w:w="28" w:type="dxa"/>
              <w:right w:w="28" w:type="dxa"/>
            </w:tcMar>
            <w:vAlign w:val="center"/>
          </w:tcPr>
          <w:p w14:paraId="5C0C1409">
            <w:pPr>
              <w:spacing w:line="0" w:lineRule="atLeast"/>
              <w:jc w:val="center"/>
              <w:rPr>
                <w:rFonts w:hint="eastAsia" w:hAnsi="宋体" w:cs="宋体"/>
                <w:color w:val="000000"/>
                <w:spacing w:val="-10"/>
                <w:sz w:val="21"/>
                <w:szCs w:val="21"/>
                <w:lang w:bidi="ar"/>
              </w:rPr>
            </w:pPr>
          </w:p>
        </w:tc>
      </w:tr>
      <w:tr w14:paraId="6F6102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2A8B2F39">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603A9EE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影响途径</w:t>
            </w:r>
          </w:p>
        </w:tc>
        <w:tc>
          <w:tcPr>
            <w:tcW w:w="6339" w:type="dxa"/>
            <w:gridSpan w:val="5"/>
            <w:tcMar>
              <w:left w:w="28" w:type="dxa"/>
              <w:right w:w="28" w:type="dxa"/>
            </w:tcMar>
            <w:vAlign w:val="center"/>
          </w:tcPr>
          <w:p w14:paraId="02A9B62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大气沉降</w:t>
            </w:r>
            <w:r>
              <w:rPr>
                <w:rFonts w:hint="eastAsia" w:hAnsi="宋体" w:cs="宋体"/>
                <w:color w:val="000000"/>
                <w:spacing w:val="-10"/>
                <w:sz w:val="21"/>
                <w:szCs w:val="21"/>
              </w:rPr>
              <w:t>□；地面漫流□；垂直入渗☑；地下水位□；其他（）</w:t>
            </w:r>
          </w:p>
        </w:tc>
        <w:tc>
          <w:tcPr>
            <w:tcW w:w="606" w:type="dxa"/>
            <w:tcMar>
              <w:left w:w="28" w:type="dxa"/>
              <w:right w:w="28" w:type="dxa"/>
            </w:tcMar>
            <w:vAlign w:val="center"/>
          </w:tcPr>
          <w:p w14:paraId="66CFE69A">
            <w:pPr>
              <w:spacing w:line="0" w:lineRule="atLeast"/>
              <w:jc w:val="center"/>
              <w:rPr>
                <w:rFonts w:hint="eastAsia" w:hAnsi="宋体" w:cs="宋体"/>
                <w:color w:val="000000"/>
                <w:spacing w:val="-10"/>
                <w:sz w:val="21"/>
                <w:szCs w:val="21"/>
                <w:lang w:bidi="ar"/>
              </w:rPr>
            </w:pPr>
          </w:p>
        </w:tc>
      </w:tr>
      <w:tr w14:paraId="5036C5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162945C9">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1BFBFD6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全部污染物</w:t>
            </w:r>
          </w:p>
        </w:tc>
        <w:tc>
          <w:tcPr>
            <w:tcW w:w="6339" w:type="dxa"/>
            <w:gridSpan w:val="5"/>
            <w:tcMar>
              <w:left w:w="28" w:type="dxa"/>
              <w:right w:w="28" w:type="dxa"/>
            </w:tcMar>
            <w:vAlign w:val="center"/>
          </w:tcPr>
          <w:p w14:paraId="6252986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606" w:type="dxa"/>
            <w:tcMar>
              <w:left w:w="28" w:type="dxa"/>
              <w:right w:w="28" w:type="dxa"/>
            </w:tcMar>
            <w:vAlign w:val="center"/>
          </w:tcPr>
          <w:p w14:paraId="3CE2C0FE">
            <w:pPr>
              <w:spacing w:line="0" w:lineRule="atLeast"/>
              <w:jc w:val="center"/>
              <w:rPr>
                <w:rFonts w:hint="eastAsia" w:hAnsi="宋体" w:cs="宋体"/>
                <w:color w:val="000000"/>
                <w:spacing w:val="-10"/>
                <w:sz w:val="21"/>
                <w:szCs w:val="21"/>
                <w:lang w:bidi="ar"/>
              </w:rPr>
            </w:pPr>
          </w:p>
        </w:tc>
      </w:tr>
      <w:tr w14:paraId="7A238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2" w:type="dxa"/>
            <w:gridSpan w:val="2"/>
            <w:vMerge w:val="continue"/>
            <w:tcMar>
              <w:left w:w="28" w:type="dxa"/>
              <w:right w:w="28" w:type="dxa"/>
            </w:tcMar>
            <w:vAlign w:val="center"/>
          </w:tcPr>
          <w:p w14:paraId="6331A0EC">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6ECA0A0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特征因子</w:t>
            </w:r>
          </w:p>
        </w:tc>
        <w:tc>
          <w:tcPr>
            <w:tcW w:w="6339" w:type="dxa"/>
            <w:gridSpan w:val="5"/>
            <w:tcMar>
              <w:left w:w="28" w:type="dxa"/>
              <w:right w:w="28" w:type="dxa"/>
            </w:tcMar>
            <w:vAlign w:val="center"/>
          </w:tcPr>
          <w:p w14:paraId="111EC70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606" w:type="dxa"/>
            <w:tcMar>
              <w:left w:w="28" w:type="dxa"/>
              <w:right w:w="28" w:type="dxa"/>
            </w:tcMar>
            <w:vAlign w:val="center"/>
          </w:tcPr>
          <w:p w14:paraId="5A61BEDD">
            <w:pPr>
              <w:spacing w:line="0" w:lineRule="atLeast"/>
              <w:jc w:val="center"/>
              <w:rPr>
                <w:rFonts w:hint="eastAsia" w:hAnsi="宋体" w:cs="宋体"/>
                <w:color w:val="000000"/>
                <w:spacing w:val="-10"/>
                <w:sz w:val="21"/>
                <w:szCs w:val="21"/>
                <w:lang w:bidi="ar"/>
              </w:rPr>
            </w:pPr>
          </w:p>
        </w:tc>
      </w:tr>
      <w:tr w14:paraId="363A3F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45" w:hRule="atLeast"/>
          <w:jc w:val="center"/>
        </w:trPr>
        <w:tc>
          <w:tcPr>
            <w:tcW w:w="562" w:type="dxa"/>
            <w:gridSpan w:val="2"/>
            <w:vMerge w:val="continue"/>
            <w:tcMar>
              <w:left w:w="28" w:type="dxa"/>
              <w:right w:w="28" w:type="dxa"/>
            </w:tcMar>
            <w:vAlign w:val="center"/>
          </w:tcPr>
          <w:p w14:paraId="4A9F1F1B">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062E0361">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所属土壤环境影响评价项目类别</w:t>
            </w:r>
          </w:p>
        </w:tc>
        <w:tc>
          <w:tcPr>
            <w:tcW w:w="3430" w:type="dxa"/>
            <w:gridSpan w:val="3"/>
            <w:tcMar>
              <w:left w:w="28" w:type="dxa"/>
              <w:right w:w="28" w:type="dxa"/>
            </w:tcMar>
            <w:vAlign w:val="center"/>
          </w:tcPr>
          <w:p w14:paraId="38FED3E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集输管线</w:t>
            </w:r>
          </w:p>
        </w:tc>
        <w:tc>
          <w:tcPr>
            <w:tcW w:w="2909" w:type="dxa"/>
            <w:gridSpan w:val="2"/>
            <w:tcMar>
              <w:left w:w="28" w:type="dxa"/>
              <w:right w:w="28" w:type="dxa"/>
            </w:tcMar>
            <w:vAlign w:val="center"/>
          </w:tcPr>
          <w:p w14:paraId="437B230E">
            <w:pPr>
              <w:spacing w:line="0" w:lineRule="atLeast"/>
              <w:jc w:val="center"/>
              <w:rPr>
                <w:rFonts w:hint="eastAsia" w:hAnsi="宋体" w:cs="宋体"/>
                <w:color w:val="000000"/>
                <w:spacing w:val="-14"/>
                <w:sz w:val="21"/>
                <w:szCs w:val="21"/>
                <w:lang w:bidi="ar"/>
              </w:rPr>
            </w:pPr>
            <w:r>
              <w:rPr>
                <w:rFonts w:hint="eastAsia" w:hAnsi="宋体" w:cs="宋体"/>
                <w:color w:val="000000"/>
                <w:spacing w:val="-14"/>
                <w:sz w:val="21"/>
                <w:szCs w:val="21"/>
                <w:lang w:bidi="ar"/>
              </w:rPr>
              <w:t>Ⅰ类</w:t>
            </w:r>
            <w:r>
              <w:rPr>
                <w:rFonts w:hint="eastAsia" w:hAnsi="宋体" w:cs="宋体"/>
                <w:color w:val="000000"/>
                <w:spacing w:val="-14"/>
                <w:sz w:val="21"/>
                <w:szCs w:val="21"/>
              </w:rPr>
              <w:t>□；Ⅱ类☑；Ⅲ类□；Ⅳ类□</w:t>
            </w:r>
          </w:p>
        </w:tc>
        <w:tc>
          <w:tcPr>
            <w:tcW w:w="606" w:type="dxa"/>
            <w:vMerge w:val="restart"/>
            <w:tcMar>
              <w:left w:w="28" w:type="dxa"/>
              <w:right w:w="28" w:type="dxa"/>
            </w:tcMar>
            <w:vAlign w:val="center"/>
          </w:tcPr>
          <w:p w14:paraId="7AAE8067">
            <w:pPr>
              <w:spacing w:line="0" w:lineRule="atLeast"/>
              <w:jc w:val="center"/>
              <w:rPr>
                <w:rFonts w:hint="eastAsia" w:hAnsi="宋体" w:cs="宋体"/>
                <w:color w:val="000000"/>
                <w:spacing w:val="-10"/>
                <w:sz w:val="21"/>
                <w:szCs w:val="21"/>
                <w:lang w:bidi="ar"/>
              </w:rPr>
            </w:pPr>
          </w:p>
        </w:tc>
      </w:tr>
      <w:tr w14:paraId="0B7D3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05" w:hRule="atLeast"/>
          <w:jc w:val="center"/>
        </w:trPr>
        <w:tc>
          <w:tcPr>
            <w:tcW w:w="562" w:type="dxa"/>
            <w:gridSpan w:val="2"/>
            <w:vMerge w:val="continue"/>
            <w:tcMar>
              <w:left w:w="28" w:type="dxa"/>
              <w:right w:w="28" w:type="dxa"/>
            </w:tcMar>
            <w:vAlign w:val="center"/>
          </w:tcPr>
          <w:p w14:paraId="63204BFD">
            <w:pPr>
              <w:spacing w:line="0" w:lineRule="atLeast"/>
              <w:jc w:val="center"/>
              <w:rPr>
                <w:rFonts w:hint="eastAsia" w:hAnsi="宋体" w:cs="宋体"/>
                <w:color w:val="000000"/>
                <w:spacing w:val="-10"/>
                <w:sz w:val="21"/>
                <w:szCs w:val="21"/>
                <w:lang w:bidi="ar"/>
              </w:rPr>
            </w:pPr>
          </w:p>
        </w:tc>
        <w:tc>
          <w:tcPr>
            <w:tcW w:w="1512" w:type="dxa"/>
            <w:tcMar>
              <w:left w:w="28" w:type="dxa"/>
              <w:right w:w="28" w:type="dxa"/>
            </w:tcMar>
            <w:vAlign w:val="center"/>
          </w:tcPr>
          <w:p w14:paraId="0D1956FD">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敏感程度</w:t>
            </w:r>
          </w:p>
        </w:tc>
        <w:tc>
          <w:tcPr>
            <w:tcW w:w="3430" w:type="dxa"/>
            <w:gridSpan w:val="3"/>
            <w:tcMar>
              <w:left w:w="28" w:type="dxa"/>
              <w:right w:w="28" w:type="dxa"/>
            </w:tcMar>
            <w:vAlign w:val="center"/>
          </w:tcPr>
          <w:p w14:paraId="134E814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集输管线</w:t>
            </w:r>
          </w:p>
        </w:tc>
        <w:tc>
          <w:tcPr>
            <w:tcW w:w="2909" w:type="dxa"/>
            <w:gridSpan w:val="2"/>
            <w:tcMar>
              <w:left w:w="28" w:type="dxa"/>
              <w:right w:w="28" w:type="dxa"/>
            </w:tcMar>
            <w:vAlign w:val="center"/>
          </w:tcPr>
          <w:p w14:paraId="0F9A6D1A">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敏感</w:t>
            </w:r>
            <w:r>
              <w:rPr>
                <w:rFonts w:hint="eastAsia" w:hAnsi="宋体" w:cs="宋体"/>
                <w:color w:val="000000"/>
                <w:spacing w:val="-10"/>
                <w:sz w:val="21"/>
                <w:szCs w:val="21"/>
              </w:rPr>
              <w:t>□；较敏感□；不敏感☑</w:t>
            </w:r>
          </w:p>
        </w:tc>
        <w:tc>
          <w:tcPr>
            <w:tcW w:w="606" w:type="dxa"/>
            <w:tcMar>
              <w:left w:w="28" w:type="dxa"/>
              <w:right w:w="28" w:type="dxa"/>
            </w:tcMar>
            <w:vAlign w:val="center"/>
          </w:tcPr>
          <w:p w14:paraId="73C0CBBB">
            <w:pPr>
              <w:spacing w:line="0" w:lineRule="atLeast"/>
              <w:jc w:val="center"/>
              <w:rPr>
                <w:rFonts w:hint="eastAsia" w:hAnsi="宋体" w:cs="宋体"/>
                <w:color w:val="000000"/>
                <w:spacing w:val="-10"/>
                <w:sz w:val="21"/>
                <w:szCs w:val="21"/>
                <w:lang w:bidi="ar"/>
              </w:rPr>
            </w:pPr>
          </w:p>
        </w:tc>
      </w:tr>
      <w:tr w14:paraId="09350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37" w:hRule="atLeast"/>
          <w:jc w:val="center"/>
        </w:trPr>
        <w:tc>
          <w:tcPr>
            <w:tcW w:w="2074" w:type="dxa"/>
            <w:gridSpan w:val="3"/>
            <w:tcMar>
              <w:left w:w="28" w:type="dxa"/>
              <w:right w:w="28" w:type="dxa"/>
            </w:tcMar>
            <w:vAlign w:val="center"/>
          </w:tcPr>
          <w:p w14:paraId="170DDB8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评价工作等级</w:t>
            </w:r>
          </w:p>
        </w:tc>
        <w:tc>
          <w:tcPr>
            <w:tcW w:w="3430" w:type="dxa"/>
            <w:gridSpan w:val="3"/>
            <w:tcMar>
              <w:left w:w="28" w:type="dxa"/>
              <w:right w:w="28" w:type="dxa"/>
            </w:tcMar>
            <w:vAlign w:val="center"/>
          </w:tcPr>
          <w:p w14:paraId="6CFFFE5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集输管线</w:t>
            </w:r>
          </w:p>
        </w:tc>
        <w:tc>
          <w:tcPr>
            <w:tcW w:w="2909" w:type="dxa"/>
            <w:gridSpan w:val="2"/>
            <w:tcMar>
              <w:left w:w="28" w:type="dxa"/>
              <w:right w:w="28" w:type="dxa"/>
            </w:tcMar>
            <w:vAlign w:val="center"/>
          </w:tcPr>
          <w:p w14:paraId="4A5FDE71">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一级</w:t>
            </w:r>
            <w:r>
              <w:rPr>
                <w:rFonts w:hint="eastAsia" w:hAnsi="宋体" w:cs="宋体"/>
                <w:color w:val="000000"/>
                <w:spacing w:val="-10"/>
                <w:sz w:val="21"/>
                <w:szCs w:val="21"/>
              </w:rPr>
              <w:t>□；二级□；三级☑</w:t>
            </w:r>
          </w:p>
        </w:tc>
        <w:tc>
          <w:tcPr>
            <w:tcW w:w="606" w:type="dxa"/>
            <w:tcMar>
              <w:left w:w="28" w:type="dxa"/>
              <w:right w:w="28" w:type="dxa"/>
            </w:tcMar>
            <w:vAlign w:val="center"/>
          </w:tcPr>
          <w:p w14:paraId="599D169F">
            <w:pPr>
              <w:spacing w:line="0" w:lineRule="atLeast"/>
              <w:jc w:val="center"/>
              <w:rPr>
                <w:rFonts w:hint="eastAsia" w:hAnsi="宋体" w:cs="宋体"/>
                <w:color w:val="000000"/>
                <w:spacing w:val="-10"/>
                <w:sz w:val="21"/>
                <w:szCs w:val="21"/>
                <w:lang w:bidi="ar"/>
              </w:rPr>
            </w:pPr>
          </w:p>
        </w:tc>
      </w:tr>
      <w:tr w14:paraId="01DF3D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restart"/>
            <w:tcMar>
              <w:left w:w="28" w:type="dxa"/>
              <w:right w:w="28" w:type="dxa"/>
            </w:tcMar>
            <w:vAlign w:val="center"/>
          </w:tcPr>
          <w:p w14:paraId="117F48E7">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现状调查内容</w:t>
            </w:r>
          </w:p>
        </w:tc>
        <w:tc>
          <w:tcPr>
            <w:tcW w:w="1530" w:type="dxa"/>
            <w:gridSpan w:val="2"/>
            <w:tcMar>
              <w:left w:w="28" w:type="dxa"/>
              <w:right w:w="28" w:type="dxa"/>
            </w:tcMar>
            <w:vAlign w:val="center"/>
          </w:tcPr>
          <w:p w14:paraId="0C06294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资料收集</w:t>
            </w:r>
          </w:p>
        </w:tc>
        <w:tc>
          <w:tcPr>
            <w:tcW w:w="6339" w:type="dxa"/>
            <w:gridSpan w:val="5"/>
            <w:tcMar>
              <w:left w:w="28" w:type="dxa"/>
              <w:right w:w="28" w:type="dxa"/>
            </w:tcMar>
            <w:vAlign w:val="center"/>
          </w:tcPr>
          <w:p w14:paraId="765F8EBC">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a）☑；b）☑；c）☑；d）☑</w:t>
            </w:r>
          </w:p>
        </w:tc>
        <w:tc>
          <w:tcPr>
            <w:tcW w:w="606" w:type="dxa"/>
            <w:tcMar>
              <w:left w:w="28" w:type="dxa"/>
              <w:right w:w="28" w:type="dxa"/>
            </w:tcMar>
            <w:vAlign w:val="center"/>
          </w:tcPr>
          <w:p w14:paraId="6FDE437D">
            <w:pPr>
              <w:spacing w:line="0" w:lineRule="atLeast"/>
              <w:jc w:val="center"/>
              <w:rPr>
                <w:rFonts w:hint="eastAsia" w:hAnsi="宋体" w:cs="宋体"/>
                <w:color w:val="000000"/>
                <w:spacing w:val="-10"/>
                <w:sz w:val="21"/>
                <w:szCs w:val="21"/>
                <w:lang w:bidi="ar"/>
              </w:rPr>
            </w:pPr>
          </w:p>
        </w:tc>
      </w:tr>
      <w:tr w14:paraId="33C2C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continue"/>
            <w:tcMar>
              <w:left w:w="28" w:type="dxa"/>
              <w:right w:w="28" w:type="dxa"/>
            </w:tcMar>
            <w:vAlign w:val="center"/>
          </w:tcPr>
          <w:p w14:paraId="27A2AE69">
            <w:pPr>
              <w:spacing w:line="0" w:lineRule="atLeast"/>
              <w:jc w:val="center"/>
              <w:rPr>
                <w:rFonts w:hint="eastAsia" w:hAnsi="宋体" w:cs="宋体"/>
                <w:color w:val="000000"/>
                <w:spacing w:val="-10"/>
                <w:sz w:val="21"/>
                <w:szCs w:val="21"/>
                <w:lang w:bidi="ar"/>
              </w:rPr>
            </w:pPr>
          </w:p>
        </w:tc>
        <w:tc>
          <w:tcPr>
            <w:tcW w:w="1530" w:type="dxa"/>
            <w:gridSpan w:val="2"/>
            <w:tcMar>
              <w:left w:w="28" w:type="dxa"/>
              <w:right w:w="28" w:type="dxa"/>
            </w:tcMar>
            <w:vAlign w:val="center"/>
          </w:tcPr>
          <w:p w14:paraId="4A8079A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理化特性</w:t>
            </w:r>
          </w:p>
        </w:tc>
        <w:tc>
          <w:tcPr>
            <w:tcW w:w="6339" w:type="dxa"/>
            <w:gridSpan w:val="5"/>
            <w:tcMar>
              <w:left w:w="28" w:type="dxa"/>
              <w:right w:w="28" w:type="dxa"/>
            </w:tcMar>
            <w:vAlign w:val="center"/>
          </w:tcPr>
          <w:p w14:paraId="46DBC4AB">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土壤结构、土壤容重、饱和导水率、孔隙度等</w:t>
            </w:r>
          </w:p>
        </w:tc>
        <w:tc>
          <w:tcPr>
            <w:tcW w:w="606" w:type="dxa"/>
            <w:tcMar>
              <w:left w:w="28" w:type="dxa"/>
              <w:right w:w="28" w:type="dxa"/>
            </w:tcMar>
            <w:vAlign w:val="center"/>
          </w:tcPr>
          <w:p w14:paraId="5BC31A5F">
            <w:pPr>
              <w:pStyle w:val="135"/>
              <w:adjustRightInd/>
              <w:spacing w:line="0" w:lineRule="atLeast"/>
              <w:ind w:firstLine="0"/>
              <w:jc w:val="center"/>
              <w:textAlignment w:val="auto"/>
              <w:rPr>
                <w:rFonts w:hint="eastAsia" w:ascii="宋体" w:hAnsi="宋体" w:eastAsia="宋体" w:cs="宋体"/>
                <w:color w:val="000000"/>
                <w:spacing w:val="-10"/>
                <w:sz w:val="21"/>
                <w:szCs w:val="21"/>
                <w:lang w:bidi="ar"/>
              </w:rPr>
            </w:pPr>
          </w:p>
        </w:tc>
      </w:tr>
      <w:tr w14:paraId="37C644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continue"/>
            <w:tcMar>
              <w:left w:w="28" w:type="dxa"/>
              <w:right w:w="28" w:type="dxa"/>
            </w:tcMar>
            <w:vAlign w:val="center"/>
          </w:tcPr>
          <w:p w14:paraId="5CB738B7">
            <w:pPr>
              <w:spacing w:line="0" w:lineRule="atLeast"/>
              <w:jc w:val="center"/>
              <w:rPr>
                <w:rFonts w:hint="eastAsia" w:hAnsi="宋体" w:cs="宋体"/>
                <w:color w:val="000000"/>
                <w:spacing w:val="-10"/>
                <w:sz w:val="21"/>
                <w:szCs w:val="21"/>
                <w:lang w:bidi="ar"/>
              </w:rPr>
            </w:pPr>
          </w:p>
        </w:tc>
        <w:tc>
          <w:tcPr>
            <w:tcW w:w="1530" w:type="dxa"/>
            <w:gridSpan w:val="2"/>
            <w:vMerge w:val="restart"/>
            <w:tcMar>
              <w:left w:w="28" w:type="dxa"/>
              <w:right w:w="28" w:type="dxa"/>
            </w:tcMar>
            <w:vAlign w:val="center"/>
          </w:tcPr>
          <w:p w14:paraId="2E85D116">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现状监测点位</w:t>
            </w:r>
          </w:p>
        </w:tc>
        <w:tc>
          <w:tcPr>
            <w:tcW w:w="1355" w:type="dxa"/>
            <w:tcMar>
              <w:left w:w="28" w:type="dxa"/>
              <w:right w:w="28" w:type="dxa"/>
            </w:tcMar>
            <w:vAlign w:val="center"/>
          </w:tcPr>
          <w:p w14:paraId="7E52687E">
            <w:pPr>
              <w:spacing w:line="0" w:lineRule="atLeast"/>
              <w:jc w:val="center"/>
              <w:rPr>
                <w:rFonts w:hint="eastAsia" w:hAnsi="宋体" w:cs="宋体"/>
                <w:color w:val="000000"/>
                <w:spacing w:val="-10"/>
                <w:sz w:val="21"/>
                <w:szCs w:val="21"/>
              </w:rPr>
            </w:pPr>
          </w:p>
        </w:tc>
        <w:tc>
          <w:tcPr>
            <w:tcW w:w="1410" w:type="dxa"/>
            <w:tcMar>
              <w:left w:w="28" w:type="dxa"/>
              <w:right w:w="28" w:type="dxa"/>
            </w:tcMar>
            <w:vAlign w:val="center"/>
          </w:tcPr>
          <w:p w14:paraId="3DDCED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占地范围内</w:t>
            </w:r>
          </w:p>
        </w:tc>
        <w:tc>
          <w:tcPr>
            <w:tcW w:w="1263" w:type="dxa"/>
            <w:gridSpan w:val="2"/>
            <w:tcMar>
              <w:left w:w="28" w:type="dxa"/>
              <w:right w:w="28" w:type="dxa"/>
            </w:tcMar>
            <w:vAlign w:val="center"/>
          </w:tcPr>
          <w:p w14:paraId="2FDBD0C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占地范围外</w:t>
            </w:r>
          </w:p>
        </w:tc>
        <w:tc>
          <w:tcPr>
            <w:tcW w:w="2311" w:type="dxa"/>
            <w:tcMar>
              <w:left w:w="28" w:type="dxa"/>
              <w:right w:w="28" w:type="dxa"/>
            </w:tcMar>
            <w:vAlign w:val="center"/>
          </w:tcPr>
          <w:p w14:paraId="5571098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深度</w:t>
            </w:r>
          </w:p>
        </w:tc>
        <w:tc>
          <w:tcPr>
            <w:tcW w:w="606" w:type="dxa"/>
            <w:tcMar>
              <w:left w:w="28" w:type="dxa"/>
              <w:right w:w="28" w:type="dxa"/>
            </w:tcMar>
            <w:vAlign w:val="center"/>
          </w:tcPr>
          <w:p w14:paraId="183D55EE">
            <w:pPr>
              <w:spacing w:line="0" w:lineRule="atLeast"/>
              <w:jc w:val="center"/>
              <w:rPr>
                <w:rFonts w:hint="eastAsia" w:hAnsi="宋体" w:cs="宋体"/>
                <w:color w:val="000000"/>
                <w:spacing w:val="-10"/>
                <w:sz w:val="21"/>
                <w:szCs w:val="21"/>
                <w:lang w:bidi="ar"/>
              </w:rPr>
            </w:pPr>
          </w:p>
        </w:tc>
      </w:tr>
      <w:tr w14:paraId="263360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continue"/>
            <w:tcMar>
              <w:left w:w="28" w:type="dxa"/>
              <w:right w:w="28" w:type="dxa"/>
            </w:tcMar>
            <w:vAlign w:val="center"/>
          </w:tcPr>
          <w:p w14:paraId="1862EC23">
            <w:pPr>
              <w:spacing w:line="0" w:lineRule="atLeast"/>
              <w:jc w:val="center"/>
              <w:rPr>
                <w:rFonts w:hint="eastAsia" w:hAnsi="宋体" w:cs="宋体"/>
                <w:color w:val="000000"/>
                <w:spacing w:val="-10"/>
                <w:sz w:val="21"/>
                <w:szCs w:val="21"/>
                <w:lang w:bidi="ar"/>
              </w:rPr>
            </w:pPr>
          </w:p>
        </w:tc>
        <w:tc>
          <w:tcPr>
            <w:tcW w:w="1530" w:type="dxa"/>
            <w:gridSpan w:val="2"/>
            <w:vMerge w:val="continue"/>
            <w:tcMar>
              <w:left w:w="28" w:type="dxa"/>
              <w:right w:w="28" w:type="dxa"/>
            </w:tcMar>
            <w:vAlign w:val="center"/>
          </w:tcPr>
          <w:p w14:paraId="7FCDFB69">
            <w:pPr>
              <w:spacing w:line="0" w:lineRule="atLeast"/>
              <w:jc w:val="center"/>
              <w:rPr>
                <w:rFonts w:hint="eastAsia" w:hAnsi="宋体" w:cs="宋体"/>
                <w:color w:val="000000"/>
                <w:spacing w:val="-10"/>
                <w:sz w:val="21"/>
                <w:szCs w:val="21"/>
                <w:lang w:bidi="ar"/>
              </w:rPr>
            </w:pPr>
          </w:p>
        </w:tc>
        <w:tc>
          <w:tcPr>
            <w:tcW w:w="1355" w:type="dxa"/>
            <w:tcMar>
              <w:left w:w="28" w:type="dxa"/>
              <w:right w:w="28" w:type="dxa"/>
            </w:tcMar>
            <w:vAlign w:val="center"/>
          </w:tcPr>
          <w:p w14:paraId="21ECEC0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表层样点数</w:t>
            </w:r>
          </w:p>
        </w:tc>
        <w:tc>
          <w:tcPr>
            <w:tcW w:w="1410" w:type="dxa"/>
            <w:tcMar>
              <w:left w:w="28" w:type="dxa"/>
              <w:right w:w="28" w:type="dxa"/>
            </w:tcMar>
            <w:vAlign w:val="center"/>
          </w:tcPr>
          <w:p w14:paraId="5D0269F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1263" w:type="dxa"/>
            <w:gridSpan w:val="2"/>
            <w:tcMar>
              <w:left w:w="28" w:type="dxa"/>
              <w:right w:w="28" w:type="dxa"/>
            </w:tcMar>
            <w:vAlign w:val="center"/>
          </w:tcPr>
          <w:p w14:paraId="0CA1F4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2311" w:type="dxa"/>
            <w:tcMar>
              <w:left w:w="28" w:type="dxa"/>
              <w:right w:w="28" w:type="dxa"/>
            </w:tcMar>
            <w:vAlign w:val="center"/>
          </w:tcPr>
          <w:p w14:paraId="23F4383F">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0.2m</w:t>
            </w:r>
          </w:p>
        </w:tc>
        <w:tc>
          <w:tcPr>
            <w:tcW w:w="606" w:type="dxa"/>
            <w:tcMar>
              <w:left w:w="28" w:type="dxa"/>
              <w:right w:w="28" w:type="dxa"/>
            </w:tcMar>
            <w:vAlign w:val="center"/>
          </w:tcPr>
          <w:p w14:paraId="0A52CAFB">
            <w:pPr>
              <w:spacing w:line="0" w:lineRule="atLeast"/>
              <w:jc w:val="center"/>
              <w:rPr>
                <w:rFonts w:hint="eastAsia" w:hAnsi="宋体" w:cs="宋体"/>
                <w:color w:val="000000"/>
                <w:spacing w:val="-10"/>
                <w:sz w:val="21"/>
                <w:szCs w:val="21"/>
                <w:lang w:bidi="ar"/>
              </w:rPr>
            </w:pPr>
          </w:p>
        </w:tc>
      </w:tr>
      <w:tr w14:paraId="13EAE0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continue"/>
            <w:tcMar>
              <w:left w:w="28" w:type="dxa"/>
              <w:right w:w="28" w:type="dxa"/>
            </w:tcMar>
            <w:vAlign w:val="center"/>
          </w:tcPr>
          <w:p w14:paraId="1E879A2C">
            <w:pPr>
              <w:spacing w:line="0" w:lineRule="atLeast"/>
              <w:jc w:val="center"/>
              <w:rPr>
                <w:rFonts w:hint="eastAsia" w:hAnsi="宋体" w:cs="宋体"/>
                <w:color w:val="000000"/>
                <w:spacing w:val="-10"/>
                <w:sz w:val="21"/>
                <w:szCs w:val="21"/>
                <w:lang w:bidi="ar"/>
              </w:rPr>
            </w:pPr>
          </w:p>
        </w:tc>
        <w:tc>
          <w:tcPr>
            <w:tcW w:w="1530" w:type="dxa"/>
            <w:gridSpan w:val="2"/>
            <w:vMerge w:val="continue"/>
            <w:tcMar>
              <w:left w:w="28" w:type="dxa"/>
              <w:right w:w="28" w:type="dxa"/>
            </w:tcMar>
            <w:vAlign w:val="center"/>
          </w:tcPr>
          <w:p w14:paraId="14F1DE3B">
            <w:pPr>
              <w:spacing w:line="0" w:lineRule="atLeast"/>
              <w:jc w:val="center"/>
              <w:rPr>
                <w:rFonts w:hint="eastAsia" w:hAnsi="宋体" w:cs="宋体"/>
                <w:color w:val="000000"/>
                <w:spacing w:val="-10"/>
                <w:sz w:val="21"/>
                <w:szCs w:val="21"/>
                <w:lang w:bidi="ar"/>
              </w:rPr>
            </w:pPr>
          </w:p>
        </w:tc>
        <w:tc>
          <w:tcPr>
            <w:tcW w:w="1355" w:type="dxa"/>
            <w:tcMar>
              <w:left w:w="28" w:type="dxa"/>
              <w:right w:w="28" w:type="dxa"/>
            </w:tcMar>
            <w:vAlign w:val="center"/>
          </w:tcPr>
          <w:p w14:paraId="03B56A2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柱状样点数</w:t>
            </w:r>
          </w:p>
        </w:tc>
        <w:tc>
          <w:tcPr>
            <w:tcW w:w="1410" w:type="dxa"/>
            <w:tcMar>
              <w:left w:w="28" w:type="dxa"/>
              <w:right w:w="28" w:type="dxa"/>
            </w:tcMar>
            <w:vAlign w:val="center"/>
          </w:tcPr>
          <w:p w14:paraId="6788B7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263" w:type="dxa"/>
            <w:gridSpan w:val="2"/>
            <w:tcMar>
              <w:left w:w="28" w:type="dxa"/>
              <w:right w:w="28" w:type="dxa"/>
            </w:tcMar>
            <w:vAlign w:val="center"/>
          </w:tcPr>
          <w:p w14:paraId="35FC641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2311" w:type="dxa"/>
            <w:tcMar>
              <w:left w:w="28" w:type="dxa"/>
              <w:right w:w="28" w:type="dxa"/>
            </w:tcMar>
            <w:vAlign w:val="center"/>
          </w:tcPr>
          <w:p w14:paraId="7A1B39C1">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w:t>
            </w:r>
          </w:p>
        </w:tc>
        <w:tc>
          <w:tcPr>
            <w:tcW w:w="606" w:type="dxa"/>
            <w:tcMar>
              <w:left w:w="28" w:type="dxa"/>
              <w:right w:w="28" w:type="dxa"/>
            </w:tcMar>
            <w:vAlign w:val="center"/>
          </w:tcPr>
          <w:p w14:paraId="53E9E1BF">
            <w:pPr>
              <w:spacing w:line="0" w:lineRule="atLeast"/>
              <w:jc w:val="center"/>
              <w:rPr>
                <w:rFonts w:hint="eastAsia" w:hAnsi="宋体" w:cs="宋体"/>
                <w:color w:val="000000"/>
                <w:spacing w:val="-10"/>
                <w:sz w:val="21"/>
                <w:szCs w:val="21"/>
                <w:lang w:bidi="ar"/>
              </w:rPr>
            </w:pPr>
          </w:p>
        </w:tc>
      </w:tr>
      <w:tr w14:paraId="2A2A12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vMerge w:val="continue"/>
            <w:tcMar>
              <w:left w:w="28" w:type="dxa"/>
              <w:right w:w="28" w:type="dxa"/>
            </w:tcMar>
            <w:vAlign w:val="center"/>
          </w:tcPr>
          <w:p w14:paraId="13636A71">
            <w:pPr>
              <w:spacing w:line="0" w:lineRule="atLeast"/>
              <w:jc w:val="center"/>
              <w:rPr>
                <w:rFonts w:hint="eastAsia" w:hAnsi="宋体" w:cs="宋体"/>
                <w:color w:val="000000"/>
                <w:spacing w:val="-10"/>
                <w:sz w:val="21"/>
                <w:szCs w:val="21"/>
                <w:lang w:bidi="ar"/>
              </w:rPr>
            </w:pPr>
          </w:p>
        </w:tc>
        <w:tc>
          <w:tcPr>
            <w:tcW w:w="1530" w:type="dxa"/>
            <w:gridSpan w:val="2"/>
            <w:tcMar>
              <w:left w:w="28" w:type="dxa"/>
              <w:right w:w="28" w:type="dxa"/>
            </w:tcMar>
            <w:vAlign w:val="center"/>
          </w:tcPr>
          <w:p w14:paraId="68A8114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现状监测因子</w:t>
            </w:r>
          </w:p>
        </w:tc>
        <w:tc>
          <w:tcPr>
            <w:tcW w:w="6339" w:type="dxa"/>
            <w:gridSpan w:val="5"/>
            <w:vMerge w:val="restart"/>
            <w:tcMar>
              <w:left w:w="28" w:type="dxa"/>
              <w:right w:w="28" w:type="dxa"/>
            </w:tcMar>
            <w:vAlign w:val="center"/>
          </w:tcPr>
          <w:p w14:paraId="7A7756E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砷、镉、铬（六价）、铜、铅、汞、镍、锌、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pH、全盐量、石油类、石油烃（C</w:t>
            </w:r>
            <w:r>
              <w:rPr>
                <w:rFonts w:hint="eastAsia" w:hAnsi="宋体" w:cs="宋体"/>
                <w:color w:val="000000"/>
                <w:spacing w:val="-10"/>
                <w:sz w:val="21"/>
                <w:szCs w:val="21"/>
                <w:vertAlign w:val="subscript"/>
              </w:rPr>
              <w:t>6</w:t>
            </w:r>
            <w:r>
              <w:rPr>
                <w:rFonts w:hint="eastAsia" w:hAnsi="宋体" w:cs="宋体"/>
                <w:color w:val="000000"/>
                <w:spacing w:val="-10"/>
                <w:sz w:val="21"/>
                <w:szCs w:val="21"/>
              </w:rPr>
              <w:t>-C</w:t>
            </w:r>
            <w:r>
              <w:rPr>
                <w:rFonts w:hint="eastAsia" w:hAnsi="宋体" w:cs="宋体"/>
                <w:color w:val="000000"/>
                <w:spacing w:val="-10"/>
                <w:sz w:val="21"/>
                <w:szCs w:val="21"/>
                <w:vertAlign w:val="subscript"/>
              </w:rPr>
              <w:t>9</w:t>
            </w: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606" w:type="dxa"/>
            <w:tcMar>
              <w:left w:w="28" w:type="dxa"/>
              <w:right w:w="28" w:type="dxa"/>
            </w:tcMar>
            <w:vAlign w:val="center"/>
          </w:tcPr>
          <w:p w14:paraId="79B1E6BC">
            <w:pPr>
              <w:spacing w:line="0" w:lineRule="atLeast"/>
              <w:jc w:val="center"/>
              <w:rPr>
                <w:rFonts w:hint="eastAsia" w:hAnsi="宋体" w:cs="宋体"/>
                <w:color w:val="000000"/>
                <w:spacing w:val="-10"/>
                <w:sz w:val="21"/>
                <w:szCs w:val="21"/>
                <w:lang w:bidi="ar"/>
              </w:rPr>
            </w:pPr>
          </w:p>
        </w:tc>
      </w:tr>
      <w:tr w14:paraId="00CE46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4" w:type="dxa"/>
            <w:tcMar>
              <w:left w:w="28" w:type="dxa"/>
              <w:right w:w="28" w:type="dxa"/>
            </w:tcMar>
            <w:vAlign w:val="center"/>
          </w:tcPr>
          <w:p w14:paraId="3D71F08F">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现状评价</w:t>
            </w:r>
          </w:p>
        </w:tc>
        <w:tc>
          <w:tcPr>
            <w:tcW w:w="1530" w:type="dxa"/>
            <w:gridSpan w:val="2"/>
            <w:tcMar>
              <w:left w:w="28" w:type="dxa"/>
              <w:right w:w="28" w:type="dxa"/>
            </w:tcMar>
            <w:vAlign w:val="center"/>
          </w:tcPr>
          <w:p w14:paraId="6B365797">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评价因子</w:t>
            </w:r>
          </w:p>
        </w:tc>
        <w:tc>
          <w:tcPr>
            <w:tcW w:w="6339" w:type="dxa"/>
            <w:gridSpan w:val="5"/>
            <w:vMerge w:val="continue"/>
            <w:tcMar>
              <w:left w:w="28" w:type="dxa"/>
              <w:right w:w="28" w:type="dxa"/>
            </w:tcMar>
            <w:vAlign w:val="center"/>
          </w:tcPr>
          <w:p w14:paraId="55C8B32D">
            <w:pPr>
              <w:adjustRightInd w:val="0"/>
              <w:spacing w:line="0" w:lineRule="atLeast"/>
              <w:textAlignment w:val="center"/>
              <w:rPr>
                <w:rFonts w:hint="eastAsia" w:hAnsi="宋体" w:cs="宋体"/>
                <w:color w:val="000000"/>
                <w:spacing w:val="-10"/>
                <w:sz w:val="21"/>
                <w:szCs w:val="21"/>
              </w:rPr>
            </w:pPr>
          </w:p>
        </w:tc>
        <w:tc>
          <w:tcPr>
            <w:tcW w:w="606" w:type="dxa"/>
            <w:tcMar>
              <w:left w:w="28" w:type="dxa"/>
              <w:right w:w="28" w:type="dxa"/>
            </w:tcMar>
            <w:vAlign w:val="center"/>
          </w:tcPr>
          <w:p w14:paraId="5EDA82CE">
            <w:pPr>
              <w:spacing w:line="0" w:lineRule="atLeast"/>
              <w:jc w:val="center"/>
              <w:rPr>
                <w:rFonts w:hint="eastAsia" w:hAnsi="宋体" w:cs="宋体"/>
                <w:color w:val="000000"/>
                <w:spacing w:val="-10"/>
                <w:sz w:val="21"/>
                <w:szCs w:val="21"/>
                <w:lang w:bidi="ar"/>
              </w:rPr>
            </w:pPr>
          </w:p>
        </w:tc>
      </w:tr>
    </w:tbl>
    <w:p w14:paraId="3B3604E8">
      <w:pPr>
        <w:pStyle w:val="135"/>
        <w:spacing w:line="480" w:lineRule="exact"/>
        <w:ind w:firstLine="506" w:firstLineChars="200"/>
        <w:textAlignment w:val="auto"/>
        <w:rPr>
          <w:rFonts w:hint="eastAsia" w:ascii="黑体" w:hAnsi="宋体" w:eastAsia="黑体" w:cs="宋体"/>
          <w:color w:val="000000"/>
          <w:spacing w:val="5"/>
          <w:szCs w:val="24"/>
        </w:rPr>
      </w:pPr>
      <w:r>
        <w:br w:type="page"/>
      </w:r>
      <w:r>
        <w:rPr>
          <w:rFonts w:hint="eastAsia" w:ascii="黑体" w:hAnsi="宋体" w:eastAsia="黑体" w:cs="宋体"/>
          <w:color w:val="000000"/>
          <w:spacing w:val="5"/>
          <w:szCs w:val="24"/>
        </w:rPr>
        <w:t>续</w:t>
      </w:r>
      <w:r>
        <w:rPr>
          <w:rFonts w:ascii="黑体" w:hAnsi="宋体" w:eastAsia="黑体" w:cs="宋体"/>
          <w:color w:val="000000"/>
          <w:spacing w:val="5"/>
          <w:szCs w:val="24"/>
        </w:rPr>
        <w:t>表</w:t>
      </w:r>
      <w:r>
        <w:rPr>
          <w:rFonts w:hint="eastAsia" w:ascii="黑体" w:hAnsi="黑体" w:eastAsia="黑体"/>
          <w:color w:val="000000"/>
          <w:szCs w:val="24"/>
        </w:rPr>
        <w:t>5.4-6</w:t>
      </w:r>
      <w:r>
        <w:rPr>
          <w:rFonts w:hint="eastAsia" w:ascii="黑体" w:hAnsi="宋体" w:eastAsia="黑体" w:cs="宋体"/>
          <w:color w:val="000000"/>
          <w:spacing w:val="5"/>
          <w:szCs w:val="24"/>
        </w:rPr>
        <w:t xml:space="preserve">        土壤环境影响评价自查表</w:t>
      </w:r>
    </w:p>
    <w:tbl>
      <w:tblPr>
        <w:tblStyle w:val="48"/>
        <w:tblW w:w="50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44"/>
        <w:gridCol w:w="1530"/>
        <w:gridCol w:w="997"/>
        <w:gridCol w:w="3524"/>
        <w:gridCol w:w="1818"/>
        <w:gridCol w:w="606"/>
      </w:tblGrid>
      <w:tr w14:paraId="288045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074" w:type="dxa"/>
            <w:gridSpan w:val="2"/>
            <w:tcMar>
              <w:left w:w="28" w:type="dxa"/>
              <w:right w:w="28" w:type="dxa"/>
            </w:tcMar>
            <w:vAlign w:val="center"/>
          </w:tcPr>
          <w:p w14:paraId="22B8DCD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工作内容</w:t>
            </w:r>
          </w:p>
        </w:tc>
        <w:tc>
          <w:tcPr>
            <w:tcW w:w="6339" w:type="dxa"/>
            <w:gridSpan w:val="3"/>
            <w:tcMar>
              <w:left w:w="28" w:type="dxa"/>
              <w:right w:w="28" w:type="dxa"/>
            </w:tcMar>
            <w:vAlign w:val="center"/>
          </w:tcPr>
          <w:p w14:paraId="074BBE2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完成情况</w:t>
            </w:r>
          </w:p>
        </w:tc>
        <w:tc>
          <w:tcPr>
            <w:tcW w:w="606" w:type="dxa"/>
            <w:tcMar>
              <w:left w:w="28" w:type="dxa"/>
              <w:right w:w="28" w:type="dxa"/>
            </w:tcMar>
            <w:vAlign w:val="center"/>
          </w:tcPr>
          <w:p w14:paraId="0606FA1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备注</w:t>
            </w:r>
          </w:p>
        </w:tc>
      </w:tr>
      <w:tr w14:paraId="39A0C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restart"/>
            <w:tcMar>
              <w:left w:w="28" w:type="dxa"/>
              <w:right w:w="28" w:type="dxa"/>
            </w:tcMar>
            <w:vAlign w:val="center"/>
          </w:tcPr>
          <w:p w14:paraId="2BE8C88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现状评价</w:t>
            </w:r>
          </w:p>
        </w:tc>
        <w:tc>
          <w:tcPr>
            <w:tcW w:w="1530" w:type="dxa"/>
            <w:tcMar>
              <w:left w:w="28" w:type="dxa"/>
              <w:right w:w="28" w:type="dxa"/>
            </w:tcMar>
            <w:vAlign w:val="center"/>
          </w:tcPr>
          <w:p w14:paraId="6E8FABF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评价标准</w:t>
            </w:r>
          </w:p>
        </w:tc>
        <w:tc>
          <w:tcPr>
            <w:tcW w:w="6339" w:type="dxa"/>
            <w:gridSpan w:val="3"/>
            <w:tcMar>
              <w:left w:w="28" w:type="dxa"/>
              <w:right w:w="28" w:type="dxa"/>
            </w:tcMar>
            <w:vAlign w:val="center"/>
          </w:tcPr>
          <w:p w14:paraId="0F728F5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lang w:bidi="ar"/>
              </w:rPr>
              <w:t>GB15618</w:t>
            </w:r>
            <w:r>
              <w:rPr>
                <w:rFonts w:hint="eastAsia" w:hAnsi="宋体" w:cs="宋体"/>
                <w:color w:val="000000"/>
                <w:spacing w:val="-10"/>
                <w:sz w:val="21"/>
                <w:szCs w:val="21"/>
              </w:rPr>
              <w:t>□；GB36600☑；表D.1☑；表D.2☑；其他（）</w:t>
            </w:r>
          </w:p>
        </w:tc>
        <w:tc>
          <w:tcPr>
            <w:tcW w:w="606" w:type="dxa"/>
            <w:tcMar>
              <w:left w:w="28" w:type="dxa"/>
              <w:right w:w="28" w:type="dxa"/>
            </w:tcMar>
            <w:vAlign w:val="center"/>
          </w:tcPr>
          <w:p w14:paraId="460A1957">
            <w:pPr>
              <w:spacing w:line="0" w:lineRule="atLeast"/>
              <w:jc w:val="center"/>
              <w:rPr>
                <w:rFonts w:hint="eastAsia" w:hAnsi="宋体" w:cs="宋体"/>
                <w:color w:val="000000"/>
                <w:spacing w:val="-10"/>
                <w:sz w:val="21"/>
                <w:szCs w:val="21"/>
                <w:lang w:bidi="ar"/>
              </w:rPr>
            </w:pPr>
          </w:p>
        </w:tc>
      </w:tr>
      <w:tr w14:paraId="374C2B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4C9BE06F">
            <w:pPr>
              <w:spacing w:line="0" w:lineRule="atLeast"/>
              <w:jc w:val="center"/>
              <w:rPr>
                <w:rFonts w:hint="eastAsia" w:hAnsi="宋体" w:cs="宋体"/>
                <w:color w:val="000000"/>
                <w:spacing w:val="-10"/>
                <w:sz w:val="21"/>
                <w:szCs w:val="21"/>
                <w:lang w:bidi="ar"/>
              </w:rPr>
            </w:pPr>
          </w:p>
        </w:tc>
        <w:tc>
          <w:tcPr>
            <w:tcW w:w="1530" w:type="dxa"/>
            <w:tcMar>
              <w:left w:w="28" w:type="dxa"/>
              <w:right w:w="28" w:type="dxa"/>
            </w:tcMar>
            <w:vAlign w:val="center"/>
          </w:tcPr>
          <w:p w14:paraId="08C3489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现状评价结论</w:t>
            </w:r>
          </w:p>
        </w:tc>
        <w:tc>
          <w:tcPr>
            <w:tcW w:w="6339" w:type="dxa"/>
            <w:gridSpan w:val="3"/>
            <w:tcMar>
              <w:left w:w="28" w:type="dxa"/>
              <w:right w:w="28" w:type="dxa"/>
            </w:tcMar>
            <w:vAlign w:val="center"/>
          </w:tcPr>
          <w:p w14:paraId="67B1080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各评价因子均满足相应标准要求</w:t>
            </w:r>
          </w:p>
        </w:tc>
        <w:tc>
          <w:tcPr>
            <w:tcW w:w="606" w:type="dxa"/>
            <w:tcMar>
              <w:left w:w="28" w:type="dxa"/>
              <w:right w:w="28" w:type="dxa"/>
            </w:tcMar>
            <w:vAlign w:val="center"/>
          </w:tcPr>
          <w:p w14:paraId="512811EF">
            <w:pPr>
              <w:spacing w:line="0" w:lineRule="atLeast"/>
              <w:jc w:val="center"/>
              <w:rPr>
                <w:rFonts w:hint="eastAsia" w:hAnsi="宋体" w:cs="宋体"/>
                <w:color w:val="000000"/>
                <w:spacing w:val="-10"/>
                <w:sz w:val="21"/>
                <w:szCs w:val="21"/>
                <w:lang w:bidi="ar"/>
              </w:rPr>
            </w:pPr>
          </w:p>
        </w:tc>
      </w:tr>
      <w:tr w14:paraId="1844C9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restart"/>
            <w:tcMar>
              <w:left w:w="28" w:type="dxa"/>
              <w:right w:w="28" w:type="dxa"/>
            </w:tcMar>
            <w:vAlign w:val="center"/>
          </w:tcPr>
          <w:p w14:paraId="58D90FE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影响预测</w:t>
            </w:r>
          </w:p>
        </w:tc>
        <w:tc>
          <w:tcPr>
            <w:tcW w:w="1530" w:type="dxa"/>
            <w:tcMar>
              <w:left w:w="28" w:type="dxa"/>
              <w:right w:w="28" w:type="dxa"/>
            </w:tcMar>
            <w:vAlign w:val="center"/>
          </w:tcPr>
          <w:p w14:paraId="2838BAFE">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预测因子</w:t>
            </w:r>
          </w:p>
        </w:tc>
        <w:tc>
          <w:tcPr>
            <w:tcW w:w="6339" w:type="dxa"/>
            <w:gridSpan w:val="3"/>
            <w:tcMar>
              <w:left w:w="28" w:type="dxa"/>
              <w:right w:w="28" w:type="dxa"/>
            </w:tcMar>
            <w:vAlign w:val="center"/>
          </w:tcPr>
          <w:p w14:paraId="6337B632">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石油烃（C</w:t>
            </w:r>
            <w:r>
              <w:rPr>
                <w:rFonts w:hint="eastAsia" w:hAnsi="宋体" w:cs="宋体"/>
                <w:color w:val="000000"/>
                <w:spacing w:val="-10"/>
                <w:sz w:val="21"/>
                <w:szCs w:val="21"/>
                <w:vertAlign w:val="subscript"/>
              </w:rPr>
              <w:t>10</w:t>
            </w:r>
            <w:r>
              <w:rPr>
                <w:rFonts w:hint="eastAsia" w:hAnsi="宋体" w:cs="宋体"/>
                <w:color w:val="000000"/>
                <w:spacing w:val="-10"/>
                <w:sz w:val="21"/>
                <w:szCs w:val="21"/>
              </w:rPr>
              <w:t>-C</w:t>
            </w:r>
            <w:r>
              <w:rPr>
                <w:rFonts w:hint="eastAsia" w:hAnsi="宋体" w:cs="宋体"/>
                <w:color w:val="000000"/>
                <w:spacing w:val="-10"/>
                <w:sz w:val="21"/>
                <w:szCs w:val="21"/>
                <w:vertAlign w:val="subscript"/>
              </w:rPr>
              <w:t>40</w:t>
            </w:r>
            <w:r>
              <w:rPr>
                <w:rFonts w:hint="eastAsia" w:hAnsi="宋体" w:cs="宋体"/>
                <w:color w:val="000000"/>
                <w:spacing w:val="-10"/>
                <w:sz w:val="21"/>
                <w:szCs w:val="21"/>
              </w:rPr>
              <w:t>）</w:t>
            </w:r>
          </w:p>
        </w:tc>
        <w:tc>
          <w:tcPr>
            <w:tcW w:w="606" w:type="dxa"/>
            <w:tcMar>
              <w:left w:w="28" w:type="dxa"/>
              <w:right w:w="28" w:type="dxa"/>
            </w:tcMar>
            <w:vAlign w:val="center"/>
          </w:tcPr>
          <w:p w14:paraId="769E4913">
            <w:pPr>
              <w:spacing w:line="0" w:lineRule="atLeast"/>
              <w:jc w:val="center"/>
              <w:rPr>
                <w:rFonts w:hint="eastAsia" w:hAnsi="宋体" w:cs="宋体"/>
                <w:color w:val="000000"/>
                <w:spacing w:val="-10"/>
                <w:sz w:val="21"/>
                <w:szCs w:val="21"/>
                <w:lang w:bidi="ar"/>
              </w:rPr>
            </w:pPr>
          </w:p>
        </w:tc>
      </w:tr>
      <w:tr w14:paraId="00437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5B97F6FA">
            <w:pPr>
              <w:spacing w:line="0" w:lineRule="atLeast"/>
              <w:jc w:val="center"/>
              <w:rPr>
                <w:rFonts w:hint="eastAsia" w:hAnsi="宋体" w:cs="宋体"/>
                <w:color w:val="000000"/>
                <w:spacing w:val="-10"/>
                <w:sz w:val="21"/>
                <w:szCs w:val="21"/>
                <w:lang w:bidi="ar"/>
              </w:rPr>
            </w:pPr>
          </w:p>
        </w:tc>
        <w:tc>
          <w:tcPr>
            <w:tcW w:w="1530" w:type="dxa"/>
            <w:tcMar>
              <w:left w:w="28" w:type="dxa"/>
              <w:right w:w="28" w:type="dxa"/>
            </w:tcMar>
            <w:vAlign w:val="center"/>
          </w:tcPr>
          <w:p w14:paraId="44EBD29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预测方法</w:t>
            </w:r>
          </w:p>
        </w:tc>
        <w:tc>
          <w:tcPr>
            <w:tcW w:w="6339" w:type="dxa"/>
            <w:gridSpan w:val="3"/>
            <w:tcMar>
              <w:left w:w="28" w:type="dxa"/>
              <w:right w:w="28" w:type="dxa"/>
            </w:tcMar>
            <w:vAlign w:val="center"/>
          </w:tcPr>
          <w:p w14:paraId="1C100CB5">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rPr>
              <w:t>附录E☑；附录F□；其他（类比分析）□</w:t>
            </w:r>
          </w:p>
        </w:tc>
        <w:tc>
          <w:tcPr>
            <w:tcW w:w="606" w:type="dxa"/>
            <w:tcMar>
              <w:left w:w="28" w:type="dxa"/>
              <w:right w:w="28" w:type="dxa"/>
            </w:tcMar>
            <w:vAlign w:val="center"/>
          </w:tcPr>
          <w:p w14:paraId="290E6ACD">
            <w:pPr>
              <w:spacing w:line="0" w:lineRule="atLeast"/>
              <w:jc w:val="center"/>
              <w:rPr>
                <w:rFonts w:hint="eastAsia" w:hAnsi="宋体" w:cs="宋体"/>
                <w:color w:val="000000"/>
                <w:spacing w:val="-10"/>
                <w:sz w:val="21"/>
                <w:szCs w:val="21"/>
                <w:lang w:bidi="ar"/>
              </w:rPr>
            </w:pPr>
          </w:p>
        </w:tc>
      </w:tr>
      <w:tr w14:paraId="0F221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7B708346">
            <w:pPr>
              <w:spacing w:line="0" w:lineRule="atLeast"/>
              <w:jc w:val="center"/>
              <w:rPr>
                <w:rFonts w:hint="eastAsia" w:hAnsi="宋体" w:cs="宋体"/>
                <w:color w:val="000000"/>
                <w:spacing w:val="-10"/>
                <w:sz w:val="21"/>
                <w:szCs w:val="21"/>
                <w:lang w:bidi="ar"/>
              </w:rPr>
            </w:pPr>
          </w:p>
        </w:tc>
        <w:tc>
          <w:tcPr>
            <w:tcW w:w="1530" w:type="dxa"/>
            <w:tcMar>
              <w:left w:w="28" w:type="dxa"/>
              <w:right w:w="28" w:type="dxa"/>
            </w:tcMar>
            <w:vAlign w:val="center"/>
          </w:tcPr>
          <w:p w14:paraId="66D0CA1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预测分析内容</w:t>
            </w:r>
          </w:p>
        </w:tc>
        <w:tc>
          <w:tcPr>
            <w:tcW w:w="6339" w:type="dxa"/>
            <w:gridSpan w:val="3"/>
            <w:tcMar>
              <w:left w:w="28" w:type="dxa"/>
              <w:right w:w="28" w:type="dxa"/>
            </w:tcMar>
            <w:vAlign w:val="center"/>
          </w:tcPr>
          <w:p w14:paraId="573CF2D2">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影响范围：管线沿线</w:t>
            </w:r>
          </w:p>
          <w:p w14:paraId="6D0BF91D">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影响程度：较小</w:t>
            </w:r>
          </w:p>
        </w:tc>
        <w:tc>
          <w:tcPr>
            <w:tcW w:w="606" w:type="dxa"/>
            <w:tcMar>
              <w:left w:w="28" w:type="dxa"/>
              <w:right w:w="28" w:type="dxa"/>
            </w:tcMar>
            <w:vAlign w:val="center"/>
          </w:tcPr>
          <w:p w14:paraId="2A6FA789">
            <w:pPr>
              <w:spacing w:line="0" w:lineRule="atLeast"/>
              <w:jc w:val="center"/>
              <w:rPr>
                <w:rFonts w:hint="eastAsia" w:hAnsi="宋体" w:cs="宋体"/>
                <w:color w:val="000000"/>
                <w:spacing w:val="-10"/>
                <w:sz w:val="21"/>
                <w:szCs w:val="21"/>
                <w:lang w:bidi="ar"/>
              </w:rPr>
            </w:pPr>
          </w:p>
        </w:tc>
      </w:tr>
      <w:tr w14:paraId="19D019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7546A769">
            <w:pPr>
              <w:spacing w:line="0" w:lineRule="atLeast"/>
              <w:jc w:val="center"/>
              <w:rPr>
                <w:rFonts w:hint="eastAsia" w:hAnsi="宋体" w:cs="宋体"/>
                <w:color w:val="000000"/>
                <w:spacing w:val="-10"/>
                <w:sz w:val="21"/>
                <w:szCs w:val="21"/>
                <w:lang w:bidi="ar"/>
              </w:rPr>
            </w:pPr>
          </w:p>
        </w:tc>
        <w:tc>
          <w:tcPr>
            <w:tcW w:w="1530" w:type="dxa"/>
            <w:tcMar>
              <w:left w:w="28" w:type="dxa"/>
              <w:right w:w="28" w:type="dxa"/>
            </w:tcMar>
            <w:vAlign w:val="center"/>
          </w:tcPr>
          <w:p w14:paraId="3B2EC7F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预测结论</w:t>
            </w:r>
          </w:p>
        </w:tc>
        <w:tc>
          <w:tcPr>
            <w:tcW w:w="6339" w:type="dxa"/>
            <w:gridSpan w:val="3"/>
            <w:tcMar>
              <w:left w:w="28" w:type="dxa"/>
              <w:right w:w="28" w:type="dxa"/>
            </w:tcMar>
            <w:vAlign w:val="center"/>
          </w:tcPr>
          <w:p w14:paraId="7E95B442">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达标结论：a）□；b）□；c）☑</w:t>
            </w:r>
          </w:p>
          <w:p w14:paraId="38E4C733">
            <w:pPr>
              <w:pStyle w:val="135"/>
              <w:adjustRightInd/>
              <w:spacing w:line="0" w:lineRule="atLeast"/>
              <w:ind w:firstLine="0"/>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不达标结论：a）□；b）□</w:t>
            </w:r>
          </w:p>
        </w:tc>
        <w:tc>
          <w:tcPr>
            <w:tcW w:w="606" w:type="dxa"/>
            <w:tcMar>
              <w:left w:w="28" w:type="dxa"/>
              <w:right w:w="28" w:type="dxa"/>
            </w:tcMar>
            <w:vAlign w:val="center"/>
          </w:tcPr>
          <w:p w14:paraId="5C1DDD06">
            <w:pPr>
              <w:spacing w:line="0" w:lineRule="atLeast"/>
              <w:jc w:val="center"/>
              <w:rPr>
                <w:rFonts w:hint="eastAsia" w:hAnsi="宋体" w:cs="宋体"/>
                <w:color w:val="000000"/>
                <w:spacing w:val="-10"/>
                <w:sz w:val="21"/>
                <w:szCs w:val="21"/>
                <w:lang w:bidi="ar"/>
              </w:rPr>
            </w:pPr>
          </w:p>
        </w:tc>
      </w:tr>
      <w:tr w14:paraId="068BD4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restart"/>
            <w:tcMar>
              <w:left w:w="28" w:type="dxa"/>
              <w:right w:w="28" w:type="dxa"/>
            </w:tcMar>
            <w:vAlign w:val="center"/>
          </w:tcPr>
          <w:p w14:paraId="5A552869">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防治措施</w:t>
            </w:r>
          </w:p>
        </w:tc>
        <w:tc>
          <w:tcPr>
            <w:tcW w:w="1530" w:type="dxa"/>
            <w:tcMar>
              <w:left w:w="28" w:type="dxa"/>
              <w:right w:w="28" w:type="dxa"/>
            </w:tcMar>
            <w:vAlign w:val="center"/>
          </w:tcPr>
          <w:p w14:paraId="54D18613">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防控措施</w:t>
            </w:r>
          </w:p>
        </w:tc>
        <w:tc>
          <w:tcPr>
            <w:tcW w:w="6339" w:type="dxa"/>
            <w:gridSpan w:val="3"/>
            <w:tcMar>
              <w:left w:w="28" w:type="dxa"/>
              <w:right w:w="28" w:type="dxa"/>
            </w:tcMar>
            <w:vAlign w:val="center"/>
          </w:tcPr>
          <w:p w14:paraId="043E99DD">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土壤环境质量现状保障☑；源头控制☑；过程防控☑；</w:t>
            </w:r>
          </w:p>
          <w:p w14:paraId="58E43F26">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其他（）</w:t>
            </w:r>
          </w:p>
        </w:tc>
        <w:tc>
          <w:tcPr>
            <w:tcW w:w="606" w:type="dxa"/>
            <w:tcMar>
              <w:left w:w="28" w:type="dxa"/>
              <w:right w:w="28" w:type="dxa"/>
            </w:tcMar>
            <w:vAlign w:val="center"/>
          </w:tcPr>
          <w:p w14:paraId="21A72497">
            <w:pPr>
              <w:spacing w:line="0" w:lineRule="atLeast"/>
              <w:jc w:val="center"/>
              <w:rPr>
                <w:rFonts w:hint="eastAsia" w:hAnsi="宋体" w:cs="宋体"/>
                <w:color w:val="000000"/>
                <w:spacing w:val="-10"/>
                <w:sz w:val="21"/>
                <w:szCs w:val="21"/>
                <w:lang w:bidi="ar"/>
              </w:rPr>
            </w:pPr>
          </w:p>
        </w:tc>
      </w:tr>
      <w:tr w14:paraId="531D5A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72029604">
            <w:pPr>
              <w:spacing w:line="0" w:lineRule="atLeast"/>
              <w:jc w:val="center"/>
              <w:rPr>
                <w:rFonts w:hint="eastAsia" w:hAnsi="宋体" w:cs="宋体"/>
                <w:color w:val="000000"/>
                <w:spacing w:val="-10"/>
                <w:sz w:val="21"/>
                <w:szCs w:val="21"/>
                <w:lang w:bidi="ar"/>
              </w:rPr>
            </w:pPr>
          </w:p>
        </w:tc>
        <w:tc>
          <w:tcPr>
            <w:tcW w:w="1530" w:type="dxa"/>
            <w:vMerge w:val="restart"/>
            <w:tcMar>
              <w:left w:w="28" w:type="dxa"/>
              <w:right w:w="28" w:type="dxa"/>
            </w:tcMar>
            <w:vAlign w:val="center"/>
          </w:tcPr>
          <w:p w14:paraId="1C62E870">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跟踪监测</w:t>
            </w:r>
          </w:p>
        </w:tc>
        <w:tc>
          <w:tcPr>
            <w:tcW w:w="997" w:type="dxa"/>
            <w:tcMar>
              <w:left w:w="28" w:type="dxa"/>
              <w:right w:w="28" w:type="dxa"/>
            </w:tcMar>
            <w:vAlign w:val="center"/>
          </w:tcPr>
          <w:p w14:paraId="179A3394">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监测点数</w:t>
            </w:r>
          </w:p>
        </w:tc>
        <w:tc>
          <w:tcPr>
            <w:tcW w:w="3524" w:type="dxa"/>
            <w:tcMar>
              <w:left w:w="28" w:type="dxa"/>
              <w:right w:w="28" w:type="dxa"/>
            </w:tcMar>
            <w:vAlign w:val="center"/>
          </w:tcPr>
          <w:p w14:paraId="11BD96E7">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监测指标</w:t>
            </w:r>
          </w:p>
        </w:tc>
        <w:tc>
          <w:tcPr>
            <w:tcW w:w="1818" w:type="dxa"/>
            <w:tcMar>
              <w:left w:w="28" w:type="dxa"/>
              <w:right w:w="28" w:type="dxa"/>
            </w:tcMar>
            <w:vAlign w:val="center"/>
          </w:tcPr>
          <w:p w14:paraId="20131AC7">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监测频次</w:t>
            </w:r>
          </w:p>
        </w:tc>
        <w:tc>
          <w:tcPr>
            <w:tcW w:w="606" w:type="dxa"/>
            <w:tcMar>
              <w:left w:w="28" w:type="dxa"/>
              <w:right w:w="28" w:type="dxa"/>
            </w:tcMar>
            <w:vAlign w:val="center"/>
          </w:tcPr>
          <w:p w14:paraId="1AFB6F52">
            <w:pPr>
              <w:spacing w:line="0" w:lineRule="atLeast"/>
              <w:jc w:val="center"/>
              <w:rPr>
                <w:rFonts w:hint="eastAsia" w:hAnsi="宋体" w:cs="宋体"/>
                <w:color w:val="000000"/>
                <w:spacing w:val="-10"/>
                <w:sz w:val="21"/>
                <w:szCs w:val="21"/>
                <w:lang w:bidi="ar"/>
              </w:rPr>
            </w:pPr>
          </w:p>
        </w:tc>
      </w:tr>
      <w:tr w14:paraId="4D0B6C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1D9C20B2">
            <w:pPr>
              <w:spacing w:line="0" w:lineRule="atLeast"/>
              <w:jc w:val="center"/>
              <w:rPr>
                <w:rFonts w:hint="eastAsia" w:hAnsi="宋体" w:cs="宋体"/>
                <w:color w:val="000000"/>
                <w:spacing w:val="-10"/>
                <w:sz w:val="21"/>
                <w:szCs w:val="21"/>
                <w:lang w:bidi="ar"/>
              </w:rPr>
            </w:pPr>
          </w:p>
        </w:tc>
        <w:tc>
          <w:tcPr>
            <w:tcW w:w="1530" w:type="dxa"/>
            <w:vMerge w:val="continue"/>
            <w:tcMar>
              <w:left w:w="28" w:type="dxa"/>
              <w:right w:w="28" w:type="dxa"/>
            </w:tcMar>
            <w:vAlign w:val="center"/>
          </w:tcPr>
          <w:p w14:paraId="4E5741DE">
            <w:pPr>
              <w:spacing w:line="0" w:lineRule="atLeast"/>
              <w:jc w:val="center"/>
              <w:rPr>
                <w:rFonts w:hint="eastAsia" w:hAnsi="宋体" w:cs="宋体"/>
                <w:color w:val="000000"/>
                <w:spacing w:val="-10"/>
                <w:sz w:val="21"/>
                <w:szCs w:val="21"/>
                <w:lang w:bidi="ar"/>
              </w:rPr>
            </w:pPr>
          </w:p>
        </w:tc>
        <w:tc>
          <w:tcPr>
            <w:tcW w:w="997" w:type="dxa"/>
            <w:tcMar>
              <w:left w:w="28" w:type="dxa"/>
              <w:right w:w="28" w:type="dxa"/>
            </w:tcMar>
            <w:vAlign w:val="center"/>
          </w:tcPr>
          <w:p w14:paraId="6F85B658">
            <w:pPr>
              <w:spacing w:line="0" w:lineRule="atLeast"/>
              <w:jc w:val="center"/>
              <w:rPr>
                <w:rFonts w:hint="eastAsia" w:hAnsi="宋体" w:cs="宋体"/>
                <w:b/>
                <w:color w:val="000000"/>
                <w:spacing w:val="-10"/>
                <w:sz w:val="21"/>
                <w:szCs w:val="21"/>
              </w:rPr>
            </w:pPr>
            <w:r>
              <w:rPr>
                <w:rFonts w:hint="eastAsia" w:hAnsi="宋体" w:cs="宋体"/>
                <w:color w:val="000000"/>
                <w:spacing w:val="-10"/>
                <w:sz w:val="21"/>
                <w:szCs w:val="21"/>
              </w:rPr>
              <w:t>-</w:t>
            </w:r>
          </w:p>
        </w:tc>
        <w:tc>
          <w:tcPr>
            <w:tcW w:w="3524" w:type="dxa"/>
            <w:tcMar>
              <w:left w:w="28" w:type="dxa"/>
              <w:right w:w="28" w:type="dxa"/>
            </w:tcMar>
            <w:vAlign w:val="center"/>
          </w:tcPr>
          <w:p w14:paraId="0AC8F3BD">
            <w:pPr>
              <w:spacing w:line="0" w:lineRule="atLeast"/>
              <w:jc w:val="center"/>
              <w:rPr>
                <w:rFonts w:hint="eastAsia" w:hAnsi="宋体" w:cs="宋体"/>
                <w:b/>
                <w:color w:val="000000"/>
                <w:spacing w:val="-10"/>
                <w:sz w:val="21"/>
                <w:szCs w:val="21"/>
              </w:rPr>
            </w:pPr>
            <w:r>
              <w:rPr>
                <w:rFonts w:hint="eastAsia" w:hAnsi="宋体" w:cs="宋体"/>
                <w:color w:val="000000"/>
                <w:spacing w:val="-10"/>
                <w:sz w:val="21"/>
                <w:szCs w:val="21"/>
              </w:rPr>
              <w:t>-</w:t>
            </w:r>
          </w:p>
        </w:tc>
        <w:tc>
          <w:tcPr>
            <w:tcW w:w="1818" w:type="dxa"/>
            <w:tcMar>
              <w:left w:w="28" w:type="dxa"/>
              <w:right w:w="28" w:type="dxa"/>
            </w:tcMar>
            <w:vAlign w:val="center"/>
          </w:tcPr>
          <w:p w14:paraId="77FC43A3">
            <w:pPr>
              <w:spacing w:line="0" w:lineRule="atLeast"/>
              <w:jc w:val="center"/>
              <w:rPr>
                <w:rFonts w:hint="eastAsia" w:hAnsi="宋体" w:cs="宋体"/>
                <w:b/>
                <w:color w:val="000000"/>
                <w:spacing w:val="-10"/>
                <w:sz w:val="21"/>
                <w:szCs w:val="21"/>
              </w:rPr>
            </w:pPr>
            <w:r>
              <w:rPr>
                <w:rFonts w:hint="eastAsia" w:hAnsi="宋体" w:cs="宋体"/>
                <w:color w:val="000000"/>
                <w:spacing w:val="-10"/>
                <w:sz w:val="21"/>
                <w:szCs w:val="21"/>
              </w:rPr>
              <w:t>-</w:t>
            </w:r>
          </w:p>
        </w:tc>
        <w:tc>
          <w:tcPr>
            <w:tcW w:w="606" w:type="dxa"/>
            <w:tcMar>
              <w:left w:w="28" w:type="dxa"/>
              <w:right w:w="28" w:type="dxa"/>
            </w:tcMar>
            <w:vAlign w:val="center"/>
          </w:tcPr>
          <w:p w14:paraId="0ED7B02E">
            <w:pPr>
              <w:spacing w:line="0" w:lineRule="atLeast"/>
              <w:jc w:val="center"/>
              <w:rPr>
                <w:rFonts w:hint="eastAsia" w:hAnsi="宋体" w:cs="宋体"/>
                <w:color w:val="000000"/>
                <w:spacing w:val="-10"/>
                <w:sz w:val="21"/>
                <w:szCs w:val="21"/>
                <w:lang w:bidi="ar"/>
              </w:rPr>
            </w:pPr>
          </w:p>
        </w:tc>
      </w:tr>
      <w:tr w14:paraId="563BA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44" w:type="dxa"/>
            <w:vMerge w:val="continue"/>
            <w:tcMar>
              <w:left w:w="28" w:type="dxa"/>
              <w:right w:w="28" w:type="dxa"/>
            </w:tcMar>
            <w:vAlign w:val="center"/>
          </w:tcPr>
          <w:p w14:paraId="58032D37">
            <w:pPr>
              <w:spacing w:line="0" w:lineRule="atLeast"/>
              <w:jc w:val="center"/>
              <w:rPr>
                <w:rFonts w:hint="eastAsia" w:hAnsi="宋体" w:cs="宋体"/>
                <w:color w:val="000000"/>
                <w:spacing w:val="-10"/>
                <w:sz w:val="21"/>
                <w:szCs w:val="21"/>
                <w:lang w:bidi="ar"/>
              </w:rPr>
            </w:pPr>
          </w:p>
        </w:tc>
        <w:tc>
          <w:tcPr>
            <w:tcW w:w="1530" w:type="dxa"/>
            <w:tcMar>
              <w:left w:w="28" w:type="dxa"/>
              <w:right w:w="28" w:type="dxa"/>
            </w:tcMar>
            <w:vAlign w:val="center"/>
          </w:tcPr>
          <w:p w14:paraId="295611AB">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信息公开指标</w:t>
            </w:r>
          </w:p>
        </w:tc>
        <w:tc>
          <w:tcPr>
            <w:tcW w:w="6339" w:type="dxa"/>
            <w:gridSpan w:val="3"/>
            <w:tcMar>
              <w:left w:w="28" w:type="dxa"/>
              <w:right w:w="28" w:type="dxa"/>
            </w:tcMar>
            <w:vAlign w:val="center"/>
          </w:tcPr>
          <w:p w14:paraId="205FFE6C">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rPr>
              <w:t>石油类、石油烃（C</w:t>
            </w:r>
            <w:r>
              <w:rPr>
                <w:rFonts w:ascii="宋体" w:hAnsi="宋体" w:cs="宋体"/>
                <w:b w:val="0"/>
                <w:color w:val="000000"/>
                <w:spacing w:val="-10"/>
                <w:sz w:val="21"/>
                <w:szCs w:val="21"/>
                <w:vertAlign w:val="subscript"/>
              </w:rPr>
              <w:t>6</w:t>
            </w:r>
            <w:r>
              <w:rPr>
                <w:rFonts w:ascii="宋体" w:hAnsi="宋体" w:cs="宋体"/>
                <w:b w:val="0"/>
                <w:color w:val="000000"/>
                <w:spacing w:val="-10"/>
                <w:sz w:val="21"/>
                <w:szCs w:val="21"/>
              </w:rPr>
              <w:t>-C</w:t>
            </w:r>
            <w:r>
              <w:rPr>
                <w:rFonts w:ascii="宋体" w:hAnsi="宋体" w:cs="宋体"/>
                <w:b w:val="0"/>
                <w:color w:val="000000"/>
                <w:spacing w:val="-10"/>
                <w:sz w:val="21"/>
                <w:szCs w:val="21"/>
                <w:vertAlign w:val="subscript"/>
              </w:rPr>
              <w:t>9</w:t>
            </w:r>
            <w:r>
              <w:rPr>
                <w:rFonts w:ascii="宋体" w:hAnsi="宋体" w:cs="宋体"/>
                <w:b w:val="0"/>
                <w:color w:val="000000"/>
                <w:spacing w:val="-10"/>
                <w:sz w:val="21"/>
                <w:szCs w:val="21"/>
              </w:rPr>
              <w:t>）、石油烃（C</w:t>
            </w:r>
            <w:r>
              <w:rPr>
                <w:rFonts w:ascii="宋体" w:hAnsi="宋体" w:cs="宋体"/>
                <w:b w:val="0"/>
                <w:color w:val="000000"/>
                <w:spacing w:val="-10"/>
                <w:sz w:val="21"/>
                <w:szCs w:val="21"/>
                <w:vertAlign w:val="subscript"/>
              </w:rPr>
              <w:t>10</w:t>
            </w:r>
            <w:r>
              <w:rPr>
                <w:rFonts w:ascii="宋体" w:hAnsi="宋体" w:cs="宋体"/>
                <w:b w:val="0"/>
                <w:color w:val="000000"/>
                <w:spacing w:val="-10"/>
                <w:sz w:val="21"/>
                <w:szCs w:val="21"/>
              </w:rPr>
              <w:t>-C</w:t>
            </w:r>
            <w:r>
              <w:rPr>
                <w:rFonts w:ascii="宋体" w:hAnsi="宋体" w:cs="宋体"/>
                <w:b w:val="0"/>
                <w:color w:val="000000"/>
                <w:spacing w:val="-10"/>
                <w:sz w:val="21"/>
                <w:szCs w:val="21"/>
                <w:vertAlign w:val="subscript"/>
              </w:rPr>
              <w:t>40</w:t>
            </w:r>
            <w:r>
              <w:rPr>
                <w:rFonts w:ascii="宋体" w:hAnsi="宋体" w:cs="宋体"/>
                <w:b w:val="0"/>
                <w:color w:val="000000"/>
                <w:spacing w:val="-10"/>
                <w:sz w:val="21"/>
                <w:szCs w:val="21"/>
              </w:rPr>
              <w:t>）、砷、六价铬</w:t>
            </w:r>
          </w:p>
        </w:tc>
        <w:tc>
          <w:tcPr>
            <w:tcW w:w="606" w:type="dxa"/>
            <w:tcMar>
              <w:left w:w="28" w:type="dxa"/>
              <w:right w:w="28" w:type="dxa"/>
            </w:tcMar>
            <w:vAlign w:val="center"/>
          </w:tcPr>
          <w:p w14:paraId="70BD11F0">
            <w:pPr>
              <w:spacing w:line="0" w:lineRule="atLeast"/>
              <w:jc w:val="center"/>
              <w:rPr>
                <w:rFonts w:hint="eastAsia" w:hAnsi="宋体" w:cs="宋体"/>
                <w:color w:val="000000"/>
                <w:spacing w:val="-10"/>
                <w:sz w:val="21"/>
                <w:szCs w:val="21"/>
                <w:lang w:bidi="ar"/>
              </w:rPr>
            </w:pPr>
          </w:p>
        </w:tc>
      </w:tr>
      <w:tr w14:paraId="153260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074" w:type="dxa"/>
            <w:gridSpan w:val="2"/>
            <w:tcMar>
              <w:left w:w="28" w:type="dxa"/>
              <w:right w:w="28" w:type="dxa"/>
            </w:tcMar>
            <w:vAlign w:val="center"/>
          </w:tcPr>
          <w:p w14:paraId="56B67644">
            <w:pPr>
              <w:spacing w:line="0" w:lineRule="atLeast"/>
              <w:jc w:val="center"/>
              <w:rPr>
                <w:rFonts w:hint="eastAsia" w:hAnsi="宋体" w:cs="宋体"/>
                <w:color w:val="000000"/>
                <w:spacing w:val="-10"/>
                <w:sz w:val="21"/>
                <w:szCs w:val="21"/>
                <w:lang w:bidi="ar"/>
              </w:rPr>
            </w:pPr>
            <w:r>
              <w:rPr>
                <w:rFonts w:hint="eastAsia" w:hAnsi="宋体" w:cs="宋体"/>
                <w:color w:val="000000"/>
                <w:spacing w:val="-10"/>
                <w:sz w:val="21"/>
                <w:szCs w:val="21"/>
                <w:lang w:bidi="ar"/>
              </w:rPr>
              <w:t>评价结论</w:t>
            </w:r>
          </w:p>
        </w:tc>
        <w:tc>
          <w:tcPr>
            <w:tcW w:w="6339" w:type="dxa"/>
            <w:gridSpan w:val="3"/>
            <w:tcMar>
              <w:left w:w="28" w:type="dxa"/>
              <w:right w:w="28" w:type="dxa"/>
            </w:tcMar>
            <w:vAlign w:val="center"/>
          </w:tcPr>
          <w:p w14:paraId="31275A46">
            <w:pPr>
              <w:pStyle w:val="34"/>
              <w:spacing w:line="0" w:lineRule="atLeast"/>
              <w:jc w:val="center"/>
              <w:rPr>
                <w:rFonts w:ascii="宋体" w:hAnsi="宋体" w:cs="宋体"/>
                <w:b w:val="0"/>
                <w:color w:val="000000"/>
                <w:spacing w:val="-10"/>
                <w:sz w:val="21"/>
                <w:szCs w:val="21"/>
              </w:rPr>
            </w:pPr>
            <w:r>
              <w:rPr>
                <w:rFonts w:ascii="宋体" w:hAnsi="宋体" w:cs="宋体"/>
                <w:b w:val="0"/>
                <w:color w:val="000000"/>
                <w:spacing w:val="-10"/>
                <w:sz w:val="21"/>
                <w:szCs w:val="21"/>
                <w:lang w:bidi="ar"/>
              </w:rPr>
              <w:t>通过采取源头控制、过程防控措施，从土壤环境影响的角度，拟建工程建设可行</w:t>
            </w:r>
          </w:p>
        </w:tc>
        <w:tc>
          <w:tcPr>
            <w:tcW w:w="606" w:type="dxa"/>
            <w:tcMar>
              <w:left w:w="28" w:type="dxa"/>
              <w:right w:w="28" w:type="dxa"/>
            </w:tcMar>
            <w:vAlign w:val="center"/>
          </w:tcPr>
          <w:p w14:paraId="43D459A5">
            <w:pPr>
              <w:spacing w:line="0" w:lineRule="atLeast"/>
              <w:jc w:val="center"/>
              <w:rPr>
                <w:rFonts w:hint="eastAsia" w:hAnsi="宋体" w:cs="宋体"/>
                <w:color w:val="000000"/>
                <w:spacing w:val="-10"/>
                <w:sz w:val="21"/>
                <w:szCs w:val="21"/>
                <w:lang w:bidi="ar"/>
              </w:rPr>
            </w:pPr>
          </w:p>
        </w:tc>
      </w:tr>
    </w:tbl>
    <w:p w14:paraId="07E1A7B5">
      <w:pPr>
        <w:spacing w:before="120" w:line="500" w:lineRule="exact"/>
        <w:outlineLvl w:val="1"/>
        <w:rPr>
          <w:rFonts w:hint="eastAsia" w:ascii="黑体" w:hAnsi="黑体" w:eastAsia="黑体" w:cs="黑体"/>
          <w:color w:val="000000"/>
          <w:sz w:val="28"/>
          <w:szCs w:val="28"/>
          <w:lang w:bidi="ar"/>
        </w:rPr>
      </w:pPr>
      <w:bookmarkStart w:id="222" w:name="_Toc198040337"/>
      <w:bookmarkStart w:id="223" w:name="_Toc198040193"/>
      <w:bookmarkStart w:id="224" w:name="_Toc230178803"/>
      <w:bookmarkStart w:id="225" w:name="_Toc208474687"/>
      <w:r>
        <w:rPr>
          <w:rFonts w:hint="eastAsia" w:ascii="黑体" w:hAnsi="黑体" w:eastAsia="黑体" w:cs="黑体"/>
          <w:color w:val="000000"/>
          <w:sz w:val="28"/>
          <w:szCs w:val="28"/>
          <w:lang w:bidi="ar"/>
        </w:rPr>
        <w:t>5.5 大气环境影响评价</w:t>
      </w:r>
      <w:bookmarkEnd w:id="222"/>
      <w:bookmarkEnd w:id="223"/>
      <w:bookmarkEnd w:id="224"/>
      <w:bookmarkEnd w:id="225"/>
    </w:p>
    <w:p w14:paraId="76C09D6F">
      <w:pPr>
        <w:tabs>
          <w:tab w:val="left" w:pos="1134"/>
        </w:tabs>
        <w:spacing w:line="500" w:lineRule="exact"/>
        <w:outlineLvl w:val="2"/>
        <w:rPr>
          <w:rFonts w:hint="eastAsia" w:hAnsi="宋体" w:cs="宋体"/>
          <w:color w:val="000000"/>
          <w:szCs w:val="24"/>
        </w:rPr>
      </w:pPr>
      <w:r>
        <w:rPr>
          <w:rFonts w:hint="eastAsia" w:hAnsi="宋体" w:cs="宋体"/>
          <w:color w:val="000000"/>
          <w:szCs w:val="24"/>
        </w:rPr>
        <w:t>5.5.1 施工期大气环境影响分析</w:t>
      </w:r>
    </w:p>
    <w:p w14:paraId="486E0BF0">
      <w:pPr>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（1）施工扬尘</w:t>
      </w:r>
    </w:p>
    <w:p w14:paraId="551CA8BD">
      <w:pPr>
        <w:spacing w:line="500" w:lineRule="exact"/>
        <w:ind w:firstLine="526" w:firstLineChars="200"/>
        <w:rPr>
          <w:rFonts w:hint="eastAsia"/>
          <w:color w:val="000000"/>
          <w:szCs w:val="24"/>
        </w:rPr>
      </w:pPr>
      <w:r>
        <w:rPr>
          <w:rFonts w:hint="eastAsia" w:hAnsi="宋体" w:cs="宋体"/>
          <w:color w:val="000000"/>
          <w:szCs w:val="24"/>
        </w:rPr>
        <w:t>油气集输工程</w:t>
      </w:r>
      <w:r>
        <w:rPr>
          <w:rFonts w:hint="eastAsia" w:hAnsi="宋体" w:cs="宋体"/>
          <w:color w:val="000000"/>
          <w:szCs w:val="24"/>
          <w:lang w:bidi="ar"/>
        </w:rPr>
        <w:t>施工过程中物料运输、管沟开挖和管线铺设将产生一定的施工扬尘，主要来自施工和运输产生的粉尘、车辆运输二次扬尘以及地面物料堆放时的遇风扬尘，施工扬尘的产生及影响程度跟施工季节、施工管理和风力等气候因素有一定关系，如遇干旱大风天气扬尘影响则较为严重。</w:t>
      </w:r>
    </w:p>
    <w:p w14:paraId="468DC43C">
      <w:pPr>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施工期的扬尘产生量与施工现场条件、管理水平、机械化程度以及气象条件等诸多因素有关，难以进行量化，类比调查结果表明，施工扬尘以土壤颗粒为主。施工期对环境造成不利影响的污染因素持续时间短，对环境的影响较小。施工期只要严格按施工规范文明施工，采取有效的防尘措施，可将施工期污染影响减到最小，施工期结束后，所有施工影响即可消除。</w:t>
      </w:r>
    </w:p>
    <w:p w14:paraId="51E0C2AB">
      <w:pPr>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（2）机械设备和车辆废气</w:t>
      </w:r>
    </w:p>
    <w:p w14:paraId="59348270">
      <w:pPr>
        <w:spacing w:line="500" w:lineRule="exact"/>
        <w:ind w:firstLine="526" w:firstLineChars="200"/>
        <w:rPr>
          <w:rFonts w:hint="eastAsia" w:hAnsi="宋体" w:cs="宋体"/>
          <w:color w:val="000000"/>
          <w:szCs w:val="24"/>
          <w:lang w:bidi="ar"/>
        </w:rPr>
      </w:pPr>
      <w:r>
        <w:rPr>
          <w:rFonts w:hint="eastAsia" w:hAnsi="宋体"/>
          <w:color w:val="000000"/>
        </w:rPr>
        <w:t>在管线工程施工中使用多种燃油机动设备和运输车辆，会产生机械设备和车辆内燃机燃料燃烧废气，其污染物主要有颗粒物、</w:t>
      </w:r>
      <w:r>
        <w:rPr>
          <w:rFonts w:hint="eastAsia" w:hAnsi="宋体" w:cs="宋体"/>
          <w:color w:val="000000"/>
          <w:lang w:bidi="ar"/>
        </w:rPr>
        <w:t>SO</w:t>
      </w:r>
      <w:r>
        <w:rPr>
          <w:rFonts w:hint="eastAsia" w:hAnsi="宋体" w:cs="宋体"/>
          <w:color w:val="000000"/>
          <w:vertAlign w:val="subscript"/>
          <w:lang w:bidi="ar"/>
        </w:rPr>
        <w:t>2</w:t>
      </w:r>
      <w:r>
        <w:rPr>
          <w:rFonts w:hint="eastAsia" w:hAnsi="宋体" w:cs="宋体"/>
          <w:color w:val="000000"/>
          <w:lang w:bidi="ar"/>
        </w:rPr>
        <w:t>、NO</w:t>
      </w:r>
      <w:r>
        <w:rPr>
          <w:rFonts w:hint="eastAsia" w:hAnsi="宋体" w:cs="宋体"/>
          <w:color w:val="000000"/>
          <w:vertAlign w:val="subscript"/>
          <w:lang w:bidi="ar"/>
        </w:rPr>
        <w:t>X</w:t>
      </w:r>
      <w:r>
        <w:rPr>
          <w:rFonts w:hint="eastAsia" w:hAnsi="宋体" w:cs="宋体"/>
          <w:color w:val="000000"/>
          <w:kern w:val="0"/>
        </w:rPr>
        <w:t>、非甲烷总烃</w:t>
      </w:r>
      <w:r>
        <w:rPr>
          <w:rFonts w:hint="eastAsia" w:hAnsi="宋体"/>
          <w:color w:val="000000"/>
        </w:rPr>
        <w:t>等，</w:t>
      </w:r>
      <w:r>
        <w:rPr>
          <w:rFonts w:hint="eastAsia" w:hAnsi="宋体" w:cs="宋体"/>
          <w:color w:val="000000"/>
        </w:rPr>
        <w:t>施工机械废气满足</w:t>
      </w:r>
      <w:r>
        <w:rPr>
          <w:rFonts w:hint="eastAsia" w:hAnsi="宋体" w:cs="宋体"/>
          <w:color w:val="000000"/>
          <w:szCs w:val="21"/>
          <w:lang w:bidi="ar"/>
        </w:rPr>
        <w:t>《大气污染物综合排放标准》(GB16297-1996)表2新污染源大气污染物无组织排放监控浓度限值要求</w:t>
      </w:r>
      <w:r>
        <w:rPr>
          <w:rFonts w:hint="eastAsia" w:hAnsi="宋体"/>
          <w:color w:val="000000"/>
        </w:rPr>
        <w:t>。施工机械和运输车辆运行时间较短，从影响范围和程度来看，施工机械废气对周围大气环境的影响是有限的</w:t>
      </w:r>
      <w:r>
        <w:rPr>
          <w:rFonts w:hint="eastAsia" w:hAnsi="宋体" w:cs="宋体"/>
          <w:color w:val="000000"/>
          <w:szCs w:val="24"/>
          <w:lang w:bidi="ar"/>
        </w:rPr>
        <w:t>。</w:t>
      </w:r>
    </w:p>
    <w:p w14:paraId="6F6109BF">
      <w:pPr>
        <w:spacing w:line="500" w:lineRule="exact"/>
        <w:ind w:firstLine="526" w:firstLineChars="200"/>
        <w:rPr>
          <w:rFonts w:hint="eastAsia" w:hAnsi="宋体"/>
          <w:color w:val="000000"/>
        </w:rPr>
      </w:pPr>
      <w:r>
        <w:rPr>
          <w:rFonts w:hint="eastAsia" w:hAnsi="宋体"/>
          <w:color w:val="000000"/>
        </w:rPr>
        <w:t>（3）焊接烟气和热熔废气</w:t>
      </w:r>
    </w:p>
    <w:p w14:paraId="7CDA4A6D">
      <w:pPr>
        <w:spacing w:line="500" w:lineRule="exact"/>
        <w:ind w:firstLine="526" w:firstLineChars="200"/>
        <w:rPr>
          <w:rFonts w:hint="eastAsia" w:hAnsi="宋体" w:cs="宋体"/>
          <w:color w:val="000000"/>
          <w:szCs w:val="24"/>
          <w:lang w:bidi="ar"/>
        </w:rPr>
      </w:pPr>
      <w:r>
        <w:rPr>
          <w:rFonts w:hint="eastAsia" w:hAnsi="宋体"/>
          <w:color w:val="000000"/>
        </w:rPr>
        <w:t>金属材质管线连接过程中会产生一定量的焊接烟气，污染物主要为金属氧化物，焊接使用无毒低尘焊条。内穿插管线连头过程中需采用热熔连接，会产生一定量的热熔废气，污染物主要为非甲烷总烃。管线焊接时间以及热熔时间一般都较短，从影响范围和程度来看，焊接烟气和热熔废气对周围大气环境的影响是有限的</w:t>
      </w:r>
      <w:r>
        <w:rPr>
          <w:rFonts w:hint="eastAsia" w:hAnsi="宋体"/>
          <w:color w:val="000000"/>
          <w:szCs w:val="24"/>
        </w:rPr>
        <w:t>。</w:t>
      </w:r>
    </w:p>
    <w:p w14:paraId="509D6F12">
      <w:pPr>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（4）环境影响分析</w:t>
      </w:r>
    </w:p>
    <w:p w14:paraId="19B77C28">
      <w:pPr>
        <w:tabs>
          <w:tab w:val="left" w:pos="1134"/>
        </w:tabs>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油气田开发阶段，</w:t>
      </w:r>
      <w:r>
        <w:rPr>
          <w:rFonts w:hint="eastAsia" w:hAnsi="宋体" w:cs="宋体"/>
          <w:color w:val="000000"/>
          <w:szCs w:val="24"/>
        </w:rPr>
        <w:t>油气集输工程</w:t>
      </w:r>
      <w:r>
        <w:rPr>
          <w:rFonts w:hint="eastAsia" w:hAnsi="宋体" w:cs="宋体"/>
          <w:color w:val="000000"/>
          <w:szCs w:val="24"/>
          <w:lang w:bidi="ar"/>
        </w:rPr>
        <w:t>呈现出分区域、分阶段实施的特点，施工期污染产生点分散在区块内，伴随着施工活动而产生和转移。经现场踏勘可知，拟建工程施工活动范围区域开阔，废气污染物气象扩散条件好。因此，施工扬尘、机械设备车辆尾气</w:t>
      </w:r>
      <w:r>
        <w:rPr>
          <w:rFonts w:hint="eastAsia" w:hAnsi="宋体"/>
          <w:color w:val="000000"/>
          <w:szCs w:val="24"/>
        </w:rPr>
        <w:t>、焊接烟气</w:t>
      </w:r>
      <w:r>
        <w:rPr>
          <w:rFonts w:hint="eastAsia" w:hAnsi="宋体"/>
          <w:color w:val="000000"/>
        </w:rPr>
        <w:t>和热熔废气</w:t>
      </w:r>
      <w:r>
        <w:rPr>
          <w:rFonts w:hint="eastAsia" w:hAnsi="宋体" w:cs="宋体"/>
          <w:color w:val="000000"/>
          <w:szCs w:val="24"/>
          <w:lang w:bidi="ar"/>
        </w:rPr>
        <w:t>对区域环境空气可接受，且这种影响是局部的，短期的，项目建设完成之后影响就会消失。</w:t>
      </w:r>
    </w:p>
    <w:p w14:paraId="16ADDEDC">
      <w:pPr>
        <w:tabs>
          <w:tab w:val="left" w:pos="1134"/>
        </w:tabs>
        <w:spacing w:line="500" w:lineRule="exact"/>
        <w:outlineLvl w:val="2"/>
        <w:rPr>
          <w:rFonts w:hint="eastAsia" w:hAnsi="宋体" w:cs="宋体"/>
          <w:color w:val="000000"/>
          <w:szCs w:val="24"/>
        </w:rPr>
      </w:pPr>
      <w:r>
        <w:rPr>
          <w:rFonts w:hint="eastAsia" w:hAnsi="宋体" w:cs="宋体"/>
          <w:color w:val="000000"/>
          <w:szCs w:val="24"/>
        </w:rPr>
        <w:t>5.5.2运营期大气环境影响评价</w:t>
      </w:r>
    </w:p>
    <w:p w14:paraId="3D0687C3">
      <w:pPr>
        <w:spacing w:line="500" w:lineRule="exact"/>
        <w:ind w:firstLine="526" w:firstLineChars="200"/>
        <w:rPr>
          <w:rFonts w:hint="eastAsia" w:hAnsi="宋体" w:cs="宋体"/>
          <w:color w:val="000000"/>
        </w:rPr>
      </w:pPr>
      <w:r>
        <w:rPr>
          <w:rFonts w:hint="eastAsia" w:hAnsi="宋体" w:cs="宋体"/>
          <w:color w:val="000000"/>
        </w:rPr>
        <w:t>运营期无废气产生。</w:t>
      </w:r>
    </w:p>
    <w:p w14:paraId="3EE701D2">
      <w:pPr>
        <w:tabs>
          <w:tab w:val="left" w:pos="1134"/>
        </w:tabs>
        <w:spacing w:line="500" w:lineRule="exact"/>
        <w:outlineLvl w:val="2"/>
        <w:rPr>
          <w:rFonts w:hint="eastAsia" w:hAnsi="宋体" w:cs="宋体"/>
          <w:color w:val="000000"/>
          <w:szCs w:val="24"/>
        </w:rPr>
      </w:pPr>
      <w:r>
        <w:rPr>
          <w:rFonts w:hint="eastAsia" w:hAnsi="宋体" w:cs="宋体"/>
          <w:color w:val="000000"/>
          <w:szCs w:val="24"/>
        </w:rPr>
        <w:t>5.5.3退役期大气环境影响分析</w:t>
      </w:r>
    </w:p>
    <w:p w14:paraId="073C5CB9">
      <w:pPr>
        <w:pStyle w:val="10"/>
        <w:widowControl w:val="0"/>
        <w:spacing w:line="500" w:lineRule="exact"/>
        <w:jc w:val="both"/>
        <w:rPr>
          <w:rFonts w:hint="eastAsia" w:ascii="宋体" w:hAnsi="宋体" w:eastAsia="宋体" w:cs="宋体"/>
          <w:color w:val="000000"/>
          <w:spacing w:val="0"/>
          <w:sz w:val="24"/>
          <w:szCs w:val="24"/>
        </w:rPr>
      </w:pPr>
      <w:r>
        <w:rPr>
          <w:rFonts w:hint="eastAsia" w:ascii="宋体" w:hAnsi="宋体" w:eastAsia="宋体" w:cs="宋体"/>
          <w:color w:val="000000"/>
          <w:spacing w:val="0"/>
          <w:sz w:val="24"/>
          <w:szCs w:val="24"/>
        </w:rPr>
        <w:t>退役期无废气产生。</w:t>
      </w:r>
    </w:p>
    <w:p w14:paraId="49F3EDC7">
      <w:pPr>
        <w:tabs>
          <w:tab w:val="left" w:pos="1134"/>
        </w:tabs>
        <w:spacing w:line="500" w:lineRule="exact"/>
        <w:outlineLvl w:val="2"/>
        <w:rPr>
          <w:rFonts w:hint="eastAsia" w:hAnsi="宋体" w:cs="宋体"/>
          <w:color w:val="000000"/>
          <w:szCs w:val="24"/>
        </w:rPr>
      </w:pPr>
      <w:r>
        <w:rPr>
          <w:rFonts w:hint="eastAsia" w:hAnsi="宋体" w:cs="宋体"/>
          <w:color w:val="000000"/>
          <w:szCs w:val="24"/>
        </w:rPr>
        <w:t>5.5.4 大气环境影响评价结论</w:t>
      </w:r>
    </w:p>
    <w:p w14:paraId="6C1362AE">
      <w:pPr>
        <w:pStyle w:val="10"/>
        <w:widowControl w:val="0"/>
        <w:spacing w:line="500" w:lineRule="exact"/>
        <w:jc w:val="both"/>
        <w:rPr>
          <w:rFonts w:hint="eastAsia" w:ascii="宋体" w:hAnsi="宋体" w:eastAsia="宋体" w:cs="宋体"/>
          <w:color w:val="000000"/>
          <w:sz w:val="24"/>
          <w:szCs w:val="24"/>
        </w:rPr>
      </w:pPr>
      <w:r>
        <w:rPr>
          <w:rFonts w:hint="eastAsia" w:ascii="宋体" w:hAnsi="宋体" w:eastAsia="宋体" w:cs="宋体"/>
          <w:color w:val="000000"/>
          <w:sz w:val="24"/>
          <w:szCs w:val="24"/>
        </w:rPr>
        <w:t>拟建项目位于环境质量不达标区，拟建项目运营期和退役期均无废气产生，拟建项目的实施对区域大气环境影响可以接受。</w:t>
      </w:r>
    </w:p>
    <w:p w14:paraId="3C736C21">
      <w:pPr>
        <w:spacing w:line="500" w:lineRule="exact"/>
        <w:outlineLvl w:val="1"/>
        <w:rPr>
          <w:rFonts w:hint="eastAsia" w:ascii="黑体" w:hAnsi="黑体" w:eastAsia="黑体" w:cs="黑体"/>
          <w:color w:val="000000"/>
          <w:sz w:val="28"/>
          <w:szCs w:val="28"/>
          <w:lang w:bidi="ar"/>
        </w:rPr>
      </w:pPr>
      <w:bookmarkStart w:id="226" w:name="_Toc198040340"/>
      <w:bookmarkStart w:id="227" w:name="_Toc198040196"/>
      <w:bookmarkStart w:id="228" w:name="_Toc208474688"/>
      <w:bookmarkStart w:id="229" w:name="_Toc230178804"/>
      <w:r>
        <w:rPr>
          <w:rFonts w:hint="eastAsia" w:ascii="黑体" w:hAnsi="黑体" w:eastAsia="黑体" w:cs="黑体"/>
          <w:color w:val="000000"/>
          <w:sz w:val="28"/>
          <w:szCs w:val="28"/>
          <w:lang w:bidi="ar"/>
        </w:rPr>
        <w:t>5.6 声环境影响评价</w:t>
      </w:r>
      <w:bookmarkEnd w:id="226"/>
      <w:bookmarkEnd w:id="227"/>
      <w:bookmarkEnd w:id="228"/>
      <w:bookmarkEnd w:id="229"/>
    </w:p>
    <w:p w14:paraId="5175EE09">
      <w:pPr>
        <w:tabs>
          <w:tab w:val="left" w:pos="1134"/>
        </w:tabs>
        <w:spacing w:line="500" w:lineRule="exact"/>
        <w:outlineLvl w:val="2"/>
        <w:rPr>
          <w:rFonts w:hint="eastAsia" w:hAnsi="宋体" w:cs="宋体"/>
          <w:color w:val="000000"/>
          <w:szCs w:val="24"/>
        </w:rPr>
      </w:pPr>
      <w:r>
        <w:rPr>
          <w:rFonts w:hint="eastAsia" w:hAnsi="宋体" w:cs="宋体"/>
          <w:color w:val="000000"/>
          <w:szCs w:val="24"/>
        </w:rPr>
        <w:t>5.6.1 施工期声环境影响分析</w:t>
      </w:r>
    </w:p>
    <w:p w14:paraId="5252BC28">
      <w:pPr>
        <w:spacing w:line="500" w:lineRule="exact"/>
        <w:ind w:firstLine="515" w:firstLineChars="196"/>
        <w:rPr>
          <w:color w:val="000000"/>
          <w:szCs w:val="24"/>
        </w:rPr>
      </w:pPr>
      <w:r>
        <w:rPr>
          <w:rFonts w:hint="eastAsia"/>
          <w:color w:val="000000"/>
          <w:szCs w:val="24"/>
        </w:rPr>
        <w:t>①施工噪声源强</w:t>
      </w:r>
    </w:p>
    <w:p w14:paraId="7B73E927">
      <w:pPr>
        <w:pStyle w:val="45"/>
        <w:widowControl w:val="0"/>
        <w:spacing w:beforeAutospacing="0" w:afterAutospacing="0" w:line="500" w:lineRule="exact"/>
        <w:ind w:firstLine="506" w:firstLineChars="200"/>
        <w:jc w:val="both"/>
        <w:rPr>
          <w:color w:val="000000"/>
          <w:kern w:val="2"/>
        </w:rPr>
      </w:pPr>
      <w:r>
        <w:rPr>
          <w:rFonts w:hint="eastAsia"/>
          <w:color w:val="000000"/>
          <w:kern w:val="2"/>
        </w:rPr>
        <w:t>项目施工期噪声主要包括土方施工、管沟开挖、管线铺设等过程中各种机械和设备产生的噪声。参照《环境噪声与振动控制工程技术导则》（</w:t>
      </w:r>
      <w:r>
        <w:rPr>
          <w:color w:val="000000"/>
          <w:kern w:val="2"/>
        </w:rPr>
        <w:t>HJ 2034-2013</w:t>
      </w:r>
      <w:r>
        <w:rPr>
          <w:rFonts w:hint="eastAsia"/>
          <w:color w:val="000000"/>
          <w:kern w:val="2"/>
        </w:rPr>
        <w:t>）中表</w:t>
      </w:r>
      <w:r>
        <w:rPr>
          <w:color w:val="000000"/>
          <w:kern w:val="2"/>
        </w:rPr>
        <w:t>A.2</w:t>
      </w:r>
      <w:r>
        <w:rPr>
          <w:rFonts w:hint="eastAsia"/>
          <w:color w:val="000000"/>
          <w:kern w:val="2"/>
        </w:rPr>
        <w:t>和类比油田同类油气集输工程中管线铺设实际情况，项目施工期拟采用的各类施工设备噪声参数见表</w:t>
      </w:r>
      <w:r>
        <w:rPr>
          <w:color w:val="000000"/>
          <w:kern w:val="2"/>
        </w:rPr>
        <w:t>5.</w:t>
      </w:r>
      <w:r>
        <w:rPr>
          <w:rFonts w:hint="eastAsia"/>
          <w:color w:val="000000"/>
          <w:kern w:val="2"/>
        </w:rPr>
        <w:t>6</w:t>
      </w:r>
      <w:r>
        <w:rPr>
          <w:color w:val="000000"/>
          <w:kern w:val="2"/>
          <w:lang w:val="zh-CN"/>
        </w:rPr>
        <w:t>-</w:t>
      </w:r>
      <w:r>
        <w:rPr>
          <w:rFonts w:hint="eastAsia"/>
          <w:color w:val="000000"/>
          <w:kern w:val="2"/>
          <w:lang w:val="zh-CN"/>
        </w:rPr>
        <w:t>1</w:t>
      </w:r>
      <w:r>
        <w:rPr>
          <w:rFonts w:hint="eastAsia"/>
          <w:color w:val="000000"/>
          <w:kern w:val="2"/>
        </w:rPr>
        <w:t>。</w:t>
      </w:r>
    </w:p>
    <w:p w14:paraId="4A830EAD">
      <w:pPr>
        <w:tabs>
          <w:tab w:val="left" w:pos="6575"/>
        </w:tabs>
        <w:spacing w:line="480" w:lineRule="exact"/>
        <w:ind w:firstLine="526" w:firstLineChars="200"/>
        <w:rPr>
          <w:rFonts w:hint="eastAsia" w:ascii="黑体" w:hAnsi="黑体" w:eastAsia="黑体"/>
          <w:color w:val="000000"/>
          <w:szCs w:val="24"/>
        </w:rPr>
      </w:pPr>
      <w:r>
        <w:rPr>
          <w:rFonts w:hint="eastAsia" w:ascii="黑体" w:hAnsi="黑体" w:eastAsia="黑体"/>
          <w:color w:val="000000"/>
          <w:szCs w:val="24"/>
        </w:rPr>
        <w:t>表</w:t>
      </w:r>
      <w:r>
        <w:rPr>
          <w:rFonts w:ascii="黑体" w:hAnsi="黑体" w:eastAsia="黑体"/>
          <w:color w:val="000000"/>
          <w:szCs w:val="24"/>
        </w:rPr>
        <w:t>5.</w:t>
      </w:r>
      <w:r>
        <w:rPr>
          <w:rFonts w:hint="eastAsia" w:ascii="黑体" w:hAnsi="黑体" w:eastAsia="黑体"/>
          <w:color w:val="000000"/>
          <w:szCs w:val="24"/>
        </w:rPr>
        <w:t>6</w:t>
      </w:r>
      <w:r>
        <w:rPr>
          <w:rFonts w:ascii="黑体" w:hAnsi="黑体" w:eastAsia="黑体"/>
          <w:color w:val="000000"/>
          <w:szCs w:val="24"/>
          <w:lang w:val="zh-CN"/>
        </w:rPr>
        <w:t>-</w:t>
      </w:r>
      <w:r>
        <w:rPr>
          <w:rFonts w:hint="eastAsia" w:ascii="黑体" w:hAnsi="黑体" w:eastAsia="黑体"/>
          <w:color w:val="000000"/>
          <w:szCs w:val="24"/>
          <w:lang w:val="zh-CN"/>
        </w:rPr>
        <w:t>1</w:t>
      </w:r>
      <w:r>
        <w:rPr>
          <w:rFonts w:ascii="黑体" w:hAnsi="黑体" w:eastAsia="黑体"/>
          <w:color w:val="000000"/>
          <w:szCs w:val="24"/>
          <w:lang w:val="zh-CN"/>
        </w:rPr>
        <w:t xml:space="preserve">     </w:t>
      </w:r>
      <w:r>
        <w:rPr>
          <w:rFonts w:hint="eastAsia" w:ascii="黑体" w:hAnsi="黑体" w:eastAsia="黑体"/>
          <w:color w:val="000000"/>
          <w:szCs w:val="24"/>
        </w:rPr>
        <w:t xml:space="preserve"> </w:t>
      </w:r>
      <w:r>
        <w:rPr>
          <w:rFonts w:hint="eastAsia" w:ascii="黑体" w:hAnsi="黑体" w:eastAsia="黑体" w:cs="黑体"/>
          <w:color w:val="000000"/>
          <w:szCs w:val="24"/>
          <w:lang w:val="zh-CN"/>
        </w:rPr>
        <w:t>施工期</w:t>
      </w:r>
      <w:r>
        <w:rPr>
          <w:rFonts w:hint="eastAsia" w:ascii="黑体" w:hAnsi="黑体" w:eastAsia="黑体" w:cs="黑体"/>
          <w:color w:val="000000"/>
          <w:szCs w:val="24"/>
        </w:rPr>
        <w:t>噪声源参数</w:t>
      </w:r>
      <w:r>
        <w:rPr>
          <w:rFonts w:hint="eastAsia" w:ascii="黑体" w:hAnsi="黑体" w:eastAsia="黑体"/>
          <w:color w:val="000000"/>
          <w:szCs w:val="24"/>
        </w:rPr>
        <w:t>一览表（室外声源）</w:t>
      </w:r>
    </w:p>
    <w:tbl>
      <w:tblPr>
        <w:tblStyle w:val="48"/>
        <w:tblW w:w="499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07"/>
        <w:gridCol w:w="964"/>
        <w:gridCol w:w="1017"/>
        <w:gridCol w:w="655"/>
        <w:gridCol w:w="655"/>
        <w:gridCol w:w="664"/>
        <w:gridCol w:w="1634"/>
        <w:gridCol w:w="1456"/>
        <w:gridCol w:w="1445"/>
      </w:tblGrid>
      <w:tr w14:paraId="2A9E8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vMerge w:val="restart"/>
            <w:tcMar>
              <w:left w:w="28" w:type="dxa"/>
              <w:right w:w="28" w:type="dxa"/>
            </w:tcMar>
            <w:vAlign w:val="center"/>
          </w:tcPr>
          <w:p w14:paraId="69A042E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536" w:type="pct"/>
            <w:vMerge w:val="restart"/>
            <w:tcMar>
              <w:left w:w="28" w:type="dxa"/>
              <w:right w:w="28" w:type="dxa"/>
            </w:tcMar>
            <w:vAlign w:val="center"/>
          </w:tcPr>
          <w:p w14:paraId="72A72CD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声源名称</w:t>
            </w:r>
          </w:p>
        </w:tc>
        <w:tc>
          <w:tcPr>
            <w:tcW w:w="565" w:type="pct"/>
            <w:vMerge w:val="restart"/>
            <w:tcMar>
              <w:left w:w="28" w:type="dxa"/>
              <w:right w:w="28" w:type="dxa"/>
            </w:tcMar>
            <w:vAlign w:val="center"/>
          </w:tcPr>
          <w:p w14:paraId="26DA99F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型号</w:t>
            </w:r>
          </w:p>
        </w:tc>
        <w:tc>
          <w:tcPr>
            <w:tcW w:w="1097" w:type="pct"/>
            <w:gridSpan w:val="3"/>
            <w:tcMar>
              <w:left w:w="28" w:type="dxa"/>
              <w:right w:w="28" w:type="dxa"/>
            </w:tcMar>
            <w:vAlign w:val="center"/>
          </w:tcPr>
          <w:p w14:paraId="1EB8322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空间相对位置/m</w:t>
            </w:r>
          </w:p>
        </w:tc>
        <w:tc>
          <w:tcPr>
            <w:tcW w:w="908" w:type="pct"/>
            <w:vMerge w:val="restart"/>
            <w:tcMar>
              <w:left w:w="28" w:type="dxa"/>
              <w:right w:w="28" w:type="dxa"/>
            </w:tcMar>
            <w:vAlign w:val="center"/>
          </w:tcPr>
          <w:p w14:paraId="519A6FA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声压级/距离</w:t>
            </w:r>
          </w:p>
          <w:p w14:paraId="2EAF4D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〔dB（A）/m〕</w:t>
            </w:r>
          </w:p>
        </w:tc>
        <w:tc>
          <w:tcPr>
            <w:tcW w:w="809" w:type="pct"/>
            <w:vMerge w:val="restart"/>
            <w:tcMar>
              <w:left w:w="28" w:type="dxa"/>
              <w:right w:w="28" w:type="dxa"/>
            </w:tcMar>
            <w:vAlign w:val="center"/>
          </w:tcPr>
          <w:p w14:paraId="23A2F0D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声源控制措施</w:t>
            </w:r>
          </w:p>
        </w:tc>
        <w:tc>
          <w:tcPr>
            <w:tcW w:w="803" w:type="pct"/>
            <w:vMerge w:val="restart"/>
            <w:tcMar>
              <w:left w:w="28" w:type="dxa"/>
              <w:right w:w="28" w:type="dxa"/>
            </w:tcMar>
            <w:vAlign w:val="center"/>
          </w:tcPr>
          <w:p w14:paraId="3A59AA6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运行时段</w:t>
            </w:r>
          </w:p>
        </w:tc>
      </w:tr>
      <w:tr w14:paraId="3E36E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vMerge w:val="continue"/>
            <w:tcMar>
              <w:left w:w="28" w:type="dxa"/>
              <w:right w:w="28" w:type="dxa"/>
            </w:tcMar>
            <w:vAlign w:val="center"/>
          </w:tcPr>
          <w:p w14:paraId="0E134E20">
            <w:pPr>
              <w:spacing w:line="0" w:lineRule="atLeast"/>
              <w:jc w:val="center"/>
              <w:rPr>
                <w:rFonts w:hint="eastAsia" w:hAnsi="宋体" w:cs="宋体"/>
                <w:color w:val="000000"/>
                <w:spacing w:val="-10"/>
                <w:sz w:val="21"/>
                <w:szCs w:val="21"/>
              </w:rPr>
            </w:pPr>
          </w:p>
        </w:tc>
        <w:tc>
          <w:tcPr>
            <w:tcW w:w="536" w:type="pct"/>
            <w:vMerge w:val="continue"/>
            <w:tcMar>
              <w:left w:w="28" w:type="dxa"/>
              <w:right w:w="28" w:type="dxa"/>
            </w:tcMar>
            <w:vAlign w:val="center"/>
          </w:tcPr>
          <w:p w14:paraId="4FCD8FD6">
            <w:pPr>
              <w:spacing w:line="0" w:lineRule="atLeast"/>
              <w:jc w:val="center"/>
              <w:rPr>
                <w:rFonts w:hint="eastAsia" w:hAnsi="宋体" w:cs="宋体"/>
                <w:color w:val="000000"/>
                <w:spacing w:val="-10"/>
                <w:sz w:val="21"/>
                <w:szCs w:val="21"/>
              </w:rPr>
            </w:pPr>
          </w:p>
        </w:tc>
        <w:tc>
          <w:tcPr>
            <w:tcW w:w="565" w:type="pct"/>
            <w:vMerge w:val="continue"/>
            <w:tcMar>
              <w:left w:w="28" w:type="dxa"/>
              <w:right w:w="28" w:type="dxa"/>
            </w:tcMar>
            <w:vAlign w:val="center"/>
          </w:tcPr>
          <w:p w14:paraId="019CA5F6">
            <w:pPr>
              <w:spacing w:line="0" w:lineRule="atLeast"/>
              <w:jc w:val="center"/>
              <w:rPr>
                <w:rFonts w:hint="eastAsia" w:hAnsi="宋体" w:cs="宋体"/>
                <w:color w:val="000000"/>
                <w:spacing w:val="-10"/>
                <w:sz w:val="21"/>
                <w:szCs w:val="21"/>
              </w:rPr>
            </w:pPr>
          </w:p>
        </w:tc>
        <w:tc>
          <w:tcPr>
            <w:tcW w:w="364" w:type="pct"/>
            <w:tcMar>
              <w:left w:w="28" w:type="dxa"/>
              <w:right w:w="28" w:type="dxa"/>
            </w:tcMar>
            <w:vAlign w:val="center"/>
          </w:tcPr>
          <w:p w14:paraId="3AEB058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X</w:t>
            </w:r>
          </w:p>
        </w:tc>
        <w:tc>
          <w:tcPr>
            <w:tcW w:w="364" w:type="pct"/>
            <w:tcMar>
              <w:left w:w="28" w:type="dxa"/>
              <w:right w:w="28" w:type="dxa"/>
            </w:tcMar>
            <w:vAlign w:val="center"/>
          </w:tcPr>
          <w:p w14:paraId="2EA5E5D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Y</w:t>
            </w:r>
          </w:p>
        </w:tc>
        <w:tc>
          <w:tcPr>
            <w:tcW w:w="369" w:type="pct"/>
            <w:tcMar>
              <w:left w:w="28" w:type="dxa"/>
              <w:right w:w="28" w:type="dxa"/>
            </w:tcMar>
            <w:vAlign w:val="center"/>
          </w:tcPr>
          <w:p w14:paraId="3EC1BF4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Z</w:t>
            </w:r>
          </w:p>
        </w:tc>
        <w:tc>
          <w:tcPr>
            <w:tcW w:w="908" w:type="pct"/>
            <w:vMerge w:val="continue"/>
            <w:tcMar>
              <w:left w:w="28" w:type="dxa"/>
              <w:right w:w="28" w:type="dxa"/>
            </w:tcMar>
            <w:vAlign w:val="center"/>
          </w:tcPr>
          <w:p w14:paraId="2F217325">
            <w:pPr>
              <w:spacing w:line="0" w:lineRule="atLeast"/>
              <w:jc w:val="center"/>
              <w:rPr>
                <w:rFonts w:hint="eastAsia" w:hAnsi="宋体" w:cs="宋体"/>
                <w:color w:val="000000"/>
                <w:spacing w:val="-10"/>
                <w:sz w:val="21"/>
                <w:szCs w:val="21"/>
              </w:rPr>
            </w:pPr>
          </w:p>
        </w:tc>
        <w:tc>
          <w:tcPr>
            <w:tcW w:w="809" w:type="pct"/>
            <w:vMerge w:val="continue"/>
            <w:tcMar>
              <w:left w:w="28" w:type="dxa"/>
              <w:right w:w="28" w:type="dxa"/>
            </w:tcMar>
            <w:vAlign w:val="center"/>
          </w:tcPr>
          <w:p w14:paraId="7AC10FFD">
            <w:pPr>
              <w:spacing w:line="0" w:lineRule="atLeast"/>
              <w:jc w:val="center"/>
              <w:rPr>
                <w:rFonts w:hint="eastAsia" w:hAnsi="宋体" w:cs="宋体"/>
                <w:color w:val="000000"/>
                <w:spacing w:val="-10"/>
                <w:sz w:val="21"/>
                <w:szCs w:val="21"/>
              </w:rPr>
            </w:pPr>
          </w:p>
        </w:tc>
        <w:tc>
          <w:tcPr>
            <w:tcW w:w="803" w:type="pct"/>
            <w:vMerge w:val="continue"/>
            <w:tcMar>
              <w:left w:w="28" w:type="dxa"/>
              <w:right w:w="28" w:type="dxa"/>
            </w:tcMar>
            <w:vAlign w:val="center"/>
          </w:tcPr>
          <w:p w14:paraId="134CEF51">
            <w:pPr>
              <w:spacing w:line="0" w:lineRule="atLeast"/>
              <w:jc w:val="center"/>
              <w:rPr>
                <w:rFonts w:hint="eastAsia" w:hAnsi="宋体" w:cs="宋体"/>
                <w:color w:val="000000"/>
                <w:spacing w:val="-10"/>
                <w:sz w:val="21"/>
                <w:szCs w:val="21"/>
              </w:rPr>
            </w:pPr>
          </w:p>
        </w:tc>
      </w:tr>
      <w:tr w14:paraId="5EDBAB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tcMar>
              <w:left w:w="28" w:type="dxa"/>
              <w:right w:w="28" w:type="dxa"/>
            </w:tcMar>
            <w:vAlign w:val="center"/>
          </w:tcPr>
          <w:p w14:paraId="3669307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536" w:type="pct"/>
            <w:tcMar>
              <w:left w:w="28" w:type="dxa"/>
              <w:right w:w="28" w:type="dxa"/>
            </w:tcMar>
            <w:vAlign w:val="center"/>
          </w:tcPr>
          <w:p w14:paraId="0A0A2CB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挖掘机</w:t>
            </w:r>
          </w:p>
        </w:tc>
        <w:tc>
          <w:tcPr>
            <w:tcW w:w="565" w:type="pct"/>
            <w:tcMar>
              <w:left w:w="28" w:type="dxa"/>
              <w:right w:w="28" w:type="dxa"/>
            </w:tcMar>
            <w:vAlign w:val="center"/>
          </w:tcPr>
          <w:p w14:paraId="340A5E5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03EF54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691D567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9" w:type="pct"/>
            <w:tcMar>
              <w:left w:w="28" w:type="dxa"/>
              <w:right w:w="28" w:type="dxa"/>
            </w:tcMar>
            <w:vAlign w:val="center"/>
          </w:tcPr>
          <w:p w14:paraId="7906F8F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08" w:type="pct"/>
            <w:tcMar>
              <w:left w:w="28" w:type="dxa"/>
              <w:right w:w="28" w:type="dxa"/>
            </w:tcMar>
            <w:vAlign w:val="center"/>
          </w:tcPr>
          <w:p w14:paraId="6E48619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90/5</w:t>
            </w:r>
          </w:p>
        </w:tc>
        <w:tc>
          <w:tcPr>
            <w:tcW w:w="809" w:type="pct"/>
            <w:tcMar>
              <w:left w:w="28" w:type="dxa"/>
              <w:right w:w="28" w:type="dxa"/>
            </w:tcMar>
            <w:vAlign w:val="center"/>
          </w:tcPr>
          <w:p w14:paraId="7C6E302A">
            <w:pPr>
              <w:spacing w:line="0" w:lineRule="atLeast"/>
              <w:jc w:val="center"/>
              <w:rPr>
                <w:rFonts w:hint="eastAsia" w:hAnsi="宋体" w:cs="宋体"/>
                <w:color w:val="000000"/>
                <w:spacing w:val="-10"/>
                <w:sz w:val="21"/>
                <w:szCs w:val="21"/>
                <w:lang w:val="zh-CN"/>
              </w:rPr>
            </w:pPr>
            <w:r>
              <w:rPr>
                <w:rFonts w:hint="eastAsia" w:hAnsi="宋体" w:cs="宋体"/>
                <w:color w:val="000000"/>
                <w:spacing w:val="-10"/>
                <w:sz w:val="21"/>
                <w:szCs w:val="21"/>
                <w:lang w:val="zh-CN"/>
              </w:rPr>
              <w:t>基础减振</w:t>
            </w:r>
          </w:p>
        </w:tc>
        <w:tc>
          <w:tcPr>
            <w:tcW w:w="803" w:type="pct"/>
            <w:tcMar>
              <w:left w:w="28" w:type="dxa"/>
              <w:right w:w="28" w:type="dxa"/>
            </w:tcMar>
            <w:vAlign w:val="center"/>
          </w:tcPr>
          <w:p w14:paraId="543507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昼夜</w:t>
            </w:r>
          </w:p>
        </w:tc>
      </w:tr>
      <w:tr w14:paraId="22764E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tcMar>
              <w:left w:w="28" w:type="dxa"/>
              <w:right w:w="28" w:type="dxa"/>
            </w:tcMar>
            <w:vAlign w:val="center"/>
          </w:tcPr>
          <w:p w14:paraId="16C831B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536" w:type="pct"/>
            <w:tcMar>
              <w:left w:w="28" w:type="dxa"/>
              <w:right w:w="28" w:type="dxa"/>
            </w:tcMar>
            <w:vAlign w:val="center"/>
          </w:tcPr>
          <w:p w14:paraId="67CEAB5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推土机</w:t>
            </w:r>
          </w:p>
        </w:tc>
        <w:tc>
          <w:tcPr>
            <w:tcW w:w="565" w:type="pct"/>
            <w:tcMar>
              <w:left w:w="28" w:type="dxa"/>
              <w:right w:w="28" w:type="dxa"/>
            </w:tcMar>
            <w:vAlign w:val="center"/>
          </w:tcPr>
          <w:p w14:paraId="2FAB174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3C44BF0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73D70CE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9" w:type="pct"/>
            <w:tcMar>
              <w:left w:w="28" w:type="dxa"/>
              <w:right w:w="28" w:type="dxa"/>
            </w:tcMar>
            <w:vAlign w:val="center"/>
          </w:tcPr>
          <w:p w14:paraId="4BB6128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08" w:type="pct"/>
            <w:tcMar>
              <w:left w:w="28" w:type="dxa"/>
              <w:right w:w="28" w:type="dxa"/>
            </w:tcMar>
            <w:vAlign w:val="center"/>
          </w:tcPr>
          <w:p w14:paraId="4415859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88/5</w:t>
            </w:r>
          </w:p>
        </w:tc>
        <w:tc>
          <w:tcPr>
            <w:tcW w:w="809" w:type="pct"/>
            <w:tcMar>
              <w:left w:w="28" w:type="dxa"/>
              <w:right w:w="28" w:type="dxa"/>
            </w:tcMar>
            <w:vAlign w:val="center"/>
          </w:tcPr>
          <w:p w14:paraId="4FFDF4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基础减振</w:t>
            </w:r>
          </w:p>
        </w:tc>
        <w:tc>
          <w:tcPr>
            <w:tcW w:w="803" w:type="pct"/>
            <w:tcMar>
              <w:left w:w="28" w:type="dxa"/>
              <w:right w:w="28" w:type="dxa"/>
            </w:tcMar>
            <w:vAlign w:val="center"/>
          </w:tcPr>
          <w:p w14:paraId="5075C5F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昼夜</w:t>
            </w:r>
          </w:p>
        </w:tc>
      </w:tr>
      <w:tr w14:paraId="0C847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tcMar>
              <w:left w:w="28" w:type="dxa"/>
              <w:right w:w="28" w:type="dxa"/>
            </w:tcMar>
            <w:vAlign w:val="center"/>
          </w:tcPr>
          <w:p w14:paraId="4195F58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536" w:type="pct"/>
            <w:tcMar>
              <w:left w:w="28" w:type="dxa"/>
              <w:right w:w="28" w:type="dxa"/>
            </w:tcMar>
            <w:vAlign w:val="center"/>
          </w:tcPr>
          <w:p w14:paraId="24C330E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运输车辆</w:t>
            </w:r>
          </w:p>
        </w:tc>
        <w:tc>
          <w:tcPr>
            <w:tcW w:w="565" w:type="pct"/>
            <w:tcMar>
              <w:left w:w="28" w:type="dxa"/>
              <w:right w:w="28" w:type="dxa"/>
            </w:tcMar>
            <w:vAlign w:val="center"/>
          </w:tcPr>
          <w:p w14:paraId="4A25610F">
            <w:pPr>
              <w:spacing w:line="0" w:lineRule="atLeast"/>
              <w:jc w:val="center"/>
              <w:rPr>
                <w:rFonts w:hint="eastAsia" w:hAnsi="宋体" w:cs="宋体"/>
                <w:bCs/>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3033A53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517F841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9" w:type="pct"/>
            <w:tcMar>
              <w:left w:w="28" w:type="dxa"/>
              <w:right w:w="28" w:type="dxa"/>
            </w:tcMar>
            <w:vAlign w:val="center"/>
          </w:tcPr>
          <w:p w14:paraId="121A87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08" w:type="pct"/>
            <w:tcMar>
              <w:left w:w="28" w:type="dxa"/>
              <w:right w:w="28" w:type="dxa"/>
            </w:tcMar>
            <w:vAlign w:val="center"/>
          </w:tcPr>
          <w:p w14:paraId="55C8FF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90/5</w:t>
            </w:r>
          </w:p>
        </w:tc>
        <w:tc>
          <w:tcPr>
            <w:tcW w:w="809" w:type="pct"/>
            <w:tcMar>
              <w:left w:w="28" w:type="dxa"/>
              <w:right w:w="28" w:type="dxa"/>
            </w:tcMar>
            <w:vAlign w:val="center"/>
          </w:tcPr>
          <w:p w14:paraId="4EF0DC1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基础减振</w:t>
            </w:r>
          </w:p>
        </w:tc>
        <w:tc>
          <w:tcPr>
            <w:tcW w:w="803" w:type="pct"/>
            <w:tcMar>
              <w:left w:w="28" w:type="dxa"/>
              <w:right w:w="28" w:type="dxa"/>
            </w:tcMar>
            <w:vAlign w:val="center"/>
          </w:tcPr>
          <w:p w14:paraId="03FFC56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昼夜</w:t>
            </w:r>
          </w:p>
        </w:tc>
      </w:tr>
      <w:tr w14:paraId="6614C9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tcMar>
              <w:left w:w="28" w:type="dxa"/>
              <w:right w:w="28" w:type="dxa"/>
            </w:tcMar>
            <w:vAlign w:val="center"/>
          </w:tcPr>
          <w:p w14:paraId="5F6AF1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536" w:type="pct"/>
            <w:tcMar>
              <w:left w:w="28" w:type="dxa"/>
              <w:right w:w="28" w:type="dxa"/>
            </w:tcMar>
            <w:vAlign w:val="center"/>
          </w:tcPr>
          <w:p w14:paraId="2721B44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吊装机</w:t>
            </w:r>
          </w:p>
        </w:tc>
        <w:tc>
          <w:tcPr>
            <w:tcW w:w="565" w:type="pct"/>
            <w:tcMar>
              <w:left w:w="28" w:type="dxa"/>
              <w:right w:w="28" w:type="dxa"/>
            </w:tcMar>
            <w:vAlign w:val="center"/>
          </w:tcPr>
          <w:p w14:paraId="2F64652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5E3D2A6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7A1E454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9" w:type="pct"/>
            <w:tcMar>
              <w:left w:w="28" w:type="dxa"/>
              <w:right w:w="28" w:type="dxa"/>
            </w:tcMar>
            <w:vAlign w:val="center"/>
          </w:tcPr>
          <w:p w14:paraId="27288C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08" w:type="pct"/>
            <w:tcMar>
              <w:left w:w="28" w:type="dxa"/>
              <w:right w:w="28" w:type="dxa"/>
            </w:tcMar>
            <w:vAlign w:val="center"/>
          </w:tcPr>
          <w:p w14:paraId="72835A2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84/5</w:t>
            </w:r>
          </w:p>
        </w:tc>
        <w:tc>
          <w:tcPr>
            <w:tcW w:w="809" w:type="pct"/>
            <w:tcMar>
              <w:left w:w="28" w:type="dxa"/>
              <w:right w:w="28" w:type="dxa"/>
            </w:tcMar>
            <w:vAlign w:val="center"/>
          </w:tcPr>
          <w:p w14:paraId="13550ED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基础减振</w:t>
            </w:r>
          </w:p>
        </w:tc>
        <w:tc>
          <w:tcPr>
            <w:tcW w:w="803" w:type="pct"/>
            <w:tcMar>
              <w:left w:w="28" w:type="dxa"/>
              <w:right w:w="28" w:type="dxa"/>
            </w:tcMar>
            <w:vAlign w:val="center"/>
          </w:tcPr>
          <w:p w14:paraId="1C2C8D3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昼夜</w:t>
            </w:r>
          </w:p>
        </w:tc>
      </w:tr>
      <w:tr w14:paraId="38DCAA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82" w:type="pct"/>
            <w:tcMar>
              <w:left w:w="28" w:type="dxa"/>
              <w:right w:w="28" w:type="dxa"/>
            </w:tcMar>
            <w:vAlign w:val="center"/>
          </w:tcPr>
          <w:p w14:paraId="2DBC173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536" w:type="pct"/>
            <w:tcMar>
              <w:left w:w="28" w:type="dxa"/>
              <w:right w:w="28" w:type="dxa"/>
            </w:tcMar>
            <w:vAlign w:val="center"/>
          </w:tcPr>
          <w:p w14:paraId="627481A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焊接机器</w:t>
            </w:r>
          </w:p>
        </w:tc>
        <w:tc>
          <w:tcPr>
            <w:tcW w:w="565" w:type="pct"/>
            <w:tcMar>
              <w:left w:w="28" w:type="dxa"/>
              <w:right w:w="28" w:type="dxa"/>
            </w:tcMar>
            <w:vAlign w:val="center"/>
          </w:tcPr>
          <w:p w14:paraId="39E4E2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78BF38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4" w:type="pct"/>
            <w:tcMar>
              <w:left w:w="28" w:type="dxa"/>
              <w:right w:w="28" w:type="dxa"/>
            </w:tcMar>
            <w:vAlign w:val="center"/>
          </w:tcPr>
          <w:p w14:paraId="4A3CA69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369" w:type="pct"/>
            <w:tcMar>
              <w:left w:w="28" w:type="dxa"/>
              <w:right w:w="28" w:type="dxa"/>
            </w:tcMar>
            <w:vAlign w:val="center"/>
          </w:tcPr>
          <w:p w14:paraId="3270B87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1.5</w:t>
            </w:r>
          </w:p>
        </w:tc>
        <w:tc>
          <w:tcPr>
            <w:tcW w:w="908" w:type="pct"/>
            <w:tcMar>
              <w:left w:w="28" w:type="dxa"/>
              <w:right w:w="28" w:type="dxa"/>
            </w:tcMar>
            <w:vAlign w:val="center"/>
          </w:tcPr>
          <w:p w14:paraId="761C18D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84/5</w:t>
            </w:r>
          </w:p>
        </w:tc>
        <w:tc>
          <w:tcPr>
            <w:tcW w:w="809" w:type="pct"/>
            <w:tcMar>
              <w:left w:w="28" w:type="dxa"/>
              <w:right w:w="28" w:type="dxa"/>
            </w:tcMar>
            <w:vAlign w:val="center"/>
          </w:tcPr>
          <w:p w14:paraId="1BC4D71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基础减振</w:t>
            </w:r>
          </w:p>
        </w:tc>
        <w:tc>
          <w:tcPr>
            <w:tcW w:w="803" w:type="pct"/>
            <w:tcMar>
              <w:left w:w="28" w:type="dxa"/>
              <w:right w:w="28" w:type="dxa"/>
            </w:tcMar>
            <w:vAlign w:val="center"/>
          </w:tcPr>
          <w:p w14:paraId="177749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昼夜</w:t>
            </w:r>
          </w:p>
        </w:tc>
      </w:tr>
    </w:tbl>
    <w:p w14:paraId="047A12D0">
      <w:pPr>
        <w:spacing w:before="240" w:line="480" w:lineRule="exact"/>
        <w:ind w:firstLine="515" w:firstLineChars="196"/>
        <w:rPr>
          <w:rFonts w:hAnsi="宋体" w:cs="宋体"/>
          <w:color w:val="000000"/>
          <w:szCs w:val="24"/>
        </w:rPr>
      </w:pPr>
      <w:r>
        <w:rPr>
          <w:rFonts w:hint="eastAsia" w:hAnsi="宋体" w:cs="宋体"/>
          <w:color w:val="000000"/>
          <w:szCs w:val="24"/>
        </w:rPr>
        <w:t>②施工噪声贡献值</w:t>
      </w:r>
    </w:p>
    <w:p w14:paraId="37E75771">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本评价采用点源衰减模式，预测计算施工机械噪声源至受声点的几何发散衰减，计算中不考虑声屏障、空气吸收等衰减，预测公式如下：</w:t>
      </w:r>
    </w:p>
    <w:p w14:paraId="3EE40923">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L</w:t>
      </w:r>
      <w:r>
        <w:rPr>
          <w:rFonts w:hint="eastAsia"/>
          <w:color w:val="000000"/>
          <w:kern w:val="2"/>
          <w:vertAlign w:val="subscript"/>
        </w:rPr>
        <w:t>r</w:t>
      </w:r>
      <w:r>
        <w:rPr>
          <w:rFonts w:hint="eastAsia"/>
          <w:color w:val="000000"/>
          <w:kern w:val="2"/>
        </w:rPr>
        <w:t>=L</w:t>
      </w:r>
      <w:r>
        <w:rPr>
          <w:rFonts w:hint="eastAsia"/>
          <w:color w:val="000000"/>
          <w:kern w:val="2"/>
          <w:vertAlign w:val="subscript"/>
        </w:rPr>
        <w:t>ro</w:t>
      </w:r>
      <w:r>
        <w:rPr>
          <w:rFonts w:hint="eastAsia"/>
          <w:color w:val="000000"/>
          <w:kern w:val="2"/>
        </w:rPr>
        <w:t>-20lg（r/r</w:t>
      </w:r>
      <w:r>
        <w:rPr>
          <w:rFonts w:hint="eastAsia"/>
          <w:color w:val="000000"/>
          <w:kern w:val="2"/>
          <w:vertAlign w:val="subscript"/>
        </w:rPr>
        <w:t>o</w:t>
      </w:r>
      <w:r>
        <w:rPr>
          <w:rFonts w:hint="eastAsia"/>
          <w:color w:val="000000"/>
          <w:kern w:val="2"/>
        </w:rPr>
        <w:t>）</w:t>
      </w:r>
    </w:p>
    <w:p w14:paraId="3DFFCA87">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式中：L</w:t>
      </w:r>
      <w:r>
        <w:rPr>
          <w:rFonts w:hint="eastAsia"/>
          <w:color w:val="000000"/>
          <w:kern w:val="2"/>
          <w:vertAlign w:val="subscript"/>
        </w:rPr>
        <w:t>r</w:t>
      </w:r>
      <w:r>
        <w:rPr>
          <w:rFonts w:hint="eastAsia"/>
          <w:color w:val="000000"/>
          <w:kern w:val="2"/>
        </w:rPr>
        <w:t>——距声源r处的A声压级，dB（A）；</w:t>
      </w:r>
    </w:p>
    <w:p w14:paraId="6F5674D3">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 xml:space="preserve">      L</w:t>
      </w:r>
      <w:r>
        <w:rPr>
          <w:rFonts w:hint="eastAsia"/>
          <w:color w:val="000000"/>
          <w:kern w:val="2"/>
          <w:vertAlign w:val="subscript"/>
        </w:rPr>
        <w:t>ro</w:t>
      </w:r>
      <w:r>
        <w:rPr>
          <w:rFonts w:hint="eastAsia"/>
          <w:color w:val="000000"/>
          <w:kern w:val="2"/>
        </w:rPr>
        <w:t>——距声源r</w:t>
      </w:r>
      <w:r>
        <w:rPr>
          <w:rFonts w:hint="eastAsia"/>
          <w:color w:val="000000"/>
          <w:kern w:val="2"/>
          <w:vertAlign w:val="subscript"/>
        </w:rPr>
        <w:t>o</w:t>
      </w:r>
      <w:r>
        <w:rPr>
          <w:rFonts w:hint="eastAsia"/>
          <w:color w:val="000000"/>
          <w:kern w:val="2"/>
        </w:rPr>
        <w:t>处的A声压级，dB（A）；</w:t>
      </w:r>
    </w:p>
    <w:p w14:paraId="25F69EFA">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 xml:space="preserve">      r ——预测点与声源的距离，m；</w:t>
      </w:r>
    </w:p>
    <w:p w14:paraId="6A38E1F3">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 xml:space="preserve">      r</w:t>
      </w:r>
      <w:r>
        <w:rPr>
          <w:rFonts w:hint="eastAsia"/>
          <w:color w:val="000000"/>
          <w:kern w:val="2"/>
          <w:vertAlign w:val="subscript"/>
        </w:rPr>
        <w:t>o</w:t>
      </w:r>
      <w:r>
        <w:rPr>
          <w:rFonts w:hint="eastAsia"/>
          <w:color w:val="000000"/>
          <w:kern w:val="2"/>
        </w:rPr>
        <w:t>——监测设备噪声时的距离，m。</w:t>
      </w:r>
    </w:p>
    <w:p w14:paraId="01065C13">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kern w:val="2"/>
        </w:rPr>
        <w:t>利用上述公式，预测计算项目主要施工机械在不同距离处的贡献值，预测计算结果见表</w:t>
      </w:r>
      <w:r>
        <w:rPr>
          <w:color w:val="000000"/>
          <w:kern w:val="2"/>
        </w:rPr>
        <w:t>5.</w:t>
      </w:r>
      <w:r>
        <w:rPr>
          <w:rFonts w:hint="eastAsia"/>
          <w:color w:val="000000"/>
          <w:kern w:val="2"/>
        </w:rPr>
        <w:t>6</w:t>
      </w:r>
      <w:r>
        <w:rPr>
          <w:color w:val="000000"/>
          <w:kern w:val="2"/>
        </w:rPr>
        <w:t>-</w:t>
      </w:r>
      <w:r>
        <w:rPr>
          <w:rFonts w:hint="eastAsia"/>
          <w:color w:val="000000"/>
          <w:kern w:val="2"/>
        </w:rPr>
        <w:t>2。</w:t>
      </w:r>
    </w:p>
    <w:p w14:paraId="5F2C09BD">
      <w:pPr>
        <w:spacing w:line="480" w:lineRule="exact"/>
        <w:ind w:firstLine="526" w:firstLineChars="200"/>
        <w:rPr>
          <w:rFonts w:hint="eastAsia" w:ascii="黑体" w:hAnsi="黑体" w:eastAsia="黑体"/>
          <w:color w:val="000000"/>
          <w:szCs w:val="24"/>
        </w:rPr>
      </w:pPr>
      <w:r>
        <w:rPr>
          <w:rFonts w:hint="eastAsia" w:ascii="黑体" w:hAnsi="黑体" w:eastAsia="黑体"/>
          <w:color w:val="000000"/>
          <w:szCs w:val="24"/>
        </w:rPr>
        <w:t>表</w:t>
      </w:r>
      <w:r>
        <w:rPr>
          <w:rFonts w:ascii="黑体" w:hAnsi="黑体" w:eastAsia="黑体"/>
          <w:color w:val="000000"/>
          <w:szCs w:val="24"/>
        </w:rPr>
        <w:t>5.</w:t>
      </w:r>
      <w:r>
        <w:rPr>
          <w:rFonts w:hint="eastAsia" w:ascii="黑体" w:hAnsi="黑体" w:eastAsia="黑体"/>
          <w:color w:val="000000"/>
          <w:szCs w:val="24"/>
        </w:rPr>
        <w:t>6</w:t>
      </w:r>
      <w:r>
        <w:rPr>
          <w:rFonts w:ascii="黑体" w:hAnsi="黑体" w:eastAsia="黑体"/>
          <w:color w:val="000000"/>
          <w:szCs w:val="24"/>
          <w:lang w:val="zh-CN"/>
        </w:rPr>
        <w:t>-</w:t>
      </w:r>
      <w:r>
        <w:rPr>
          <w:rFonts w:hint="eastAsia" w:ascii="黑体" w:hAnsi="黑体" w:eastAsia="黑体"/>
          <w:color w:val="000000"/>
          <w:szCs w:val="24"/>
          <w:lang w:val="zh-CN"/>
        </w:rPr>
        <w:t>2</w:t>
      </w:r>
      <w:r>
        <w:rPr>
          <w:rFonts w:hint="eastAsia" w:ascii="黑体" w:hAnsi="黑体" w:eastAsia="黑体"/>
          <w:color w:val="000000"/>
          <w:szCs w:val="24"/>
        </w:rPr>
        <w:t xml:space="preserve">    主要施工机械在不同距离处的噪声贡献值</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71"/>
        <w:gridCol w:w="1486"/>
        <w:gridCol w:w="835"/>
        <w:gridCol w:w="835"/>
        <w:gridCol w:w="833"/>
        <w:gridCol w:w="833"/>
        <w:gridCol w:w="833"/>
        <w:gridCol w:w="833"/>
        <w:gridCol w:w="836"/>
        <w:gridCol w:w="1020"/>
      </w:tblGrid>
      <w:tr w14:paraId="5B0828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vMerge w:val="restart"/>
            <w:tcMar>
              <w:left w:w="28" w:type="dxa"/>
              <w:right w:w="28" w:type="dxa"/>
            </w:tcMar>
            <w:vAlign w:val="center"/>
          </w:tcPr>
          <w:p w14:paraId="4DE7335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824" w:type="pct"/>
            <w:vMerge w:val="restart"/>
            <w:tcMar>
              <w:left w:w="28" w:type="dxa"/>
              <w:right w:w="28" w:type="dxa"/>
            </w:tcMar>
            <w:vAlign w:val="center"/>
          </w:tcPr>
          <w:p w14:paraId="556578E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机  械</w:t>
            </w:r>
          </w:p>
        </w:tc>
        <w:tc>
          <w:tcPr>
            <w:tcW w:w="3237" w:type="pct"/>
            <w:gridSpan w:val="7"/>
            <w:tcMar>
              <w:top w:w="0" w:type="dxa"/>
              <w:left w:w="28" w:type="dxa"/>
              <w:bottom w:w="0" w:type="dxa"/>
              <w:right w:w="28" w:type="dxa"/>
            </w:tcMar>
            <w:vAlign w:val="center"/>
          </w:tcPr>
          <w:p w14:paraId="1C890B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不同距离处的噪声贡献值〔dB（A）〕</w:t>
            </w:r>
          </w:p>
        </w:tc>
        <w:tc>
          <w:tcPr>
            <w:tcW w:w="565" w:type="pct"/>
            <w:vMerge w:val="restart"/>
            <w:tcMar>
              <w:left w:w="28" w:type="dxa"/>
              <w:right w:w="28" w:type="dxa"/>
            </w:tcMar>
            <w:vAlign w:val="center"/>
          </w:tcPr>
          <w:p w14:paraId="1A6533C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施工阶段</w:t>
            </w:r>
          </w:p>
        </w:tc>
      </w:tr>
      <w:tr w14:paraId="3064EE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vMerge w:val="continue"/>
            <w:tcMar>
              <w:left w:w="28" w:type="dxa"/>
              <w:right w:w="28" w:type="dxa"/>
            </w:tcMar>
            <w:vAlign w:val="center"/>
          </w:tcPr>
          <w:p w14:paraId="47490AD2">
            <w:pPr>
              <w:spacing w:line="0" w:lineRule="atLeast"/>
              <w:jc w:val="left"/>
              <w:rPr>
                <w:rFonts w:hint="eastAsia" w:hAnsi="宋体" w:cs="宋体"/>
                <w:color w:val="000000"/>
                <w:spacing w:val="-10"/>
                <w:sz w:val="21"/>
                <w:szCs w:val="21"/>
              </w:rPr>
            </w:pPr>
          </w:p>
        </w:tc>
        <w:tc>
          <w:tcPr>
            <w:tcW w:w="824" w:type="pct"/>
            <w:vMerge w:val="continue"/>
            <w:tcMar>
              <w:left w:w="28" w:type="dxa"/>
              <w:right w:w="28" w:type="dxa"/>
            </w:tcMar>
            <w:vAlign w:val="center"/>
          </w:tcPr>
          <w:p w14:paraId="0FD59F14">
            <w:pPr>
              <w:spacing w:line="0" w:lineRule="atLeast"/>
              <w:jc w:val="left"/>
              <w:rPr>
                <w:rFonts w:hint="eastAsia" w:hAnsi="宋体" w:cs="宋体"/>
                <w:color w:val="000000"/>
                <w:spacing w:val="-10"/>
                <w:sz w:val="21"/>
                <w:szCs w:val="21"/>
              </w:rPr>
            </w:pPr>
          </w:p>
        </w:tc>
        <w:tc>
          <w:tcPr>
            <w:tcW w:w="463" w:type="pct"/>
            <w:tcMar>
              <w:left w:w="28" w:type="dxa"/>
              <w:right w:w="28" w:type="dxa"/>
            </w:tcMar>
            <w:vAlign w:val="center"/>
          </w:tcPr>
          <w:p w14:paraId="606800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40m</w:t>
            </w:r>
          </w:p>
        </w:tc>
        <w:tc>
          <w:tcPr>
            <w:tcW w:w="463" w:type="pct"/>
            <w:tcMar>
              <w:left w:w="28" w:type="dxa"/>
              <w:right w:w="28" w:type="dxa"/>
            </w:tcMar>
            <w:vAlign w:val="center"/>
          </w:tcPr>
          <w:p w14:paraId="02AF38F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60m</w:t>
            </w:r>
          </w:p>
        </w:tc>
        <w:tc>
          <w:tcPr>
            <w:tcW w:w="462" w:type="pct"/>
            <w:tcMar>
              <w:top w:w="0" w:type="dxa"/>
              <w:left w:w="28" w:type="dxa"/>
              <w:bottom w:w="0" w:type="dxa"/>
              <w:right w:w="28" w:type="dxa"/>
            </w:tcMar>
            <w:vAlign w:val="center"/>
          </w:tcPr>
          <w:p w14:paraId="0BCB58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100m</w:t>
            </w:r>
          </w:p>
        </w:tc>
        <w:tc>
          <w:tcPr>
            <w:tcW w:w="462" w:type="pct"/>
            <w:tcMar>
              <w:left w:w="28" w:type="dxa"/>
              <w:right w:w="28" w:type="dxa"/>
            </w:tcMar>
            <w:vAlign w:val="center"/>
          </w:tcPr>
          <w:p w14:paraId="1E5BF7E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200m</w:t>
            </w:r>
          </w:p>
        </w:tc>
        <w:tc>
          <w:tcPr>
            <w:tcW w:w="462" w:type="pct"/>
            <w:tcMar>
              <w:left w:w="28" w:type="dxa"/>
              <w:right w:w="28" w:type="dxa"/>
            </w:tcMar>
            <w:vAlign w:val="center"/>
          </w:tcPr>
          <w:p w14:paraId="5372A8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300m</w:t>
            </w:r>
          </w:p>
        </w:tc>
        <w:tc>
          <w:tcPr>
            <w:tcW w:w="462" w:type="pct"/>
            <w:tcMar>
              <w:left w:w="28" w:type="dxa"/>
              <w:right w:w="28" w:type="dxa"/>
            </w:tcMar>
            <w:vAlign w:val="center"/>
          </w:tcPr>
          <w:p w14:paraId="6D1802E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400m</w:t>
            </w:r>
          </w:p>
        </w:tc>
        <w:tc>
          <w:tcPr>
            <w:tcW w:w="462" w:type="pct"/>
            <w:tcMar>
              <w:left w:w="28" w:type="dxa"/>
              <w:right w:w="28" w:type="dxa"/>
            </w:tcMar>
            <w:vAlign w:val="center"/>
          </w:tcPr>
          <w:p w14:paraId="241EDE5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500m</w:t>
            </w:r>
          </w:p>
        </w:tc>
        <w:tc>
          <w:tcPr>
            <w:tcW w:w="565" w:type="pct"/>
            <w:vMerge w:val="continue"/>
            <w:tcMar>
              <w:left w:w="28" w:type="dxa"/>
              <w:right w:w="28" w:type="dxa"/>
            </w:tcMar>
            <w:vAlign w:val="center"/>
          </w:tcPr>
          <w:p w14:paraId="669D71C8">
            <w:pPr>
              <w:spacing w:line="0" w:lineRule="atLeast"/>
              <w:jc w:val="center"/>
              <w:rPr>
                <w:rFonts w:hint="eastAsia" w:hAnsi="宋体" w:cs="宋体"/>
                <w:color w:val="000000"/>
                <w:spacing w:val="-10"/>
                <w:sz w:val="21"/>
                <w:szCs w:val="21"/>
              </w:rPr>
            </w:pPr>
          </w:p>
        </w:tc>
      </w:tr>
      <w:tr w14:paraId="3AF0EE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tcMar>
              <w:left w:w="28" w:type="dxa"/>
              <w:right w:w="28" w:type="dxa"/>
            </w:tcMar>
            <w:vAlign w:val="center"/>
          </w:tcPr>
          <w:p w14:paraId="7ECEF37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824" w:type="pct"/>
            <w:tcMar>
              <w:left w:w="28" w:type="dxa"/>
              <w:right w:w="28" w:type="dxa"/>
            </w:tcMar>
            <w:vAlign w:val="center"/>
          </w:tcPr>
          <w:p w14:paraId="7146D2B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挖掘机</w:t>
            </w:r>
          </w:p>
        </w:tc>
        <w:tc>
          <w:tcPr>
            <w:tcW w:w="463" w:type="pct"/>
            <w:tcMar>
              <w:left w:w="28" w:type="dxa"/>
              <w:right w:w="28" w:type="dxa"/>
            </w:tcMar>
            <w:vAlign w:val="center"/>
          </w:tcPr>
          <w:p w14:paraId="46EFFD9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70.0</w:t>
            </w:r>
          </w:p>
        </w:tc>
        <w:tc>
          <w:tcPr>
            <w:tcW w:w="463" w:type="pct"/>
            <w:tcMar>
              <w:left w:w="28" w:type="dxa"/>
              <w:right w:w="28" w:type="dxa"/>
            </w:tcMar>
            <w:vAlign w:val="center"/>
          </w:tcPr>
          <w:p w14:paraId="005D2DF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66.4</w:t>
            </w:r>
          </w:p>
        </w:tc>
        <w:tc>
          <w:tcPr>
            <w:tcW w:w="462" w:type="pct"/>
            <w:tcMar>
              <w:top w:w="0" w:type="dxa"/>
              <w:left w:w="28" w:type="dxa"/>
              <w:bottom w:w="0" w:type="dxa"/>
              <w:right w:w="28" w:type="dxa"/>
            </w:tcMar>
            <w:vAlign w:val="center"/>
          </w:tcPr>
          <w:p w14:paraId="02D5D341">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62.0</w:t>
            </w:r>
          </w:p>
        </w:tc>
        <w:tc>
          <w:tcPr>
            <w:tcW w:w="462" w:type="pct"/>
            <w:tcMar>
              <w:left w:w="28" w:type="dxa"/>
              <w:right w:w="28" w:type="dxa"/>
            </w:tcMar>
            <w:vAlign w:val="center"/>
          </w:tcPr>
          <w:p w14:paraId="4AF0705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56.0</w:t>
            </w:r>
          </w:p>
        </w:tc>
        <w:tc>
          <w:tcPr>
            <w:tcW w:w="462" w:type="pct"/>
            <w:tcMar>
              <w:left w:w="28" w:type="dxa"/>
              <w:right w:w="28" w:type="dxa"/>
            </w:tcMar>
            <w:vAlign w:val="center"/>
          </w:tcPr>
          <w:p w14:paraId="6F67F5B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52.5</w:t>
            </w:r>
          </w:p>
        </w:tc>
        <w:tc>
          <w:tcPr>
            <w:tcW w:w="462" w:type="pct"/>
            <w:tcMar>
              <w:left w:w="28" w:type="dxa"/>
              <w:right w:w="28" w:type="dxa"/>
            </w:tcMar>
            <w:vAlign w:val="center"/>
          </w:tcPr>
          <w:p w14:paraId="061A49F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50.0</w:t>
            </w:r>
          </w:p>
        </w:tc>
        <w:tc>
          <w:tcPr>
            <w:tcW w:w="462" w:type="pct"/>
            <w:tcMar>
              <w:left w:w="28" w:type="dxa"/>
              <w:right w:w="28" w:type="dxa"/>
            </w:tcMar>
            <w:vAlign w:val="center"/>
          </w:tcPr>
          <w:p w14:paraId="782D447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48.0</w:t>
            </w:r>
          </w:p>
        </w:tc>
        <w:tc>
          <w:tcPr>
            <w:tcW w:w="565" w:type="pct"/>
            <w:vMerge w:val="restart"/>
            <w:tcMar>
              <w:left w:w="28" w:type="dxa"/>
              <w:right w:w="28" w:type="dxa"/>
            </w:tcMar>
            <w:vAlign w:val="center"/>
          </w:tcPr>
          <w:p w14:paraId="0D9A43A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土石方</w:t>
            </w:r>
          </w:p>
        </w:tc>
      </w:tr>
      <w:tr w14:paraId="7D43BD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tcMar>
              <w:left w:w="28" w:type="dxa"/>
              <w:right w:w="28" w:type="dxa"/>
            </w:tcMar>
            <w:vAlign w:val="center"/>
          </w:tcPr>
          <w:p w14:paraId="344D9B2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824" w:type="pct"/>
            <w:tcMar>
              <w:left w:w="28" w:type="dxa"/>
              <w:right w:w="28" w:type="dxa"/>
            </w:tcMar>
            <w:vAlign w:val="center"/>
          </w:tcPr>
          <w:p w14:paraId="29FE8B9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推土机</w:t>
            </w:r>
          </w:p>
        </w:tc>
        <w:tc>
          <w:tcPr>
            <w:tcW w:w="463" w:type="pct"/>
            <w:tcMar>
              <w:left w:w="28" w:type="dxa"/>
              <w:right w:w="28" w:type="dxa"/>
            </w:tcMar>
            <w:vAlign w:val="center"/>
          </w:tcPr>
          <w:p w14:paraId="34D55A77">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72.0</w:t>
            </w:r>
          </w:p>
        </w:tc>
        <w:tc>
          <w:tcPr>
            <w:tcW w:w="463" w:type="pct"/>
            <w:tcMar>
              <w:left w:w="28" w:type="dxa"/>
              <w:right w:w="28" w:type="dxa"/>
            </w:tcMar>
            <w:vAlign w:val="center"/>
          </w:tcPr>
          <w:p w14:paraId="6D18474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68.4</w:t>
            </w:r>
          </w:p>
        </w:tc>
        <w:tc>
          <w:tcPr>
            <w:tcW w:w="462" w:type="pct"/>
            <w:tcMar>
              <w:top w:w="0" w:type="dxa"/>
              <w:left w:w="28" w:type="dxa"/>
              <w:bottom w:w="0" w:type="dxa"/>
              <w:right w:w="28" w:type="dxa"/>
            </w:tcMar>
            <w:vAlign w:val="center"/>
          </w:tcPr>
          <w:p w14:paraId="4C454995">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64.0</w:t>
            </w:r>
          </w:p>
        </w:tc>
        <w:tc>
          <w:tcPr>
            <w:tcW w:w="462" w:type="pct"/>
            <w:tcMar>
              <w:left w:w="28" w:type="dxa"/>
              <w:right w:w="28" w:type="dxa"/>
            </w:tcMar>
            <w:vAlign w:val="center"/>
          </w:tcPr>
          <w:p w14:paraId="01ADE16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58.0</w:t>
            </w:r>
          </w:p>
        </w:tc>
        <w:tc>
          <w:tcPr>
            <w:tcW w:w="462" w:type="pct"/>
            <w:tcMar>
              <w:left w:w="28" w:type="dxa"/>
              <w:right w:w="28" w:type="dxa"/>
            </w:tcMar>
            <w:vAlign w:val="center"/>
          </w:tcPr>
          <w:p w14:paraId="1381CC73">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54.5</w:t>
            </w:r>
          </w:p>
        </w:tc>
        <w:tc>
          <w:tcPr>
            <w:tcW w:w="462" w:type="pct"/>
            <w:tcMar>
              <w:left w:w="28" w:type="dxa"/>
              <w:right w:w="28" w:type="dxa"/>
            </w:tcMar>
            <w:vAlign w:val="center"/>
          </w:tcPr>
          <w:p w14:paraId="72EFA4E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52.0</w:t>
            </w:r>
          </w:p>
        </w:tc>
        <w:tc>
          <w:tcPr>
            <w:tcW w:w="462" w:type="pct"/>
            <w:tcMar>
              <w:left w:w="28" w:type="dxa"/>
              <w:right w:w="28" w:type="dxa"/>
            </w:tcMar>
            <w:vAlign w:val="center"/>
          </w:tcPr>
          <w:p w14:paraId="43DE062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50.0</w:t>
            </w:r>
          </w:p>
        </w:tc>
        <w:tc>
          <w:tcPr>
            <w:tcW w:w="565" w:type="pct"/>
            <w:vMerge w:val="continue"/>
            <w:tcMar>
              <w:left w:w="28" w:type="dxa"/>
              <w:right w:w="28" w:type="dxa"/>
            </w:tcMar>
            <w:vAlign w:val="center"/>
          </w:tcPr>
          <w:p w14:paraId="59E15F5A">
            <w:pPr>
              <w:spacing w:line="0" w:lineRule="atLeast"/>
              <w:jc w:val="center"/>
              <w:rPr>
                <w:rFonts w:hint="eastAsia" w:hAnsi="宋体" w:cs="宋体"/>
                <w:color w:val="000000"/>
                <w:spacing w:val="-10"/>
                <w:sz w:val="21"/>
                <w:szCs w:val="21"/>
              </w:rPr>
            </w:pPr>
          </w:p>
        </w:tc>
      </w:tr>
      <w:tr w14:paraId="52BBA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tcMar>
              <w:left w:w="28" w:type="dxa"/>
              <w:right w:w="28" w:type="dxa"/>
            </w:tcMar>
            <w:vAlign w:val="center"/>
          </w:tcPr>
          <w:p w14:paraId="5317F50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824" w:type="pct"/>
            <w:tcMar>
              <w:left w:w="28" w:type="dxa"/>
              <w:right w:w="28" w:type="dxa"/>
            </w:tcMar>
            <w:vAlign w:val="center"/>
          </w:tcPr>
          <w:p w14:paraId="5986CCC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运输车辆</w:t>
            </w:r>
          </w:p>
        </w:tc>
        <w:tc>
          <w:tcPr>
            <w:tcW w:w="463" w:type="pct"/>
            <w:tcMar>
              <w:left w:w="28" w:type="dxa"/>
              <w:right w:w="28" w:type="dxa"/>
            </w:tcMar>
            <w:vAlign w:val="center"/>
          </w:tcPr>
          <w:p w14:paraId="4973C83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72.0</w:t>
            </w:r>
          </w:p>
        </w:tc>
        <w:tc>
          <w:tcPr>
            <w:tcW w:w="463" w:type="pct"/>
            <w:tcMar>
              <w:left w:w="28" w:type="dxa"/>
              <w:right w:w="28" w:type="dxa"/>
            </w:tcMar>
            <w:vAlign w:val="center"/>
          </w:tcPr>
          <w:p w14:paraId="79C94D0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68.4</w:t>
            </w:r>
          </w:p>
        </w:tc>
        <w:tc>
          <w:tcPr>
            <w:tcW w:w="462" w:type="pct"/>
            <w:tcMar>
              <w:top w:w="0" w:type="dxa"/>
              <w:left w:w="28" w:type="dxa"/>
              <w:bottom w:w="0" w:type="dxa"/>
              <w:right w:w="28" w:type="dxa"/>
            </w:tcMar>
            <w:vAlign w:val="center"/>
          </w:tcPr>
          <w:p w14:paraId="08EF6FF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64.0</w:t>
            </w:r>
          </w:p>
        </w:tc>
        <w:tc>
          <w:tcPr>
            <w:tcW w:w="462" w:type="pct"/>
            <w:tcMar>
              <w:left w:w="28" w:type="dxa"/>
              <w:right w:w="28" w:type="dxa"/>
            </w:tcMar>
            <w:vAlign w:val="center"/>
          </w:tcPr>
          <w:p w14:paraId="643C0BB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58.0</w:t>
            </w:r>
          </w:p>
        </w:tc>
        <w:tc>
          <w:tcPr>
            <w:tcW w:w="462" w:type="pct"/>
            <w:tcMar>
              <w:left w:w="28" w:type="dxa"/>
              <w:right w:w="28" w:type="dxa"/>
            </w:tcMar>
            <w:vAlign w:val="center"/>
          </w:tcPr>
          <w:p w14:paraId="15FC9C6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54.5</w:t>
            </w:r>
          </w:p>
        </w:tc>
        <w:tc>
          <w:tcPr>
            <w:tcW w:w="462" w:type="pct"/>
            <w:tcMar>
              <w:left w:w="28" w:type="dxa"/>
              <w:right w:w="28" w:type="dxa"/>
            </w:tcMar>
            <w:vAlign w:val="center"/>
          </w:tcPr>
          <w:p w14:paraId="3DF1B09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52.0</w:t>
            </w:r>
          </w:p>
        </w:tc>
        <w:tc>
          <w:tcPr>
            <w:tcW w:w="462" w:type="pct"/>
            <w:tcMar>
              <w:left w:w="28" w:type="dxa"/>
              <w:right w:w="28" w:type="dxa"/>
            </w:tcMar>
            <w:vAlign w:val="center"/>
          </w:tcPr>
          <w:p w14:paraId="24A549B2">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50.0</w:t>
            </w:r>
          </w:p>
        </w:tc>
        <w:tc>
          <w:tcPr>
            <w:tcW w:w="565" w:type="pct"/>
            <w:tcMar>
              <w:left w:w="28" w:type="dxa"/>
              <w:right w:w="28" w:type="dxa"/>
            </w:tcMar>
            <w:vAlign w:val="center"/>
          </w:tcPr>
          <w:p w14:paraId="68A85E0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物料运输</w:t>
            </w:r>
          </w:p>
        </w:tc>
      </w:tr>
      <w:tr w14:paraId="105E0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tcMar>
              <w:left w:w="28" w:type="dxa"/>
              <w:right w:w="28" w:type="dxa"/>
            </w:tcMar>
            <w:vAlign w:val="center"/>
          </w:tcPr>
          <w:p w14:paraId="2237495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824" w:type="pct"/>
            <w:tcMar>
              <w:left w:w="28" w:type="dxa"/>
              <w:right w:w="28" w:type="dxa"/>
            </w:tcMar>
            <w:vAlign w:val="center"/>
          </w:tcPr>
          <w:p w14:paraId="351CE6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吊装机</w:t>
            </w:r>
          </w:p>
        </w:tc>
        <w:tc>
          <w:tcPr>
            <w:tcW w:w="463" w:type="pct"/>
            <w:tcMar>
              <w:left w:w="28" w:type="dxa"/>
              <w:right w:w="28" w:type="dxa"/>
            </w:tcMar>
            <w:vAlign w:val="center"/>
          </w:tcPr>
          <w:p w14:paraId="26BCEC7B">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66.0</w:t>
            </w:r>
          </w:p>
        </w:tc>
        <w:tc>
          <w:tcPr>
            <w:tcW w:w="463" w:type="pct"/>
            <w:tcMar>
              <w:left w:w="28" w:type="dxa"/>
              <w:right w:w="28" w:type="dxa"/>
            </w:tcMar>
            <w:vAlign w:val="center"/>
          </w:tcPr>
          <w:p w14:paraId="4CEF2FB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62.4</w:t>
            </w:r>
          </w:p>
        </w:tc>
        <w:tc>
          <w:tcPr>
            <w:tcW w:w="462" w:type="pct"/>
            <w:tcMar>
              <w:left w:w="28" w:type="dxa"/>
              <w:right w:w="28" w:type="dxa"/>
            </w:tcMar>
            <w:vAlign w:val="center"/>
          </w:tcPr>
          <w:p w14:paraId="2F1B5B7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58.0</w:t>
            </w:r>
          </w:p>
        </w:tc>
        <w:tc>
          <w:tcPr>
            <w:tcW w:w="462" w:type="pct"/>
            <w:tcMar>
              <w:left w:w="28" w:type="dxa"/>
              <w:right w:w="28" w:type="dxa"/>
            </w:tcMar>
            <w:vAlign w:val="center"/>
          </w:tcPr>
          <w:p w14:paraId="7DA0159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52.0</w:t>
            </w:r>
          </w:p>
        </w:tc>
        <w:tc>
          <w:tcPr>
            <w:tcW w:w="462" w:type="pct"/>
            <w:tcMar>
              <w:left w:w="28" w:type="dxa"/>
              <w:right w:w="28" w:type="dxa"/>
            </w:tcMar>
            <w:vAlign w:val="center"/>
          </w:tcPr>
          <w:p w14:paraId="16929DE3">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48.5</w:t>
            </w:r>
          </w:p>
        </w:tc>
        <w:tc>
          <w:tcPr>
            <w:tcW w:w="462" w:type="pct"/>
            <w:tcMar>
              <w:left w:w="28" w:type="dxa"/>
              <w:right w:w="28" w:type="dxa"/>
            </w:tcMar>
            <w:vAlign w:val="center"/>
          </w:tcPr>
          <w:p w14:paraId="6B38BBE4">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46.0</w:t>
            </w:r>
          </w:p>
        </w:tc>
        <w:tc>
          <w:tcPr>
            <w:tcW w:w="462" w:type="pct"/>
            <w:tcMar>
              <w:left w:w="28" w:type="dxa"/>
              <w:right w:w="28" w:type="dxa"/>
            </w:tcMar>
            <w:vAlign w:val="center"/>
          </w:tcPr>
          <w:p w14:paraId="72D77216">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44.0</w:t>
            </w:r>
          </w:p>
        </w:tc>
        <w:tc>
          <w:tcPr>
            <w:tcW w:w="565" w:type="pct"/>
            <w:vMerge w:val="restart"/>
            <w:tcMar>
              <w:left w:w="28" w:type="dxa"/>
              <w:right w:w="28" w:type="dxa"/>
            </w:tcMar>
            <w:vAlign w:val="center"/>
          </w:tcPr>
          <w:p w14:paraId="3A60629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安装</w:t>
            </w:r>
          </w:p>
        </w:tc>
      </w:tr>
      <w:tr w14:paraId="5042CA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2" w:type="pct"/>
            <w:tcMar>
              <w:left w:w="28" w:type="dxa"/>
              <w:right w:w="28" w:type="dxa"/>
            </w:tcMar>
            <w:vAlign w:val="center"/>
          </w:tcPr>
          <w:p w14:paraId="6A6452E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824" w:type="pct"/>
            <w:tcMar>
              <w:left w:w="28" w:type="dxa"/>
              <w:right w:w="28" w:type="dxa"/>
            </w:tcMar>
            <w:vAlign w:val="center"/>
          </w:tcPr>
          <w:p w14:paraId="4AA488E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焊接机器</w:t>
            </w:r>
          </w:p>
        </w:tc>
        <w:tc>
          <w:tcPr>
            <w:tcW w:w="463" w:type="pct"/>
            <w:tcMar>
              <w:left w:w="28" w:type="dxa"/>
              <w:right w:w="28" w:type="dxa"/>
            </w:tcMar>
            <w:vAlign w:val="center"/>
          </w:tcPr>
          <w:p w14:paraId="5C7D13DA">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66.0</w:t>
            </w:r>
          </w:p>
        </w:tc>
        <w:tc>
          <w:tcPr>
            <w:tcW w:w="463" w:type="pct"/>
            <w:tcMar>
              <w:left w:w="28" w:type="dxa"/>
              <w:right w:w="28" w:type="dxa"/>
            </w:tcMar>
            <w:vAlign w:val="center"/>
          </w:tcPr>
          <w:p w14:paraId="5890407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62.4</w:t>
            </w:r>
          </w:p>
        </w:tc>
        <w:tc>
          <w:tcPr>
            <w:tcW w:w="462" w:type="pct"/>
            <w:tcMar>
              <w:left w:w="28" w:type="dxa"/>
              <w:right w:w="28" w:type="dxa"/>
            </w:tcMar>
            <w:vAlign w:val="center"/>
          </w:tcPr>
          <w:p w14:paraId="4B1B5CFC">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58.0</w:t>
            </w:r>
          </w:p>
        </w:tc>
        <w:tc>
          <w:tcPr>
            <w:tcW w:w="462" w:type="pct"/>
            <w:tcMar>
              <w:left w:w="28" w:type="dxa"/>
              <w:right w:w="28" w:type="dxa"/>
            </w:tcMar>
            <w:vAlign w:val="center"/>
          </w:tcPr>
          <w:p w14:paraId="0C6FBD9D">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52.0</w:t>
            </w:r>
          </w:p>
        </w:tc>
        <w:tc>
          <w:tcPr>
            <w:tcW w:w="462" w:type="pct"/>
            <w:tcMar>
              <w:left w:w="28" w:type="dxa"/>
              <w:right w:w="28" w:type="dxa"/>
            </w:tcMar>
            <w:vAlign w:val="center"/>
          </w:tcPr>
          <w:p w14:paraId="11765829">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48.5</w:t>
            </w:r>
          </w:p>
        </w:tc>
        <w:tc>
          <w:tcPr>
            <w:tcW w:w="462" w:type="pct"/>
            <w:tcMar>
              <w:left w:w="28" w:type="dxa"/>
              <w:right w:w="28" w:type="dxa"/>
            </w:tcMar>
            <w:vAlign w:val="center"/>
          </w:tcPr>
          <w:p w14:paraId="7664CF00">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46.0</w:t>
            </w:r>
          </w:p>
        </w:tc>
        <w:tc>
          <w:tcPr>
            <w:tcW w:w="462" w:type="pct"/>
            <w:tcMar>
              <w:left w:w="28" w:type="dxa"/>
              <w:right w:w="28" w:type="dxa"/>
            </w:tcMar>
            <w:vAlign w:val="center"/>
          </w:tcPr>
          <w:p w14:paraId="3D15780E">
            <w:pPr>
              <w:spacing w:line="0" w:lineRule="atLeast"/>
              <w:jc w:val="center"/>
              <w:textAlignment w:val="center"/>
              <w:rPr>
                <w:rFonts w:hint="eastAsia" w:hAnsi="宋体" w:cs="宋体"/>
                <w:color w:val="000000"/>
                <w:spacing w:val="-10"/>
                <w:sz w:val="21"/>
                <w:szCs w:val="21"/>
              </w:rPr>
            </w:pPr>
            <w:r>
              <w:rPr>
                <w:rFonts w:hint="eastAsia" w:hAnsi="宋体" w:cs="宋体"/>
                <w:color w:val="000000"/>
                <w:spacing w:val="-10"/>
                <w:sz w:val="21"/>
                <w:szCs w:val="21"/>
              </w:rPr>
              <w:t>44.0</w:t>
            </w:r>
          </w:p>
        </w:tc>
        <w:tc>
          <w:tcPr>
            <w:tcW w:w="565" w:type="pct"/>
            <w:vMerge w:val="continue"/>
            <w:tcMar>
              <w:left w:w="28" w:type="dxa"/>
              <w:right w:w="28" w:type="dxa"/>
            </w:tcMar>
            <w:vAlign w:val="center"/>
          </w:tcPr>
          <w:p w14:paraId="7681B4E3">
            <w:pPr>
              <w:spacing w:line="0" w:lineRule="atLeast"/>
              <w:jc w:val="center"/>
              <w:rPr>
                <w:rFonts w:hint="eastAsia" w:hAnsi="宋体" w:cs="宋体"/>
                <w:color w:val="000000"/>
                <w:spacing w:val="-10"/>
                <w:sz w:val="21"/>
                <w:szCs w:val="21"/>
              </w:rPr>
            </w:pPr>
          </w:p>
        </w:tc>
      </w:tr>
    </w:tbl>
    <w:p w14:paraId="27BB114A">
      <w:pPr>
        <w:spacing w:before="240" w:line="480" w:lineRule="exact"/>
        <w:ind w:firstLine="526" w:firstLineChars="200"/>
        <w:rPr>
          <w:rFonts w:hAnsi="宋体" w:cs="宋体"/>
          <w:color w:val="000000"/>
          <w:szCs w:val="24"/>
        </w:rPr>
      </w:pPr>
      <w:r>
        <w:rPr>
          <w:rFonts w:hint="eastAsia" w:hAnsi="宋体" w:cs="宋体"/>
          <w:color w:val="000000"/>
          <w:szCs w:val="24"/>
        </w:rPr>
        <w:t>③影响分析</w:t>
      </w:r>
    </w:p>
    <w:p w14:paraId="559744AD">
      <w:pPr>
        <w:tabs>
          <w:tab w:val="left" w:pos="1134"/>
        </w:tabs>
        <w:spacing w:line="480" w:lineRule="exact"/>
        <w:ind w:firstLine="526" w:firstLineChars="200"/>
        <w:rPr>
          <w:rFonts w:hint="eastAsia"/>
          <w:color w:val="000000"/>
          <w:szCs w:val="24"/>
        </w:rPr>
      </w:pPr>
      <w:r>
        <w:rPr>
          <w:rFonts w:hint="eastAsia"/>
          <w:color w:val="000000"/>
          <w:szCs w:val="24"/>
        </w:rPr>
        <w:t>根据表</w:t>
      </w:r>
      <w:r>
        <w:rPr>
          <w:color w:val="000000"/>
          <w:szCs w:val="24"/>
        </w:rPr>
        <w:t>5.</w:t>
      </w:r>
      <w:r>
        <w:rPr>
          <w:rFonts w:hint="eastAsia"/>
          <w:color w:val="000000"/>
          <w:szCs w:val="24"/>
        </w:rPr>
        <w:t>6</w:t>
      </w:r>
      <w:r>
        <w:rPr>
          <w:color w:val="000000"/>
          <w:szCs w:val="24"/>
          <w:lang w:val="zh-CN"/>
        </w:rPr>
        <w:t>-</w:t>
      </w:r>
      <w:r>
        <w:rPr>
          <w:rFonts w:hint="eastAsia"/>
          <w:color w:val="000000"/>
          <w:szCs w:val="24"/>
          <w:lang w:val="zh-CN"/>
        </w:rPr>
        <w:t>2</w:t>
      </w:r>
      <w:r>
        <w:rPr>
          <w:rFonts w:hint="eastAsia"/>
          <w:color w:val="000000"/>
          <w:szCs w:val="24"/>
        </w:rPr>
        <w:t>可知，</w:t>
      </w:r>
      <w:r>
        <w:rPr>
          <w:bCs/>
          <w:color w:val="000000"/>
          <w:szCs w:val="24"/>
        </w:rPr>
        <w:t>各种施工机械噪声预测结果可以看出</w:t>
      </w:r>
      <w:r>
        <w:rPr>
          <w:rFonts w:hint="eastAsia"/>
          <w:bCs/>
          <w:color w:val="000000"/>
          <w:szCs w:val="24"/>
        </w:rPr>
        <w:t>，</w:t>
      </w:r>
      <w:r>
        <w:rPr>
          <w:bCs/>
          <w:color w:val="000000"/>
          <w:szCs w:val="24"/>
        </w:rPr>
        <w:t>昼间距施工设备</w:t>
      </w:r>
      <w:r>
        <w:rPr>
          <w:rFonts w:hint="eastAsia"/>
          <w:bCs/>
          <w:color w:val="000000"/>
          <w:szCs w:val="24"/>
        </w:rPr>
        <w:t>60</w:t>
      </w:r>
      <w:r>
        <w:rPr>
          <w:bCs/>
          <w:color w:val="000000"/>
          <w:szCs w:val="24"/>
        </w:rPr>
        <w:t>m</w:t>
      </w:r>
      <w:r>
        <w:rPr>
          <w:rFonts w:hint="eastAsia"/>
          <w:bCs/>
          <w:color w:val="000000"/>
          <w:szCs w:val="24"/>
        </w:rPr>
        <w:t>，</w:t>
      </w:r>
      <w:r>
        <w:rPr>
          <w:bCs/>
          <w:color w:val="000000"/>
          <w:szCs w:val="24"/>
        </w:rPr>
        <w:t>夜间</w:t>
      </w:r>
      <w:r>
        <w:rPr>
          <w:rFonts w:hint="eastAsia"/>
          <w:bCs/>
          <w:color w:val="000000"/>
          <w:szCs w:val="24"/>
        </w:rPr>
        <w:t>3</w:t>
      </w:r>
      <w:r>
        <w:rPr>
          <w:bCs/>
          <w:color w:val="000000"/>
          <w:szCs w:val="24"/>
        </w:rPr>
        <w:t>00m即可满足《</w:t>
      </w:r>
      <w:r>
        <w:rPr>
          <w:rFonts w:hint="eastAsia"/>
          <w:bCs/>
          <w:color w:val="000000"/>
          <w:szCs w:val="24"/>
        </w:rPr>
        <w:t>建筑施工噪声排放标准</w:t>
      </w:r>
      <w:r>
        <w:rPr>
          <w:bCs/>
          <w:color w:val="000000"/>
          <w:szCs w:val="24"/>
        </w:rPr>
        <w:t>》</w:t>
      </w:r>
      <w:r>
        <w:rPr>
          <w:rFonts w:hint="eastAsia"/>
          <w:bCs/>
          <w:color w:val="000000"/>
          <w:szCs w:val="24"/>
        </w:rPr>
        <w:t>（GB12523-2025）</w:t>
      </w:r>
      <w:r>
        <w:rPr>
          <w:bCs/>
          <w:color w:val="000000"/>
          <w:szCs w:val="24"/>
        </w:rPr>
        <w:t>场界噪声</w:t>
      </w:r>
      <w:r>
        <w:rPr>
          <w:rFonts w:hint="eastAsia"/>
          <w:color w:val="000000"/>
          <w:szCs w:val="24"/>
          <w:lang w:bidi="ar"/>
        </w:rPr>
        <w:t>限值要求。</w:t>
      </w:r>
      <w:r>
        <w:rPr>
          <w:rFonts w:hint="eastAsia"/>
          <w:color w:val="000000"/>
          <w:szCs w:val="24"/>
        </w:rPr>
        <w:t>施工</w:t>
      </w:r>
      <w:r>
        <w:rPr>
          <w:color w:val="000000"/>
          <w:szCs w:val="24"/>
        </w:rPr>
        <w:t>场地</w:t>
      </w:r>
      <w:r>
        <w:rPr>
          <w:rFonts w:hint="eastAsia"/>
          <w:color w:val="000000"/>
          <w:szCs w:val="24"/>
        </w:rPr>
        <w:t>周边300m范围内无</w:t>
      </w:r>
      <w:r>
        <w:rPr>
          <w:color w:val="000000"/>
          <w:szCs w:val="24"/>
        </w:rPr>
        <w:t>声环境</w:t>
      </w:r>
      <w:r>
        <w:rPr>
          <w:rFonts w:hint="eastAsia"/>
          <w:color w:val="000000"/>
          <w:szCs w:val="24"/>
        </w:rPr>
        <w:t>敏感</w:t>
      </w:r>
      <w:r>
        <w:rPr>
          <w:color w:val="000000"/>
          <w:szCs w:val="24"/>
        </w:rPr>
        <w:t>目标</w:t>
      </w:r>
      <w:r>
        <w:rPr>
          <w:rFonts w:hint="eastAsia"/>
          <w:color w:val="000000"/>
          <w:szCs w:val="24"/>
        </w:rPr>
        <w:t>，施工期从声环境影响角度项目可行。</w:t>
      </w:r>
    </w:p>
    <w:p w14:paraId="64974B93">
      <w:pPr>
        <w:tabs>
          <w:tab w:val="left" w:pos="1134"/>
        </w:tabs>
        <w:spacing w:line="480" w:lineRule="exact"/>
        <w:outlineLvl w:val="2"/>
        <w:rPr>
          <w:rFonts w:hint="eastAsia" w:hAnsi="宋体" w:cs="宋体"/>
          <w:color w:val="000000"/>
          <w:szCs w:val="24"/>
        </w:rPr>
      </w:pPr>
      <w:r>
        <w:rPr>
          <w:rFonts w:hint="eastAsia" w:hAnsi="宋体" w:cs="宋体"/>
          <w:color w:val="000000"/>
          <w:szCs w:val="24"/>
        </w:rPr>
        <w:t>5.6.2运营期声环境影响评价</w:t>
      </w:r>
    </w:p>
    <w:p w14:paraId="263F0F4A">
      <w:pPr>
        <w:spacing w:line="480" w:lineRule="exact"/>
        <w:ind w:firstLine="526" w:firstLineChars="200"/>
        <w:rPr>
          <w:rFonts w:hint="eastAsia" w:hAnsi="宋体" w:cs="宋体"/>
          <w:color w:val="000000"/>
          <w:szCs w:val="24"/>
        </w:rPr>
      </w:pPr>
      <w:r>
        <w:rPr>
          <w:rFonts w:hint="eastAsia" w:hAnsi="宋体"/>
          <w:color w:val="000000"/>
          <w:szCs w:val="24"/>
        </w:rPr>
        <w:t>拟建</w:t>
      </w:r>
      <w:r>
        <w:rPr>
          <w:rFonts w:hint="eastAsia" w:hAnsi="宋体" w:cs="宋体"/>
          <w:color w:val="000000"/>
          <w:szCs w:val="24"/>
        </w:rPr>
        <w:t>工程运营期无噪声产生</w:t>
      </w:r>
      <w:r>
        <w:rPr>
          <w:rFonts w:hint="eastAsia" w:hAnsi="Times New Roman"/>
          <w:color w:val="000000"/>
          <w:szCs w:val="24"/>
          <w:lang w:bidi="ar"/>
        </w:rPr>
        <w:t>。</w:t>
      </w:r>
    </w:p>
    <w:p w14:paraId="2DDA615F">
      <w:pPr>
        <w:tabs>
          <w:tab w:val="left" w:pos="1134"/>
        </w:tabs>
        <w:spacing w:line="480" w:lineRule="exact"/>
        <w:outlineLvl w:val="2"/>
        <w:rPr>
          <w:rFonts w:hint="eastAsia" w:hAnsi="宋体" w:cs="宋体"/>
          <w:color w:val="000000"/>
          <w:szCs w:val="24"/>
        </w:rPr>
      </w:pPr>
      <w:r>
        <w:rPr>
          <w:rFonts w:hint="eastAsia" w:hAnsi="宋体" w:cs="宋体"/>
          <w:color w:val="000000"/>
          <w:szCs w:val="24"/>
        </w:rPr>
        <w:t>5.6.3退役期声环境影响分析</w:t>
      </w:r>
    </w:p>
    <w:p w14:paraId="5263C8E9">
      <w:pPr>
        <w:spacing w:line="480" w:lineRule="exact"/>
        <w:ind w:firstLine="526" w:firstLineChars="200"/>
        <w:rPr>
          <w:rFonts w:hint="eastAsia" w:hAnsi="宋体" w:cs="宋体"/>
          <w:color w:val="000000"/>
          <w:szCs w:val="24"/>
        </w:rPr>
      </w:pPr>
      <w:r>
        <w:rPr>
          <w:rFonts w:hint="eastAsia" w:hAnsi="宋体" w:cs="宋体"/>
          <w:color w:val="000000"/>
          <w:szCs w:val="24"/>
        </w:rPr>
        <w:t>拟建工程</w:t>
      </w:r>
      <w:r>
        <w:rPr>
          <w:rFonts w:hint="eastAsia"/>
          <w:color w:val="000000"/>
        </w:rPr>
        <w:t>退役期无噪声产生</w:t>
      </w:r>
      <w:r>
        <w:rPr>
          <w:rFonts w:hint="eastAsia" w:hAnsi="宋体" w:cs="宋体"/>
          <w:color w:val="000000"/>
          <w:szCs w:val="24"/>
        </w:rPr>
        <w:t>。</w:t>
      </w:r>
    </w:p>
    <w:p w14:paraId="7BE5CFC0">
      <w:pPr>
        <w:tabs>
          <w:tab w:val="left" w:pos="1134"/>
        </w:tabs>
        <w:spacing w:line="480" w:lineRule="exact"/>
        <w:outlineLvl w:val="2"/>
        <w:rPr>
          <w:rFonts w:hint="eastAsia" w:hAnsi="宋体" w:cs="宋体"/>
          <w:color w:val="000000"/>
          <w:szCs w:val="24"/>
        </w:rPr>
      </w:pPr>
      <w:r>
        <w:rPr>
          <w:rFonts w:hint="eastAsia" w:hAnsi="宋体" w:cs="宋体"/>
          <w:color w:val="000000"/>
          <w:szCs w:val="24"/>
        </w:rPr>
        <w:t>5.6.4声环境影响评价结论</w:t>
      </w:r>
    </w:p>
    <w:p w14:paraId="7100C68F">
      <w:pPr>
        <w:spacing w:line="480" w:lineRule="exact"/>
        <w:ind w:firstLine="526" w:firstLineChars="200"/>
        <w:rPr>
          <w:rFonts w:hint="eastAsia" w:hAnsi="宋体" w:cs="宋体"/>
          <w:color w:val="000000"/>
          <w:kern w:val="0"/>
          <w:szCs w:val="24"/>
          <w:lang w:bidi="ar"/>
        </w:rPr>
      </w:pPr>
      <w:r>
        <w:rPr>
          <w:rFonts w:hAnsi="宋体"/>
          <w:color w:val="000000"/>
          <w:szCs w:val="24"/>
        </w:rPr>
        <w:t>施工期噪声源均为暂时性的，待施工结束后噪声影响也随之消失，并且项目评价范围内无声环境敏感目标，不会产生噪声扰民问题。运营期</w:t>
      </w:r>
      <w:r>
        <w:rPr>
          <w:rFonts w:hint="eastAsia" w:hAnsi="宋体"/>
          <w:color w:val="000000"/>
          <w:szCs w:val="24"/>
        </w:rPr>
        <w:t>及退役期无噪声产生</w:t>
      </w:r>
      <w:r>
        <w:rPr>
          <w:rFonts w:hint="eastAsia" w:hAnsi="宋体" w:cs="宋体"/>
          <w:color w:val="000000"/>
          <w:szCs w:val="24"/>
        </w:rPr>
        <w:t>。</w:t>
      </w:r>
    </w:p>
    <w:p w14:paraId="1E2183DD">
      <w:pPr>
        <w:spacing w:line="480" w:lineRule="exact"/>
        <w:ind w:firstLine="526" w:firstLineChars="200"/>
        <w:rPr>
          <w:rFonts w:hAnsi="宋体"/>
          <w:color w:val="000000"/>
          <w:szCs w:val="24"/>
        </w:rPr>
      </w:pPr>
      <w:r>
        <w:rPr>
          <w:rFonts w:hint="eastAsia" w:hAnsi="宋体"/>
          <w:color w:val="000000"/>
          <w:szCs w:val="24"/>
        </w:rPr>
        <w:t>综上，拟建工程实施后从声环境影响角度，项目可行。</w:t>
      </w:r>
    </w:p>
    <w:p w14:paraId="0B5F22AD">
      <w:pPr>
        <w:spacing w:line="490" w:lineRule="exact"/>
        <w:outlineLvl w:val="1"/>
        <w:rPr>
          <w:rFonts w:hint="eastAsia" w:ascii="黑体" w:hAnsi="黑体" w:eastAsia="黑体" w:cs="黑体"/>
          <w:color w:val="000000"/>
          <w:sz w:val="28"/>
          <w:szCs w:val="28"/>
          <w:lang w:bidi="ar"/>
        </w:rPr>
      </w:pPr>
      <w:bookmarkStart w:id="230" w:name="_Toc198040341"/>
      <w:bookmarkStart w:id="231" w:name="_Toc198040197"/>
      <w:bookmarkStart w:id="232" w:name="_Toc208474689"/>
      <w:bookmarkStart w:id="233" w:name="_Toc230178805"/>
      <w:r>
        <w:rPr>
          <w:rFonts w:hint="eastAsia" w:ascii="黑体" w:hAnsi="黑体" w:eastAsia="黑体" w:cs="黑体"/>
          <w:color w:val="000000"/>
          <w:sz w:val="28"/>
          <w:szCs w:val="28"/>
          <w:lang w:bidi="ar"/>
        </w:rPr>
        <w:t>5.7固体废物影响分析</w:t>
      </w:r>
      <w:bookmarkEnd w:id="230"/>
      <w:bookmarkEnd w:id="231"/>
      <w:bookmarkEnd w:id="232"/>
      <w:bookmarkEnd w:id="233"/>
    </w:p>
    <w:p w14:paraId="11041D90">
      <w:pPr>
        <w:tabs>
          <w:tab w:val="left" w:pos="1134"/>
        </w:tabs>
        <w:spacing w:line="490" w:lineRule="exact"/>
        <w:outlineLvl w:val="2"/>
        <w:rPr>
          <w:rFonts w:hint="eastAsia" w:hAnsi="宋体" w:cs="宋体"/>
          <w:color w:val="000000"/>
          <w:szCs w:val="24"/>
        </w:rPr>
      </w:pPr>
      <w:r>
        <w:rPr>
          <w:rFonts w:hint="eastAsia" w:hAnsi="宋体" w:cs="宋体"/>
          <w:color w:val="000000"/>
          <w:szCs w:val="24"/>
        </w:rPr>
        <w:t>5.7.1施工期固体废物影响分析</w:t>
      </w:r>
    </w:p>
    <w:p w14:paraId="37E5E27C">
      <w:pPr>
        <w:spacing w:line="490" w:lineRule="exact"/>
        <w:ind w:firstLine="526" w:firstLineChars="200"/>
        <w:rPr>
          <w:rFonts w:hint="eastAsia" w:hAnsi="宋体" w:cs="宋体"/>
          <w:color w:val="000000"/>
          <w:szCs w:val="24"/>
        </w:rPr>
      </w:pPr>
      <w:r>
        <w:rPr>
          <w:rFonts w:hint="eastAsia" w:hAnsi="宋体" w:cs="宋体"/>
          <w:color w:val="000000"/>
          <w:szCs w:val="24"/>
        </w:rPr>
        <w:t>拟建工程</w:t>
      </w:r>
      <w:r>
        <w:rPr>
          <w:rFonts w:hint="eastAsia"/>
          <w:color w:val="000000"/>
          <w:szCs w:val="24"/>
        </w:rPr>
        <w:t>施工期产生的固体废物主要为施工过程中产生的施工土方、</w:t>
      </w:r>
      <w:r>
        <w:rPr>
          <w:rFonts w:hint="eastAsia" w:hAnsi="宋体"/>
          <w:color w:val="000000"/>
          <w:sz w:val="25"/>
        </w:rPr>
        <w:t>管道焊接及吹扫废渣、清管废渣、废防渗膜、</w:t>
      </w:r>
      <w:r>
        <w:rPr>
          <w:rFonts w:hint="eastAsia"/>
          <w:color w:val="000000"/>
          <w:szCs w:val="24"/>
        </w:rPr>
        <w:t>施工人员生活垃圾等</w:t>
      </w:r>
      <w:r>
        <w:rPr>
          <w:rFonts w:hint="eastAsia" w:hAnsi="宋体" w:cs="宋体"/>
          <w:color w:val="000000"/>
          <w:szCs w:val="24"/>
        </w:rPr>
        <w:t xml:space="preserve">。 </w:t>
      </w:r>
    </w:p>
    <w:p w14:paraId="79F3B36B">
      <w:pPr>
        <w:spacing w:line="490" w:lineRule="exact"/>
        <w:ind w:firstLine="526" w:firstLineChars="200"/>
        <w:rPr>
          <w:rFonts w:hint="eastAsia" w:hAnsi="宋体" w:cs="宋体"/>
          <w:color w:val="000000"/>
          <w:szCs w:val="24"/>
          <w:lang w:bidi="ar"/>
        </w:rPr>
      </w:pPr>
      <w:r>
        <w:rPr>
          <w:rFonts w:hint="eastAsia" w:hAnsi="宋体" w:cs="宋体"/>
          <w:color w:val="000000"/>
          <w:szCs w:val="24"/>
          <w:lang w:bidi="ar"/>
        </w:rPr>
        <w:t>①施工土方</w:t>
      </w:r>
    </w:p>
    <w:p w14:paraId="42B96BF2">
      <w:pPr>
        <w:spacing w:line="490" w:lineRule="exact"/>
        <w:ind w:firstLine="526" w:firstLineChars="200"/>
        <w:rPr>
          <w:rFonts w:hint="eastAsia" w:hAnsi="宋体" w:cs="宋体"/>
          <w:color w:val="000000"/>
          <w:szCs w:val="24"/>
        </w:rPr>
      </w:pPr>
      <w:r>
        <w:rPr>
          <w:rFonts w:hint="eastAsia" w:hAnsi="宋体" w:cs="宋体"/>
          <w:color w:val="000000"/>
          <w:szCs w:val="24"/>
        </w:rPr>
        <w:t>拟建工程共挖土方1.044万m</w:t>
      </w:r>
      <w:r>
        <w:rPr>
          <w:rFonts w:hint="eastAsia" w:hAnsi="宋体" w:cs="宋体"/>
          <w:color w:val="000000"/>
          <w:szCs w:val="24"/>
          <w:vertAlign w:val="superscript"/>
        </w:rPr>
        <w:t>3</w:t>
      </w:r>
      <w:r>
        <w:rPr>
          <w:rFonts w:hint="eastAsia" w:hAnsi="宋体" w:cs="宋体"/>
          <w:color w:val="000000"/>
          <w:szCs w:val="24"/>
        </w:rPr>
        <w:t>，回填土方1.044万m</w:t>
      </w:r>
      <w:r>
        <w:rPr>
          <w:rFonts w:hint="eastAsia" w:hAnsi="宋体" w:cs="宋体"/>
          <w:color w:val="000000"/>
          <w:szCs w:val="24"/>
          <w:vertAlign w:val="superscript"/>
        </w:rPr>
        <w:t>3</w:t>
      </w:r>
      <w:r>
        <w:rPr>
          <w:rFonts w:hint="eastAsia" w:hAnsi="宋体" w:cs="宋体"/>
          <w:color w:val="000000"/>
          <w:szCs w:val="24"/>
        </w:rPr>
        <w:t>，无弃方，开挖土方主要为管沟开挖产生土方，回填土方主要为管沟回填。</w:t>
      </w:r>
    </w:p>
    <w:p w14:paraId="493E2194">
      <w:pPr>
        <w:pStyle w:val="94"/>
        <w:kinsoku/>
        <w:wordWrap/>
        <w:overflowPunct/>
        <w:autoSpaceDE/>
        <w:autoSpaceDN/>
        <w:adjustRightInd/>
        <w:snapToGrid/>
        <w:spacing w:after="0" w:line="240" w:lineRule="auto"/>
        <w:ind w:firstLine="526" w:firstLineChars="200"/>
        <w:jc w:val="both"/>
        <w:rPr>
          <w:rFonts w:hint="eastAsia" w:hAnsi="宋体"/>
          <w:color w:val="000000"/>
          <w:szCs w:val="24"/>
        </w:rPr>
      </w:pPr>
      <w:r>
        <w:rPr>
          <w:rFonts w:hint="eastAsia" w:hAnsi="宋体"/>
          <w:color w:val="000000"/>
          <w:szCs w:val="24"/>
        </w:rPr>
        <w:t>②管道焊接及吹扫废渣</w:t>
      </w:r>
    </w:p>
    <w:p w14:paraId="7527C5C6">
      <w:pPr>
        <w:ind w:firstLine="526" w:firstLineChars="200"/>
        <w:rPr>
          <w:rFonts w:hint="eastAsia"/>
          <w:color w:val="000000"/>
          <w:szCs w:val="24"/>
        </w:rPr>
      </w:pPr>
      <w:r>
        <w:rPr>
          <w:rFonts w:hint="eastAsia"/>
          <w:color w:val="000000"/>
          <w:szCs w:val="24"/>
        </w:rPr>
        <w:t>根据类比调查，焊接及吹扫废渣的产生量约为0.05t/km，拟建工程焊接及吹扫废渣产生量约为0.69t，收集后送塔中固废填埋场填埋处置。</w:t>
      </w:r>
    </w:p>
    <w:p w14:paraId="34CB63CA">
      <w:pPr>
        <w:pStyle w:val="94"/>
        <w:kinsoku/>
        <w:wordWrap/>
        <w:overflowPunct/>
        <w:autoSpaceDE/>
        <w:autoSpaceDN/>
        <w:adjustRightInd/>
        <w:snapToGrid/>
        <w:spacing w:after="0" w:line="240" w:lineRule="auto"/>
        <w:ind w:firstLine="526" w:firstLineChars="200"/>
        <w:jc w:val="both"/>
        <w:rPr>
          <w:rFonts w:hAnsi="宋体"/>
          <w:color w:val="000000"/>
          <w:szCs w:val="24"/>
        </w:rPr>
      </w:pPr>
      <w:r>
        <w:rPr>
          <w:rFonts w:hint="eastAsia" w:hAnsi="宋体"/>
          <w:color w:val="000000"/>
          <w:szCs w:val="24"/>
        </w:rPr>
        <w:t>③清管废渣</w:t>
      </w:r>
    </w:p>
    <w:p w14:paraId="0B325F60">
      <w:pPr>
        <w:pStyle w:val="94"/>
        <w:kinsoku/>
        <w:wordWrap/>
        <w:overflowPunct/>
        <w:autoSpaceDE/>
        <w:autoSpaceDN/>
        <w:adjustRightInd/>
        <w:snapToGrid/>
        <w:spacing w:after="0" w:line="240" w:lineRule="auto"/>
        <w:ind w:firstLine="526" w:firstLineChars="200"/>
        <w:jc w:val="both"/>
        <w:rPr>
          <w:rFonts w:hAnsi="宋体"/>
          <w:color w:val="000000"/>
          <w:sz w:val="25"/>
          <w:szCs w:val="25"/>
        </w:rPr>
      </w:pPr>
      <w:r>
        <w:rPr>
          <w:rFonts w:hint="eastAsia" w:hAnsi="宋体"/>
          <w:color w:val="000000"/>
          <w:szCs w:val="24"/>
        </w:rPr>
        <w:t>拟建工程内穿插作业会对现有管线进行清管作业，根据类比调查，</w:t>
      </w:r>
      <w:r>
        <w:rPr>
          <w:rFonts w:hint="eastAsia"/>
          <w:color w:val="000000"/>
          <w:szCs w:val="24"/>
        </w:rPr>
        <w:t>现有管线清管废渣</w:t>
      </w:r>
      <w:r>
        <w:rPr>
          <w:rFonts w:hint="eastAsia" w:hAnsi="宋体"/>
          <w:color w:val="000000"/>
          <w:szCs w:val="24"/>
        </w:rPr>
        <w:t>的产生量约为0.1t/km，拟建工程</w:t>
      </w:r>
      <w:r>
        <w:rPr>
          <w:rFonts w:hint="eastAsia"/>
          <w:color w:val="000000"/>
          <w:szCs w:val="24"/>
        </w:rPr>
        <w:t>现有管线吹扫废渣</w:t>
      </w:r>
      <w:r>
        <w:rPr>
          <w:rFonts w:hint="eastAsia" w:hAnsi="宋体"/>
          <w:color w:val="000000"/>
          <w:szCs w:val="24"/>
        </w:rPr>
        <w:t>产生量约为1.04t</w:t>
      </w:r>
      <w:r>
        <w:rPr>
          <w:rFonts w:hint="eastAsia" w:cs="宋体"/>
          <w:color w:val="000000"/>
          <w:szCs w:val="24"/>
        </w:rPr>
        <w:t>，收集后由区域具有危废处置资质的公司接收处置。</w:t>
      </w:r>
    </w:p>
    <w:p w14:paraId="77C2D527">
      <w:pPr>
        <w:pStyle w:val="94"/>
        <w:kinsoku/>
        <w:wordWrap/>
        <w:overflowPunct/>
        <w:autoSpaceDE/>
        <w:autoSpaceDN/>
        <w:adjustRightInd/>
        <w:snapToGrid/>
        <w:spacing w:after="0" w:line="500" w:lineRule="exact"/>
        <w:ind w:firstLine="546" w:firstLineChars="200"/>
        <w:jc w:val="both"/>
        <w:rPr>
          <w:rFonts w:hint="eastAsia" w:hAnsi="宋体"/>
          <w:color w:val="000000"/>
          <w:sz w:val="25"/>
          <w:szCs w:val="25"/>
        </w:rPr>
      </w:pPr>
      <w:r>
        <w:rPr>
          <w:rFonts w:hint="eastAsia" w:hAnsi="宋体"/>
          <w:color w:val="000000"/>
          <w:sz w:val="25"/>
          <w:szCs w:val="25"/>
        </w:rPr>
        <w:t>④废防渗膜</w:t>
      </w:r>
    </w:p>
    <w:p w14:paraId="220AB399">
      <w:pPr>
        <w:spacing w:line="500" w:lineRule="exact"/>
        <w:ind w:firstLine="546" w:firstLineChars="200"/>
        <w:rPr>
          <w:rFonts w:hint="eastAsia" w:hAnsi="宋体" w:cs="宋体"/>
          <w:color w:val="000000"/>
          <w:szCs w:val="24"/>
          <w:lang w:bidi="ar"/>
        </w:rPr>
      </w:pPr>
      <w:r>
        <w:rPr>
          <w:rFonts w:hint="eastAsia" w:hAnsi="宋体"/>
          <w:color w:val="000000"/>
          <w:kern w:val="21"/>
          <w:sz w:val="25"/>
        </w:rPr>
        <w:t>拟建工程内穿插作业</w:t>
      </w:r>
      <w:r>
        <w:rPr>
          <w:rFonts w:hint="eastAsia" w:hAnsi="宋体" w:cs="宋体"/>
          <w:color w:val="000000"/>
          <w:sz w:val="25"/>
        </w:rPr>
        <w:t>操作坑操作之前需铺设防渗膜，单个防渗膜重量约为10kg，项目共开挖22个操作坑，预计废防渗膜产生量为0.22t。施工结束后集中收集由区域具有危废处置资质的公司接收处置。</w:t>
      </w:r>
    </w:p>
    <w:p w14:paraId="6041D9BB">
      <w:pPr>
        <w:spacing w:line="500" w:lineRule="exact"/>
        <w:ind w:firstLine="526" w:firstLineChars="200"/>
        <w:rPr>
          <w:rFonts w:cs="宋体"/>
          <w:color w:val="000000"/>
          <w:szCs w:val="24"/>
        </w:rPr>
      </w:pPr>
      <w:r>
        <w:rPr>
          <w:rFonts w:hint="eastAsia" w:hAnsi="宋体" w:cs="宋体"/>
          <w:color w:val="000000"/>
          <w:szCs w:val="24"/>
          <w:lang w:bidi="ar"/>
        </w:rPr>
        <w:t>⑤</w:t>
      </w:r>
      <w:r>
        <w:rPr>
          <w:rFonts w:hint="eastAsia" w:hAnsi="宋体" w:cs="宋体"/>
          <w:color w:val="000000"/>
          <w:szCs w:val="24"/>
        </w:rPr>
        <w:t>生活</w:t>
      </w:r>
      <w:r>
        <w:rPr>
          <w:rFonts w:hint="eastAsia" w:cs="宋体"/>
          <w:color w:val="000000"/>
          <w:szCs w:val="24"/>
        </w:rPr>
        <w:t>垃圾</w:t>
      </w:r>
    </w:p>
    <w:p w14:paraId="7ECE3EBA">
      <w:pPr>
        <w:pStyle w:val="94"/>
        <w:kinsoku/>
        <w:wordWrap/>
        <w:overflowPunct/>
        <w:snapToGrid/>
        <w:spacing w:after="0" w:line="500" w:lineRule="exact"/>
        <w:ind w:firstLine="526" w:firstLineChars="200"/>
        <w:jc w:val="both"/>
        <w:rPr>
          <w:rFonts w:hint="eastAsia" w:hAnsi="宋体" w:cs="宋体"/>
          <w:color w:val="000000"/>
          <w:szCs w:val="24"/>
        </w:rPr>
      </w:pPr>
      <w:r>
        <w:rPr>
          <w:rFonts w:hint="eastAsia" w:hAnsi="宋体" w:cs="宋体"/>
          <w:color w:val="000000"/>
          <w:szCs w:val="24"/>
          <w:lang w:bidi="ar"/>
        </w:rPr>
        <w:t>拟建工程产生生活垃圾</w:t>
      </w:r>
      <w:r>
        <w:rPr>
          <w:rFonts w:hint="eastAsia" w:hAnsi="宋体" w:cs="宋体"/>
          <w:color w:val="000000"/>
          <w:szCs w:val="24"/>
        </w:rPr>
        <w:t>0.3t</w:t>
      </w:r>
      <w:r>
        <w:rPr>
          <w:rFonts w:hint="eastAsia" w:hAnsi="宋体" w:cs="宋体"/>
          <w:color w:val="000000"/>
          <w:szCs w:val="24"/>
          <w:lang w:bidi="ar"/>
        </w:rPr>
        <w:t>，</w:t>
      </w:r>
      <w:r>
        <w:rPr>
          <w:rFonts w:hint="eastAsia" w:hAnsi="宋体" w:cs="宋体"/>
          <w:color w:val="000000"/>
          <w:szCs w:val="24"/>
        </w:rPr>
        <w:t>施工人员生活垃圾收集后送塔中固废填埋场填埋处置。</w:t>
      </w:r>
    </w:p>
    <w:p w14:paraId="68344B91">
      <w:pPr>
        <w:tabs>
          <w:tab w:val="left" w:pos="1134"/>
        </w:tabs>
        <w:spacing w:line="500" w:lineRule="exact"/>
        <w:outlineLvl w:val="2"/>
        <w:rPr>
          <w:rFonts w:hint="eastAsia" w:hAnsi="宋体" w:cs="宋体"/>
          <w:color w:val="000000"/>
          <w:szCs w:val="24"/>
        </w:rPr>
      </w:pPr>
      <w:r>
        <w:rPr>
          <w:rFonts w:hint="eastAsia" w:hAnsi="宋体" w:cs="宋体"/>
          <w:color w:val="000000"/>
          <w:szCs w:val="24"/>
        </w:rPr>
        <w:t>5.7.2运营期固体废物影响分析</w:t>
      </w:r>
    </w:p>
    <w:p w14:paraId="4687A0E3">
      <w:pPr>
        <w:spacing w:line="500" w:lineRule="exact"/>
        <w:ind w:firstLine="526" w:firstLineChars="200"/>
        <w:rPr>
          <w:rFonts w:hint="eastAsia" w:hAnsi="宋体" w:cs="宋体"/>
          <w:color w:val="000000"/>
          <w:szCs w:val="24"/>
        </w:rPr>
      </w:pPr>
      <w:r>
        <w:rPr>
          <w:rFonts w:hint="eastAsia" w:hAnsi="宋体" w:cs="宋体"/>
          <w:color w:val="000000"/>
          <w:szCs w:val="24"/>
        </w:rPr>
        <w:t>拟建工程运营期无固废产生。</w:t>
      </w:r>
    </w:p>
    <w:p w14:paraId="4FBEF4A9">
      <w:pPr>
        <w:tabs>
          <w:tab w:val="left" w:pos="1134"/>
        </w:tabs>
        <w:spacing w:line="500" w:lineRule="exact"/>
        <w:outlineLvl w:val="2"/>
        <w:rPr>
          <w:rFonts w:hint="eastAsia" w:hAnsi="宋体" w:cs="宋体"/>
          <w:color w:val="000000"/>
          <w:szCs w:val="24"/>
        </w:rPr>
      </w:pPr>
      <w:r>
        <w:rPr>
          <w:rFonts w:hint="eastAsia" w:hAnsi="宋体" w:cs="宋体"/>
          <w:color w:val="000000"/>
          <w:szCs w:val="24"/>
        </w:rPr>
        <w:t>5.7.3退役期固体废物影响分析</w:t>
      </w:r>
    </w:p>
    <w:p w14:paraId="0AD95168">
      <w:pPr>
        <w:pStyle w:val="10"/>
        <w:widowControl w:val="0"/>
        <w:spacing w:line="500" w:lineRule="exact"/>
        <w:jc w:val="both"/>
        <w:rPr>
          <w:rFonts w:hint="eastAsia" w:ascii="宋体" w:hAnsi="宋体" w:eastAsia="宋体" w:cs="宋体"/>
          <w:color w:val="000000"/>
          <w:sz w:val="24"/>
          <w:szCs w:val="24"/>
        </w:rPr>
      </w:pPr>
      <w:r>
        <w:rPr>
          <w:rFonts w:hint="eastAsia" w:ascii="宋体" w:hAnsi="宋体" w:eastAsia="宋体" w:cs="宋体"/>
          <w:color w:val="000000"/>
          <w:sz w:val="24"/>
          <w:szCs w:val="24"/>
        </w:rPr>
        <w:t>拟建工程退役期废弃管线维持现状，避免因开挖管线对区域生态环境造成二次破坏，管线内物质应清空干净，并按要求进行清洗，确保管线内无残留采出液，管线两端使用盲板封堵。固体废物的妥善处理，可以有效控制对区域环境的影响。</w:t>
      </w:r>
    </w:p>
    <w:p w14:paraId="27FC5D66">
      <w:pPr>
        <w:spacing w:line="500" w:lineRule="exact"/>
        <w:outlineLvl w:val="1"/>
        <w:rPr>
          <w:rFonts w:hint="eastAsia" w:ascii="黑体" w:hAnsi="黑体" w:eastAsia="黑体" w:cs="黑体"/>
          <w:color w:val="000000"/>
          <w:sz w:val="28"/>
          <w:szCs w:val="28"/>
          <w:lang w:bidi="ar"/>
        </w:rPr>
      </w:pPr>
      <w:bookmarkStart w:id="234" w:name="_Toc208474690"/>
      <w:bookmarkStart w:id="235" w:name="_Toc198040198"/>
      <w:bookmarkStart w:id="236" w:name="_Toc198040342"/>
      <w:bookmarkStart w:id="237" w:name="_Toc230178806"/>
      <w:r>
        <w:rPr>
          <w:rFonts w:hint="eastAsia" w:ascii="黑体" w:hAnsi="黑体" w:eastAsia="黑体" w:cs="黑体"/>
          <w:color w:val="000000"/>
          <w:sz w:val="28"/>
          <w:szCs w:val="28"/>
          <w:lang w:bidi="ar"/>
        </w:rPr>
        <w:t>5.8环境风险评价</w:t>
      </w:r>
      <w:bookmarkEnd w:id="234"/>
      <w:bookmarkEnd w:id="235"/>
      <w:bookmarkEnd w:id="236"/>
      <w:bookmarkEnd w:id="237"/>
    </w:p>
    <w:p w14:paraId="1A9E69F2">
      <w:pPr>
        <w:spacing w:line="500" w:lineRule="exact"/>
        <w:ind w:firstLine="515" w:firstLineChars="196"/>
        <w:rPr>
          <w:rFonts w:hint="eastAsia" w:hAnsi="宋体"/>
          <w:color w:val="000000"/>
          <w:szCs w:val="24"/>
        </w:rPr>
      </w:pPr>
      <w:r>
        <w:rPr>
          <w:rFonts w:hint="eastAsia" w:hAnsi="宋体"/>
          <w:color w:val="000000"/>
          <w:szCs w:val="24"/>
        </w:rPr>
        <w:t>环境风险评价是分析和预测建设项目对环境存在的潜在危险、有害因素，针对建设项目建设和运行期间可能发生的突发性事件或事故，引起有毒有害和易燃易爆等物质泄漏所造成的对环境影响和损害程度，提出合理可行的防范、应急与减缓措施，以使建设项目事故风险可防控。</w:t>
      </w:r>
    </w:p>
    <w:p w14:paraId="106ACCD9">
      <w:pPr>
        <w:tabs>
          <w:tab w:val="left" w:pos="1134"/>
        </w:tabs>
        <w:spacing w:line="500" w:lineRule="exact"/>
        <w:outlineLvl w:val="2"/>
        <w:rPr>
          <w:rFonts w:hint="eastAsia" w:hAnsi="宋体" w:cs="宋体"/>
          <w:color w:val="000000"/>
          <w:szCs w:val="24"/>
        </w:rPr>
      </w:pPr>
      <w:bookmarkStart w:id="238" w:name="_Toc23449"/>
      <w:r>
        <w:rPr>
          <w:rFonts w:hint="eastAsia" w:hAnsi="宋体" w:cs="宋体"/>
          <w:color w:val="000000"/>
          <w:szCs w:val="24"/>
        </w:rPr>
        <w:t>5.8.1 风险调查</w:t>
      </w:r>
    </w:p>
    <w:p w14:paraId="5AB9F28E">
      <w:pPr>
        <w:pStyle w:val="71"/>
        <w:spacing w:line="500" w:lineRule="exact"/>
        <w:ind w:firstLine="526" w:firstLineChars="200"/>
        <w:jc w:val="both"/>
        <w:rPr>
          <w:rFonts w:cs="Times New Roman"/>
          <w:color w:val="000000"/>
          <w:sz w:val="24"/>
          <w:szCs w:val="24"/>
        </w:rPr>
      </w:pPr>
      <w:r>
        <w:rPr>
          <w:rFonts w:hint="eastAsia" w:cs="Times New Roman"/>
          <w:color w:val="000000"/>
          <w:sz w:val="24"/>
          <w:szCs w:val="24"/>
        </w:rPr>
        <w:t>（1）风险调查</w:t>
      </w:r>
    </w:p>
    <w:p w14:paraId="1EB5A0A0">
      <w:pPr>
        <w:spacing w:line="500" w:lineRule="exact"/>
        <w:ind w:firstLine="526" w:firstLineChars="200"/>
        <w:rPr>
          <w:rFonts w:hAnsi="宋体"/>
          <w:color w:val="000000"/>
          <w:szCs w:val="24"/>
          <w:lang w:bidi="ar"/>
        </w:rPr>
      </w:pPr>
      <w:r>
        <w:rPr>
          <w:rFonts w:hint="eastAsia" w:hAnsi="宋体"/>
          <w:color w:val="000000"/>
          <w:szCs w:val="24"/>
        </w:rPr>
        <w:t>拟建工程</w:t>
      </w:r>
      <w:r>
        <w:rPr>
          <w:rFonts w:hint="eastAsia"/>
          <w:color w:val="000000"/>
          <w:spacing w:val="11"/>
          <w:szCs w:val="24"/>
        </w:rPr>
        <w:t>涉及的风</w:t>
      </w:r>
      <w:r>
        <w:rPr>
          <w:rFonts w:hint="eastAsia" w:hAnsi="宋体" w:cs="宋体"/>
          <w:color w:val="000000"/>
          <w:spacing w:val="11"/>
          <w:szCs w:val="24"/>
        </w:rPr>
        <w:t>险物质主要为凝析油、天然气及硫化氢，存在于集输管线内</w:t>
      </w:r>
      <w:r>
        <w:rPr>
          <w:rFonts w:hint="eastAsia" w:hAnsi="宋体"/>
          <w:color w:val="000000"/>
          <w:szCs w:val="24"/>
          <w:lang w:bidi="ar"/>
        </w:rPr>
        <w:t>。</w:t>
      </w:r>
    </w:p>
    <w:p w14:paraId="6C164FEB">
      <w:pPr>
        <w:pStyle w:val="71"/>
        <w:spacing w:line="500" w:lineRule="exact"/>
        <w:ind w:firstLine="526" w:firstLineChars="200"/>
        <w:jc w:val="both"/>
        <w:rPr>
          <w:rFonts w:cs="Times New Roman"/>
          <w:color w:val="000000"/>
          <w:sz w:val="24"/>
          <w:szCs w:val="24"/>
        </w:rPr>
      </w:pPr>
      <w:r>
        <w:rPr>
          <w:rFonts w:hint="eastAsia" w:cs="Times New Roman"/>
          <w:color w:val="000000"/>
          <w:sz w:val="24"/>
          <w:szCs w:val="24"/>
        </w:rPr>
        <w:t>（2）环境敏感目标调查</w:t>
      </w:r>
    </w:p>
    <w:p w14:paraId="736A91BF">
      <w:pPr>
        <w:pStyle w:val="10"/>
        <w:widowControl w:val="0"/>
        <w:spacing w:line="500" w:lineRule="exact"/>
        <w:rPr>
          <w:rFonts w:hint="eastAsia" w:ascii="宋体" w:hAnsi="宋体" w:eastAsia="宋体" w:cs="宋体"/>
          <w:color w:val="000000"/>
          <w:sz w:val="24"/>
          <w:szCs w:val="24"/>
        </w:rPr>
      </w:pPr>
      <w:r>
        <w:rPr>
          <w:rFonts w:hint="eastAsia" w:ascii="宋体" w:hAnsi="宋体" w:eastAsia="宋体" w:cs="宋体"/>
          <w:color w:val="000000"/>
          <w:sz w:val="24"/>
          <w:szCs w:val="24"/>
        </w:rPr>
        <w:t>拟建工程周边敏感特征情况见表2.6-3。</w:t>
      </w:r>
    </w:p>
    <w:p w14:paraId="2D039B2F">
      <w:pPr>
        <w:tabs>
          <w:tab w:val="left" w:pos="1134"/>
        </w:tabs>
        <w:spacing w:line="500" w:lineRule="exact"/>
        <w:outlineLvl w:val="2"/>
        <w:rPr>
          <w:rFonts w:hint="eastAsia" w:hAnsi="宋体" w:cs="宋体"/>
          <w:color w:val="000000"/>
          <w:szCs w:val="24"/>
        </w:rPr>
      </w:pPr>
      <w:r>
        <w:rPr>
          <w:rFonts w:hint="eastAsia" w:hAnsi="宋体" w:cs="宋体"/>
          <w:color w:val="000000"/>
          <w:szCs w:val="24"/>
        </w:rPr>
        <w:t>5.8.2 环境风险潜势初判</w:t>
      </w:r>
    </w:p>
    <w:p w14:paraId="573CF9A9">
      <w:pPr>
        <w:pStyle w:val="10"/>
        <w:widowControl w:val="0"/>
        <w:spacing w:line="500" w:lineRule="exact"/>
        <w:rPr>
          <w:rFonts w:hint="eastAsia" w:ascii="宋体" w:hAnsi="宋体" w:eastAsia="宋体" w:cs="宋体"/>
          <w:color w:val="000000"/>
          <w:sz w:val="24"/>
          <w:szCs w:val="24"/>
        </w:rPr>
      </w:pPr>
      <w:r>
        <w:rPr>
          <w:rFonts w:hint="eastAsia" w:ascii="宋体" w:hAnsi="宋体" w:eastAsia="宋体" w:cs="宋体"/>
          <w:color w:val="000000"/>
          <w:sz w:val="24"/>
          <w:szCs w:val="24"/>
        </w:rPr>
        <w:t>项目Q值小于1，环境风险潜势为Ⅰ。</w:t>
      </w:r>
    </w:p>
    <w:p w14:paraId="678E3FAB">
      <w:pPr>
        <w:spacing w:line="500" w:lineRule="exact"/>
        <w:outlineLvl w:val="2"/>
        <w:rPr>
          <w:rFonts w:hint="eastAsia" w:hAnsi="宋体"/>
          <w:color w:val="000000"/>
          <w:szCs w:val="24"/>
        </w:rPr>
      </w:pPr>
      <w:r>
        <w:rPr>
          <w:rFonts w:hint="eastAsia" w:hAnsi="宋体"/>
          <w:color w:val="000000"/>
          <w:szCs w:val="24"/>
        </w:rPr>
        <w:t>5.8.3 环境风险识别</w:t>
      </w:r>
    </w:p>
    <w:p w14:paraId="1F1E8D75">
      <w:pPr>
        <w:pStyle w:val="71"/>
        <w:spacing w:line="500" w:lineRule="exact"/>
        <w:jc w:val="both"/>
        <w:rPr>
          <w:rFonts w:hint="eastAsia" w:hAnsi="Calibri" w:cs="Times New Roman"/>
          <w:color w:val="000000"/>
          <w:sz w:val="24"/>
          <w:szCs w:val="24"/>
        </w:rPr>
      </w:pPr>
      <w:r>
        <w:rPr>
          <w:rFonts w:hint="eastAsia" w:hAnsi="Calibri" w:cs="Times New Roman"/>
          <w:color w:val="000000"/>
          <w:sz w:val="24"/>
          <w:szCs w:val="24"/>
        </w:rPr>
        <w:t>5.8.3.1物质危险性识别</w:t>
      </w:r>
    </w:p>
    <w:p w14:paraId="34F8D987">
      <w:pPr>
        <w:spacing w:line="500" w:lineRule="exact"/>
        <w:ind w:firstLine="526" w:firstLineChars="200"/>
        <w:rPr>
          <w:rFonts w:hint="eastAsia"/>
          <w:color w:val="000000"/>
          <w:szCs w:val="24"/>
        </w:rPr>
      </w:pPr>
      <w:r>
        <w:rPr>
          <w:rFonts w:hint="eastAsia"/>
          <w:color w:val="000000"/>
          <w:szCs w:val="24"/>
        </w:rPr>
        <w:t>拟建工程涉及的风险物质主要为凝析油、</w:t>
      </w:r>
      <w:r>
        <w:rPr>
          <w:rFonts w:hint="eastAsia" w:hAnsi="宋体" w:cs="宋体"/>
          <w:color w:val="000000"/>
          <w:szCs w:val="24"/>
        </w:rPr>
        <w:t>天然气</w:t>
      </w:r>
      <w:r>
        <w:rPr>
          <w:rFonts w:hint="eastAsia"/>
          <w:color w:val="000000"/>
          <w:szCs w:val="24"/>
        </w:rPr>
        <w:t>、硫化氢。其</w:t>
      </w:r>
      <w:r>
        <w:rPr>
          <w:color w:val="000000"/>
          <w:szCs w:val="24"/>
        </w:rPr>
        <w:t>物化性质、</w:t>
      </w:r>
      <w:r>
        <w:rPr>
          <w:rFonts w:hint="eastAsia"/>
          <w:color w:val="000000"/>
          <w:szCs w:val="24"/>
        </w:rPr>
        <w:t>易燃性、爆炸性和毒性情况</w:t>
      </w:r>
      <w:r>
        <w:rPr>
          <w:color w:val="000000"/>
          <w:szCs w:val="24"/>
        </w:rPr>
        <w:t>见</w:t>
      </w:r>
      <w:r>
        <w:rPr>
          <w:rFonts w:hint="eastAsia" w:hAnsi="宋体" w:cs="宋体"/>
          <w:color w:val="000000"/>
          <w:szCs w:val="24"/>
        </w:rPr>
        <w:t>表</w:t>
      </w:r>
      <w:r>
        <w:rPr>
          <w:rFonts w:hint="eastAsia"/>
          <w:color w:val="000000"/>
          <w:szCs w:val="24"/>
        </w:rPr>
        <w:t>5.8-1。</w:t>
      </w:r>
    </w:p>
    <w:p w14:paraId="5B957917">
      <w:pPr>
        <w:spacing w:line="500" w:lineRule="exact"/>
        <w:ind w:firstLine="526" w:firstLineChars="200"/>
        <w:rPr>
          <w:rFonts w:hint="eastAsia" w:ascii="黑体" w:hAnsi="黑体" w:eastAsia="黑体" w:cs="宋体"/>
          <w:color w:val="000000"/>
          <w:szCs w:val="24"/>
        </w:rPr>
      </w:pPr>
      <w:r>
        <w:rPr>
          <w:rFonts w:hint="eastAsia" w:hAnsi="宋体" w:cs="宋体"/>
          <w:color w:val="000000"/>
          <w:szCs w:val="24"/>
        </w:rPr>
        <w:t>表</w:t>
      </w:r>
      <w:r>
        <w:rPr>
          <w:rFonts w:hint="eastAsia" w:ascii="黑体" w:hAnsi="黑体" w:eastAsia="黑体" w:cs="宋体"/>
          <w:color w:val="000000"/>
          <w:szCs w:val="24"/>
        </w:rPr>
        <w:t>5.8-1</w:t>
      </w:r>
      <w:r>
        <w:rPr>
          <w:rFonts w:hint="eastAsia" w:hAnsi="宋体"/>
          <w:color w:val="000000"/>
          <w:szCs w:val="24"/>
        </w:rPr>
        <w:t xml:space="preserve"> </w:t>
      </w:r>
      <w:r>
        <w:rPr>
          <w:rFonts w:hint="eastAsia" w:ascii="黑体" w:hAnsi="宋" w:eastAsia="黑体" w:cs="宋体"/>
          <w:color w:val="000000"/>
          <w:szCs w:val="24"/>
        </w:rPr>
        <w:t xml:space="preserve">          </w:t>
      </w:r>
      <w:r>
        <w:rPr>
          <w:rFonts w:hint="eastAsia" w:ascii="黑体" w:hAnsi="黑体" w:eastAsia="黑体" w:cs="宋体"/>
          <w:bCs/>
          <w:color w:val="000000"/>
          <w:szCs w:val="24"/>
        </w:rPr>
        <w:t xml:space="preserve"> </w:t>
      </w:r>
      <w:r>
        <w:rPr>
          <w:rFonts w:hint="eastAsia" w:ascii="黑体" w:hAnsi="黑体" w:eastAsia="黑体" w:cs="宋体"/>
          <w:color w:val="000000"/>
          <w:szCs w:val="24"/>
        </w:rPr>
        <w:t>物质危险性一览表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488"/>
        <w:gridCol w:w="1374"/>
        <w:gridCol w:w="6551"/>
        <w:gridCol w:w="602"/>
      </w:tblGrid>
      <w:tr w14:paraId="117FC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8" w:type="dxa"/>
            <w:tcMar>
              <w:left w:w="28" w:type="dxa"/>
              <w:right w:w="28" w:type="dxa"/>
            </w:tcMar>
            <w:vAlign w:val="center"/>
          </w:tcPr>
          <w:p w14:paraId="38566262">
            <w:pPr>
              <w:pStyle w:val="45"/>
              <w:widowControl w:val="0"/>
              <w:spacing w:beforeAutospacing="0" w:afterAutospacing="0" w:line="0" w:lineRule="atLeast"/>
              <w:jc w:val="center"/>
              <w:rPr>
                <w:rFonts w:cs="Times New Roman"/>
                <w:color w:val="000000"/>
                <w:spacing w:val="-20"/>
                <w:sz w:val="21"/>
                <w:szCs w:val="21"/>
              </w:rPr>
            </w:pPr>
            <w:r>
              <w:rPr>
                <w:rFonts w:hint="eastAsia" w:cs="Times New Roman"/>
                <w:color w:val="000000"/>
                <w:spacing w:val="-20"/>
                <w:kern w:val="2"/>
                <w:sz w:val="21"/>
                <w:szCs w:val="21"/>
              </w:rPr>
              <w:t>序号</w:t>
            </w:r>
          </w:p>
        </w:tc>
        <w:tc>
          <w:tcPr>
            <w:tcW w:w="1374" w:type="dxa"/>
            <w:tcMar>
              <w:left w:w="28" w:type="dxa"/>
              <w:right w:w="28" w:type="dxa"/>
            </w:tcMar>
            <w:vAlign w:val="center"/>
          </w:tcPr>
          <w:p w14:paraId="38005E95">
            <w:pPr>
              <w:pStyle w:val="45"/>
              <w:widowControl w:val="0"/>
              <w:spacing w:beforeAutospacing="0" w:afterAutospacing="0" w:line="0" w:lineRule="atLeast"/>
              <w:jc w:val="center"/>
              <w:rPr>
                <w:rFonts w:cs="Times New Roman"/>
                <w:color w:val="000000"/>
                <w:spacing w:val="-20"/>
                <w:sz w:val="21"/>
                <w:szCs w:val="21"/>
              </w:rPr>
            </w:pPr>
            <w:r>
              <w:rPr>
                <w:rFonts w:hint="eastAsia" w:cs="Times New Roman"/>
                <w:color w:val="000000"/>
                <w:spacing w:val="-20"/>
                <w:kern w:val="2"/>
                <w:sz w:val="21"/>
                <w:szCs w:val="21"/>
              </w:rPr>
              <w:t>危险物质名称</w:t>
            </w:r>
          </w:p>
        </w:tc>
        <w:tc>
          <w:tcPr>
            <w:tcW w:w="6551" w:type="dxa"/>
            <w:tcMar>
              <w:left w:w="28" w:type="dxa"/>
              <w:right w:w="28" w:type="dxa"/>
            </w:tcMar>
            <w:vAlign w:val="center"/>
          </w:tcPr>
          <w:p w14:paraId="0B5B909A">
            <w:pPr>
              <w:pStyle w:val="45"/>
              <w:widowControl w:val="0"/>
              <w:spacing w:beforeAutospacing="0" w:afterAutospacing="0" w:line="0" w:lineRule="atLeast"/>
              <w:jc w:val="center"/>
              <w:rPr>
                <w:rFonts w:cs="Times New Roman"/>
                <w:color w:val="000000"/>
                <w:spacing w:val="-20"/>
                <w:sz w:val="21"/>
                <w:szCs w:val="21"/>
              </w:rPr>
            </w:pPr>
            <w:r>
              <w:rPr>
                <w:rFonts w:hint="eastAsia" w:cs="Times New Roman"/>
                <w:color w:val="000000"/>
                <w:spacing w:val="-20"/>
                <w:kern w:val="2"/>
                <w:sz w:val="21"/>
                <w:szCs w:val="21"/>
              </w:rPr>
              <w:t>危险特性</w:t>
            </w:r>
          </w:p>
        </w:tc>
        <w:tc>
          <w:tcPr>
            <w:tcW w:w="602" w:type="dxa"/>
            <w:tcMar>
              <w:left w:w="28" w:type="dxa"/>
              <w:right w:w="28" w:type="dxa"/>
            </w:tcMar>
            <w:vAlign w:val="center"/>
          </w:tcPr>
          <w:p w14:paraId="20FC373A">
            <w:pPr>
              <w:pStyle w:val="45"/>
              <w:widowControl w:val="0"/>
              <w:spacing w:beforeAutospacing="0" w:afterAutospacing="0" w:line="0" w:lineRule="atLeast"/>
              <w:jc w:val="center"/>
              <w:rPr>
                <w:rFonts w:cs="Times New Roman"/>
                <w:color w:val="000000"/>
                <w:spacing w:val="-20"/>
                <w:sz w:val="21"/>
                <w:szCs w:val="21"/>
              </w:rPr>
            </w:pPr>
            <w:r>
              <w:rPr>
                <w:rFonts w:hint="eastAsia" w:cs="Times New Roman"/>
                <w:color w:val="000000"/>
                <w:spacing w:val="-20"/>
                <w:kern w:val="2"/>
                <w:sz w:val="21"/>
                <w:szCs w:val="21"/>
              </w:rPr>
              <w:t>分布</w:t>
            </w:r>
          </w:p>
        </w:tc>
      </w:tr>
      <w:tr w14:paraId="719D89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8" w:type="dxa"/>
            <w:tcMar>
              <w:left w:w="28" w:type="dxa"/>
              <w:right w:w="28" w:type="dxa"/>
            </w:tcMar>
            <w:vAlign w:val="center"/>
          </w:tcPr>
          <w:p w14:paraId="3AFEDBB5">
            <w:pPr>
              <w:pStyle w:val="45"/>
              <w:widowControl w:val="0"/>
              <w:spacing w:beforeAutospacing="0" w:afterAutospacing="0" w:line="0" w:lineRule="atLeast"/>
              <w:jc w:val="center"/>
              <w:rPr>
                <w:rFonts w:cs="Times New Roman"/>
                <w:color w:val="000000"/>
                <w:spacing w:val="-20"/>
                <w:sz w:val="21"/>
                <w:szCs w:val="21"/>
              </w:rPr>
            </w:pPr>
            <w:r>
              <w:rPr>
                <w:rFonts w:cs="Times New Roman"/>
                <w:color w:val="000000"/>
                <w:spacing w:val="-20"/>
                <w:kern w:val="2"/>
                <w:sz w:val="21"/>
                <w:szCs w:val="21"/>
              </w:rPr>
              <w:t>1</w:t>
            </w:r>
          </w:p>
        </w:tc>
        <w:tc>
          <w:tcPr>
            <w:tcW w:w="1374" w:type="dxa"/>
            <w:tcMar>
              <w:left w:w="28" w:type="dxa"/>
              <w:right w:w="28" w:type="dxa"/>
            </w:tcMar>
            <w:vAlign w:val="center"/>
          </w:tcPr>
          <w:p w14:paraId="0E979930">
            <w:pPr>
              <w:spacing w:line="0" w:lineRule="atLeast"/>
              <w:jc w:val="center"/>
              <w:rPr>
                <w:rFonts w:hAnsi="宋体"/>
                <w:color w:val="000000"/>
                <w:spacing w:val="-20"/>
                <w:sz w:val="21"/>
                <w:szCs w:val="21"/>
              </w:rPr>
            </w:pPr>
            <w:r>
              <w:rPr>
                <w:rFonts w:hint="eastAsia" w:hAnsi="宋体"/>
                <w:color w:val="000000"/>
                <w:spacing w:val="-20"/>
                <w:sz w:val="21"/>
                <w:szCs w:val="21"/>
              </w:rPr>
              <w:t>凝析油</w:t>
            </w:r>
          </w:p>
        </w:tc>
        <w:tc>
          <w:tcPr>
            <w:tcW w:w="6551" w:type="dxa"/>
            <w:tcMar>
              <w:left w:w="28" w:type="dxa"/>
              <w:right w:w="28" w:type="dxa"/>
            </w:tcMar>
            <w:vAlign w:val="center"/>
          </w:tcPr>
          <w:p w14:paraId="3F2D9AFE">
            <w:pPr>
              <w:spacing w:line="0" w:lineRule="atLeast"/>
              <w:rPr>
                <w:rFonts w:hint="eastAsia" w:hAnsi="宋体"/>
                <w:color w:val="000000"/>
                <w:spacing w:val="-20"/>
                <w:sz w:val="21"/>
                <w:szCs w:val="21"/>
              </w:rPr>
            </w:pPr>
            <w:r>
              <w:rPr>
                <w:rFonts w:hint="eastAsia" w:hAnsi="宋体"/>
                <w:color w:val="000000"/>
                <w:spacing w:val="-20"/>
                <w:sz w:val="21"/>
                <w:szCs w:val="21"/>
              </w:rPr>
              <w:t>热值：41870KJ/kg；火焰温度：1100℃；沸点：300-325℃；闪点：23.5℃；爆炸极限1.1%-6.4%（v）；自然燃点380-530℃</w:t>
            </w:r>
          </w:p>
        </w:tc>
        <w:tc>
          <w:tcPr>
            <w:tcW w:w="602" w:type="dxa"/>
            <w:tcMar>
              <w:left w:w="28" w:type="dxa"/>
              <w:right w:w="28" w:type="dxa"/>
            </w:tcMar>
            <w:vAlign w:val="center"/>
          </w:tcPr>
          <w:p w14:paraId="28D4E018">
            <w:pPr>
              <w:pStyle w:val="45"/>
              <w:widowControl w:val="0"/>
              <w:spacing w:beforeAutospacing="0" w:afterAutospacing="0" w:line="0" w:lineRule="atLeast"/>
              <w:jc w:val="center"/>
              <w:rPr>
                <w:rFonts w:hint="eastAsia" w:cs="Times New Roman"/>
                <w:color w:val="000000"/>
                <w:spacing w:val="-20"/>
                <w:sz w:val="21"/>
                <w:szCs w:val="21"/>
              </w:rPr>
            </w:pPr>
            <w:r>
              <w:rPr>
                <w:rFonts w:hint="eastAsia"/>
                <w:bCs/>
                <w:color w:val="000000"/>
                <w:spacing w:val="-20"/>
                <w:kern w:val="24"/>
                <w:sz w:val="21"/>
                <w:szCs w:val="21"/>
              </w:rPr>
              <w:t>集输管线</w:t>
            </w:r>
          </w:p>
        </w:tc>
      </w:tr>
      <w:tr w14:paraId="367A3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8" w:type="dxa"/>
            <w:tcMar>
              <w:left w:w="28" w:type="dxa"/>
              <w:right w:w="28" w:type="dxa"/>
            </w:tcMar>
            <w:vAlign w:val="center"/>
          </w:tcPr>
          <w:p w14:paraId="3BFCA526">
            <w:pPr>
              <w:pStyle w:val="45"/>
              <w:widowControl w:val="0"/>
              <w:spacing w:beforeAutospacing="0" w:afterAutospacing="0" w:line="0" w:lineRule="atLeast"/>
              <w:jc w:val="center"/>
              <w:rPr>
                <w:rFonts w:cs="Times New Roman"/>
                <w:color w:val="000000"/>
                <w:spacing w:val="-20"/>
                <w:kern w:val="2"/>
                <w:sz w:val="21"/>
                <w:szCs w:val="21"/>
              </w:rPr>
            </w:pPr>
            <w:r>
              <w:rPr>
                <w:rFonts w:cs="Times New Roman"/>
                <w:color w:val="000000"/>
                <w:spacing w:val="-20"/>
                <w:kern w:val="2"/>
                <w:sz w:val="21"/>
                <w:szCs w:val="21"/>
              </w:rPr>
              <w:t>2</w:t>
            </w:r>
          </w:p>
        </w:tc>
        <w:tc>
          <w:tcPr>
            <w:tcW w:w="1374" w:type="dxa"/>
            <w:tcMar>
              <w:left w:w="28" w:type="dxa"/>
              <w:right w:w="28" w:type="dxa"/>
            </w:tcMar>
            <w:vAlign w:val="center"/>
          </w:tcPr>
          <w:p w14:paraId="42A36FC2">
            <w:pPr>
              <w:spacing w:line="0" w:lineRule="atLeast"/>
              <w:jc w:val="center"/>
              <w:rPr>
                <w:rFonts w:hint="eastAsia" w:hAnsi="宋体"/>
                <w:color w:val="000000"/>
                <w:spacing w:val="-20"/>
                <w:sz w:val="21"/>
                <w:szCs w:val="21"/>
              </w:rPr>
            </w:pPr>
            <w:r>
              <w:rPr>
                <w:rFonts w:hint="eastAsia" w:hAnsi="宋体"/>
                <w:color w:val="000000"/>
                <w:spacing w:val="-20"/>
                <w:sz w:val="21"/>
                <w:szCs w:val="21"/>
              </w:rPr>
              <w:t>天然气</w:t>
            </w:r>
          </w:p>
        </w:tc>
        <w:tc>
          <w:tcPr>
            <w:tcW w:w="6551" w:type="dxa"/>
            <w:tcMar>
              <w:left w:w="28" w:type="dxa"/>
              <w:right w:w="28" w:type="dxa"/>
            </w:tcMar>
            <w:vAlign w:val="center"/>
          </w:tcPr>
          <w:p w14:paraId="6A9FE7FB">
            <w:pPr>
              <w:spacing w:line="0" w:lineRule="atLeast"/>
              <w:rPr>
                <w:rFonts w:hint="eastAsia" w:hAnsi="宋体"/>
                <w:color w:val="000000"/>
                <w:spacing w:val="-20"/>
                <w:sz w:val="21"/>
                <w:szCs w:val="21"/>
              </w:rPr>
            </w:pPr>
            <w:r>
              <w:rPr>
                <w:rFonts w:hint="eastAsia" w:hAnsi="宋体"/>
                <w:color w:val="000000"/>
                <w:spacing w:val="-20"/>
                <w:sz w:val="21"/>
                <w:szCs w:val="21"/>
              </w:rPr>
              <w:t>无色无味气体，爆炸上限16%，爆炸下限4.8%，蒸汽压：53.32kPa（-168.8℃），闪点：-188.8℃，熔点：-182.5℃，沸点：-161.5℃，相对密度0.42（-164℃）</w:t>
            </w:r>
          </w:p>
        </w:tc>
        <w:tc>
          <w:tcPr>
            <w:tcW w:w="602" w:type="dxa"/>
            <w:tcMar>
              <w:left w:w="28" w:type="dxa"/>
              <w:right w:w="28" w:type="dxa"/>
            </w:tcMar>
            <w:vAlign w:val="center"/>
          </w:tcPr>
          <w:p w14:paraId="42630DA5">
            <w:pPr>
              <w:spacing w:line="0" w:lineRule="atLeast"/>
              <w:jc w:val="center"/>
              <w:rPr>
                <w:rFonts w:hAnsi="宋体"/>
                <w:color w:val="000000"/>
                <w:spacing w:val="-20"/>
                <w:sz w:val="21"/>
                <w:szCs w:val="21"/>
              </w:rPr>
            </w:pPr>
            <w:r>
              <w:rPr>
                <w:rFonts w:hint="eastAsia" w:hAnsi="宋体"/>
                <w:color w:val="000000"/>
                <w:spacing w:val="-20"/>
                <w:sz w:val="21"/>
                <w:szCs w:val="21"/>
              </w:rPr>
              <w:t>集输管线</w:t>
            </w:r>
          </w:p>
        </w:tc>
      </w:tr>
      <w:tr w14:paraId="47E0A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8" w:type="dxa"/>
            <w:tcMar>
              <w:left w:w="28" w:type="dxa"/>
              <w:right w:w="28" w:type="dxa"/>
            </w:tcMar>
            <w:vAlign w:val="center"/>
          </w:tcPr>
          <w:p w14:paraId="2C1CA3B4">
            <w:pPr>
              <w:pStyle w:val="45"/>
              <w:widowControl w:val="0"/>
              <w:spacing w:beforeAutospacing="0" w:afterAutospacing="0" w:line="0" w:lineRule="atLeast"/>
              <w:jc w:val="center"/>
              <w:rPr>
                <w:rFonts w:cs="Times New Roman"/>
                <w:color w:val="000000"/>
                <w:spacing w:val="-20"/>
                <w:kern w:val="2"/>
                <w:sz w:val="21"/>
                <w:szCs w:val="21"/>
              </w:rPr>
            </w:pPr>
            <w:r>
              <w:rPr>
                <w:rFonts w:cs="Times New Roman"/>
                <w:color w:val="000000"/>
                <w:spacing w:val="-20"/>
                <w:kern w:val="2"/>
                <w:sz w:val="21"/>
                <w:szCs w:val="21"/>
              </w:rPr>
              <w:t>3</w:t>
            </w:r>
          </w:p>
        </w:tc>
        <w:tc>
          <w:tcPr>
            <w:tcW w:w="1374" w:type="dxa"/>
            <w:tcMar>
              <w:left w:w="28" w:type="dxa"/>
              <w:right w:w="28" w:type="dxa"/>
            </w:tcMar>
            <w:vAlign w:val="center"/>
          </w:tcPr>
          <w:p w14:paraId="45703A47">
            <w:pPr>
              <w:spacing w:line="0" w:lineRule="atLeast"/>
              <w:jc w:val="center"/>
              <w:textAlignment w:val="center"/>
              <w:rPr>
                <w:rFonts w:hAnsi="宋体" w:cs="宋体"/>
                <w:color w:val="000000"/>
                <w:spacing w:val="-20"/>
                <w:kern w:val="0"/>
                <w:sz w:val="21"/>
                <w:szCs w:val="21"/>
              </w:rPr>
            </w:pPr>
            <w:r>
              <w:rPr>
                <w:rFonts w:hint="eastAsia" w:hAnsi="宋体" w:cs="宋体"/>
                <w:color w:val="000000"/>
                <w:spacing w:val="-20"/>
                <w:kern w:val="0"/>
                <w:sz w:val="21"/>
                <w:szCs w:val="21"/>
              </w:rPr>
              <w:t>硫化氢</w:t>
            </w:r>
          </w:p>
        </w:tc>
        <w:tc>
          <w:tcPr>
            <w:tcW w:w="6551" w:type="dxa"/>
            <w:tcMar>
              <w:left w:w="28" w:type="dxa"/>
              <w:right w:w="28" w:type="dxa"/>
            </w:tcMar>
            <w:vAlign w:val="center"/>
          </w:tcPr>
          <w:p w14:paraId="2D009618">
            <w:pPr>
              <w:spacing w:line="0" w:lineRule="atLeast"/>
              <w:rPr>
                <w:rFonts w:hAnsi="宋体"/>
                <w:color w:val="000000"/>
                <w:spacing w:val="-20"/>
                <w:sz w:val="21"/>
                <w:szCs w:val="21"/>
              </w:rPr>
            </w:pPr>
            <w:r>
              <w:rPr>
                <w:rFonts w:hint="eastAsia" w:hAnsi="宋体"/>
                <w:color w:val="000000"/>
                <w:spacing w:val="-20"/>
                <w:sz w:val="21"/>
                <w:szCs w:val="21"/>
              </w:rPr>
              <w:t>无色酸性气体，有恶臭，熔点：-85.5℃，沸点：-60.4℃，闪点：-50℃；爆炸极限4.0%～46.0V%，溶于水、乙醇</w:t>
            </w:r>
          </w:p>
        </w:tc>
        <w:tc>
          <w:tcPr>
            <w:tcW w:w="602" w:type="dxa"/>
            <w:tcMar>
              <w:left w:w="28" w:type="dxa"/>
              <w:right w:w="28" w:type="dxa"/>
            </w:tcMar>
            <w:vAlign w:val="center"/>
          </w:tcPr>
          <w:p w14:paraId="03DB14B5">
            <w:pPr>
              <w:spacing w:line="0" w:lineRule="atLeast"/>
              <w:jc w:val="center"/>
              <w:rPr>
                <w:rFonts w:hAnsi="宋体"/>
                <w:color w:val="000000"/>
                <w:spacing w:val="-20"/>
                <w:sz w:val="21"/>
                <w:szCs w:val="21"/>
              </w:rPr>
            </w:pPr>
            <w:r>
              <w:rPr>
                <w:rFonts w:hint="eastAsia" w:hAnsi="宋体"/>
                <w:color w:val="000000"/>
                <w:spacing w:val="-20"/>
                <w:sz w:val="21"/>
                <w:szCs w:val="21"/>
              </w:rPr>
              <w:t>集输管线</w:t>
            </w:r>
          </w:p>
        </w:tc>
      </w:tr>
    </w:tbl>
    <w:p w14:paraId="410289BA">
      <w:pPr>
        <w:pStyle w:val="71"/>
        <w:spacing w:before="240" w:line="500" w:lineRule="exact"/>
        <w:jc w:val="both"/>
        <w:rPr>
          <w:rFonts w:hint="eastAsia" w:hAnsi="Calibri" w:cs="Times New Roman"/>
          <w:color w:val="000000"/>
          <w:sz w:val="24"/>
          <w:szCs w:val="24"/>
        </w:rPr>
      </w:pPr>
      <w:r>
        <w:rPr>
          <w:rFonts w:hint="eastAsia" w:hAnsi="Calibri" w:cs="Times New Roman"/>
          <w:color w:val="000000"/>
          <w:sz w:val="24"/>
          <w:szCs w:val="24"/>
        </w:rPr>
        <w:t>5.8.3.2危险物质分布情况</w:t>
      </w:r>
    </w:p>
    <w:p w14:paraId="36479130">
      <w:pPr>
        <w:pStyle w:val="71"/>
        <w:spacing w:line="500" w:lineRule="exact"/>
        <w:ind w:firstLine="540"/>
        <w:jc w:val="left"/>
        <w:rPr>
          <w:rFonts w:hint="eastAsia" w:cs="Times New Roman"/>
          <w:color w:val="000000"/>
          <w:sz w:val="24"/>
          <w:szCs w:val="24"/>
        </w:rPr>
      </w:pPr>
      <w:r>
        <w:rPr>
          <w:rFonts w:hint="eastAsia" w:cs="Times New Roman"/>
          <w:color w:val="000000"/>
          <w:sz w:val="24"/>
          <w:szCs w:val="24"/>
        </w:rPr>
        <w:t>拟建工程危险物质主要分布于集输管线</w:t>
      </w:r>
      <w:r>
        <w:rPr>
          <w:rFonts w:hint="eastAsia"/>
          <w:color w:val="000000"/>
          <w:sz w:val="24"/>
          <w:szCs w:val="24"/>
        </w:rPr>
        <w:t>内</w:t>
      </w:r>
      <w:r>
        <w:rPr>
          <w:rFonts w:hint="eastAsia" w:cs="Times New Roman"/>
          <w:color w:val="000000"/>
          <w:sz w:val="24"/>
          <w:szCs w:val="24"/>
        </w:rPr>
        <w:t>。</w:t>
      </w:r>
    </w:p>
    <w:p w14:paraId="7E99E3D0">
      <w:pPr>
        <w:pStyle w:val="71"/>
        <w:spacing w:line="500" w:lineRule="exact"/>
        <w:jc w:val="both"/>
        <w:rPr>
          <w:rFonts w:hint="eastAsia" w:hAnsi="Calibri" w:cs="Times New Roman"/>
          <w:color w:val="000000"/>
          <w:sz w:val="24"/>
          <w:szCs w:val="24"/>
        </w:rPr>
      </w:pPr>
      <w:r>
        <w:rPr>
          <w:rFonts w:hint="eastAsia" w:hAnsi="Calibri" w:cs="Times New Roman"/>
          <w:color w:val="000000"/>
          <w:sz w:val="24"/>
          <w:szCs w:val="24"/>
        </w:rPr>
        <w:t>5.8.3.3可能影响环境的途径</w:t>
      </w:r>
    </w:p>
    <w:p w14:paraId="7F025596">
      <w:pPr>
        <w:spacing w:line="500" w:lineRule="exact"/>
        <w:ind w:firstLine="526" w:firstLineChars="200"/>
        <w:rPr>
          <w:rFonts w:hint="eastAsia" w:hAnsi="宋体" w:cs="宋体"/>
          <w:color w:val="000000"/>
          <w:kern w:val="24"/>
          <w:szCs w:val="24"/>
        </w:rPr>
      </w:pPr>
      <w:r>
        <w:rPr>
          <w:rFonts w:hint="eastAsia" w:hAnsi="宋体" w:cs="宋体"/>
          <w:color w:val="000000"/>
          <w:kern w:val="24"/>
          <w:szCs w:val="24"/>
        </w:rPr>
        <w:t>根据工程分析，拟建工程开发建设过程中油气集输等环节均接触到易燃、易爆的危险性物质，而且生产工艺条件较苛刻，多为高压操作，因此事故风险较大，可能造成环境危害的风险事故主要包括火灾、爆炸、油品泄漏等，具体危害和环境影响可见表</w:t>
      </w:r>
      <w:r>
        <w:rPr>
          <w:rFonts w:hint="eastAsia" w:hAnsi="宋体"/>
          <w:color w:val="000000"/>
          <w:szCs w:val="24"/>
        </w:rPr>
        <w:t>5.8-2。</w:t>
      </w:r>
    </w:p>
    <w:p w14:paraId="3061F3D9">
      <w:pPr>
        <w:spacing w:line="480" w:lineRule="exact"/>
        <w:ind w:firstLine="515" w:firstLineChars="196"/>
        <w:rPr>
          <w:rFonts w:hint="eastAsia" w:ascii="黑体" w:hAnsi="黑体" w:eastAsia="黑体" w:cs="黑体"/>
          <w:color w:val="000000"/>
          <w:kern w:val="21"/>
          <w:szCs w:val="24"/>
        </w:rPr>
      </w:pPr>
      <w:r>
        <w:rPr>
          <w:rFonts w:hint="eastAsia" w:ascii="黑体" w:hAnsi="黑体" w:eastAsia="黑体" w:cs="宋体"/>
          <w:color w:val="000000"/>
          <w:kern w:val="21"/>
          <w:szCs w:val="24"/>
        </w:rPr>
        <w:t>表</w:t>
      </w:r>
      <w:r>
        <w:rPr>
          <w:rFonts w:hint="eastAsia" w:ascii="黑体" w:hAnsi="黑体" w:eastAsia="黑体" w:cs="宋体"/>
          <w:color w:val="000000"/>
          <w:szCs w:val="24"/>
        </w:rPr>
        <w:t>5.8-2</w:t>
      </w:r>
      <w:r>
        <w:rPr>
          <w:rFonts w:hint="eastAsia" w:ascii="黑体" w:hAnsi="黑体" w:eastAsia="黑体" w:cs="宋体"/>
          <w:color w:val="000000"/>
          <w:kern w:val="21"/>
          <w:szCs w:val="24"/>
        </w:rPr>
        <w:t xml:space="preserve">  </w:t>
      </w:r>
      <w:r>
        <w:rPr>
          <w:rFonts w:hint="eastAsia" w:ascii="黑体" w:hAnsi="黑体" w:eastAsia="黑体" w:cs="黑体"/>
          <w:color w:val="000000"/>
          <w:kern w:val="21"/>
          <w:szCs w:val="24"/>
        </w:rPr>
        <w:t>油气田生产事故风险类型、来源及危害识别一览表</w:t>
      </w:r>
    </w:p>
    <w:tbl>
      <w:tblPr>
        <w:tblStyle w:val="48"/>
        <w:tblW w:w="500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65"/>
        <w:gridCol w:w="805"/>
        <w:gridCol w:w="2312"/>
        <w:gridCol w:w="4352"/>
        <w:gridCol w:w="983"/>
      </w:tblGrid>
      <w:tr w14:paraId="5FDEF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5" w:type="dxa"/>
            <w:tcMar>
              <w:left w:w="28" w:type="dxa"/>
              <w:right w:w="28" w:type="dxa"/>
            </w:tcMar>
            <w:vAlign w:val="center"/>
          </w:tcPr>
          <w:p w14:paraId="6FFBEECC">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功能</w:t>
            </w:r>
          </w:p>
          <w:p w14:paraId="6379F9E7">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单元</w:t>
            </w:r>
          </w:p>
        </w:tc>
        <w:tc>
          <w:tcPr>
            <w:tcW w:w="805" w:type="dxa"/>
            <w:tcMar>
              <w:left w:w="28" w:type="dxa"/>
              <w:right w:w="28" w:type="dxa"/>
            </w:tcMar>
            <w:vAlign w:val="center"/>
          </w:tcPr>
          <w:p w14:paraId="1E462534">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事故</w:t>
            </w:r>
          </w:p>
          <w:p w14:paraId="55FF6F15">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类型</w:t>
            </w:r>
          </w:p>
        </w:tc>
        <w:tc>
          <w:tcPr>
            <w:tcW w:w="2312" w:type="dxa"/>
            <w:tcMar>
              <w:left w:w="28" w:type="dxa"/>
              <w:right w:w="28" w:type="dxa"/>
            </w:tcMar>
            <w:vAlign w:val="center"/>
          </w:tcPr>
          <w:p w14:paraId="6085B996">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事故原因</w:t>
            </w:r>
          </w:p>
        </w:tc>
        <w:tc>
          <w:tcPr>
            <w:tcW w:w="4352" w:type="dxa"/>
            <w:tcMar>
              <w:left w:w="28" w:type="dxa"/>
              <w:right w:w="28" w:type="dxa"/>
            </w:tcMar>
            <w:vAlign w:val="center"/>
          </w:tcPr>
          <w:p w14:paraId="50640AA4">
            <w:pPr>
              <w:spacing w:line="0" w:lineRule="atLeast"/>
              <w:jc w:val="center"/>
              <w:rPr>
                <w:rFonts w:hAnsi="宋体" w:cs="宋体"/>
                <w:bCs/>
                <w:color w:val="000000"/>
                <w:spacing w:val="-10"/>
                <w:kern w:val="24"/>
                <w:sz w:val="21"/>
                <w:szCs w:val="21"/>
              </w:rPr>
            </w:pPr>
            <w:r>
              <w:rPr>
                <w:rFonts w:hint="eastAsia" w:hAnsi="宋体" w:cs="宋体"/>
                <w:bCs/>
                <w:color w:val="000000"/>
                <w:spacing w:val="-10"/>
                <w:kern w:val="24"/>
                <w:sz w:val="21"/>
                <w:szCs w:val="21"/>
              </w:rPr>
              <w:t>事故后果</w:t>
            </w:r>
          </w:p>
        </w:tc>
        <w:tc>
          <w:tcPr>
            <w:tcW w:w="983" w:type="dxa"/>
            <w:tcMar>
              <w:left w:w="28" w:type="dxa"/>
              <w:right w:w="28" w:type="dxa"/>
            </w:tcMar>
            <w:vAlign w:val="center"/>
          </w:tcPr>
          <w:p w14:paraId="7D288087">
            <w:pPr>
              <w:autoSpaceDE w:val="0"/>
              <w:autoSpaceDN w:val="0"/>
              <w:spacing w:line="0" w:lineRule="atLeast"/>
              <w:jc w:val="center"/>
              <w:rPr>
                <w:rFonts w:hint="eastAsia" w:hAnsi="宋体"/>
                <w:color w:val="000000"/>
                <w:spacing w:val="-10"/>
                <w:sz w:val="21"/>
                <w:szCs w:val="21"/>
                <w:lang w:val="zh-CN"/>
              </w:rPr>
            </w:pPr>
            <w:r>
              <w:rPr>
                <w:rFonts w:hint="eastAsia" w:hAnsi="宋体"/>
                <w:color w:val="000000"/>
                <w:spacing w:val="-10"/>
                <w:sz w:val="21"/>
                <w:szCs w:val="21"/>
                <w:lang w:val="zh-CN"/>
              </w:rPr>
              <w:t>环境影响</w:t>
            </w:r>
          </w:p>
          <w:p w14:paraId="2917790C">
            <w:pPr>
              <w:autoSpaceDE w:val="0"/>
              <w:autoSpaceDN w:val="0"/>
              <w:spacing w:line="0" w:lineRule="atLeast"/>
              <w:jc w:val="center"/>
              <w:rPr>
                <w:rFonts w:hAnsi="宋体"/>
                <w:color w:val="000000"/>
                <w:spacing w:val="-10"/>
                <w:sz w:val="21"/>
                <w:szCs w:val="21"/>
                <w:lang w:val="zh-CN"/>
              </w:rPr>
            </w:pPr>
            <w:r>
              <w:rPr>
                <w:rFonts w:hint="eastAsia" w:hAnsi="宋体"/>
                <w:color w:val="000000"/>
                <w:spacing w:val="-10"/>
                <w:sz w:val="21"/>
                <w:szCs w:val="21"/>
                <w:lang w:val="zh-CN"/>
              </w:rPr>
              <w:t>途径</w:t>
            </w:r>
          </w:p>
        </w:tc>
      </w:tr>
      <w:tr w14:paraId="672904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5" w:type="dxa"/>
            <w:tcMar>
              <w:left w:w="28" w:type="dxa"/>
              <w:right w:w="28" w:type="dxa"/>
            </w:tcMar>
            <w:vAlign w:val="center"/>
          </w:tcPr>
          <w:p w14:paraId="025560DF">
            <w:pPr>
              <w:spacing w:line="0" w:lineRule="atLeast"/>
              <w:jc w:val="center"/>
              <w:rPr>
                <w:rFonts w:hint="eastAsia" w:hAnsi="宋体" w:cs="宋体"/>
                <w:bCs/>
                <w:color w:val="000000"/>
                <w:spacing w:val="-10"/>
                <w:kern w:val="24"/>
                <w:sz w:val="21"/>
                <w:szCs w:val="21"/>
              </w:rPr>
            </w:pPr>
            <w:r>
              <w:rPr>
                <w:rFonts w:hint="eastAsia" w:hAnsi="宋体" w:cs="宋体"/>
                <w:bCs/>
                <w:color w:val="000000"/>
                <w:spacing w:val="-10"/>
                <w:kern w:val="24"/>
                <w:sz w:val="21"/>
                <w:szCs w:val="21"/>
              </w:rPr>
              <w:t>管线</w:t>
            </w:r>
          </w:p>
        </w:tc>
        <w:tc>
          <w:tcPr>
            <w:tcW w:w="805" w:type="dxa"/>
            <w:tcMar>
              <w:left w:w="28" w:type="dxa"/>
              <w:right w:w="28" w:type="dxa"/>
            </w:tcMar>
            <w:vAlign w:val="center"/>
          </w:tcPr>
          <w:p w14:paraId="7B0F7D5D">
            <w:pPr>
              <w:spacing w:line="0" w:lineRule="atLeast"/>
              <w:jc w:val="center"/>
              <w:rPr>
                <w:rFonts w:hint="eastAsia" w:hAnsi="宋体" w:cs="宋体"/>
                <w:bCs/>
                <w:color w:val="000000"/>
                <w:spacing w:val="-10"/>
                <w:kern w:val="24"/>
                <w:sz w:val="21"/>
                <w:szCs w:val="21"/>
              </w:rPr>
            </w:pPr>
            <w:r>
              <w:rPr>
                <w:rFonts w:hint="eastAsia" w:hAnsi="宋体" w:cs="宋体"/>
                <w:bCs/>
                <w:color w:val="000000"/>
                <w:spacing w:val="-10"/>
                <w:kern w:val="24"/>
                <w:sz w:val="21"/>
                <w:szCs w:val="21"/>
              </w:rPr>
              <w:t>集输管线泄漏</w:t>
            </w:r>
          </w:p>
        </w:tc>
        <w:tc>
          <w:tcPr>
            <w:tcW w:w="2312" w:type="dxa"/>
            <w:tcMar>
              <w:left w:w="28" w:type="dxa"/>
              <w:right w:w="28" w:type="dxa"/>
            </w:tcMar>
            <w:vAlign w:val="center"/>
          </w:tcPr>
          <w:p w14:paraId="705882CA">
            <w:pPr>
              <w:spacing w:line="0" w:lineRule="atLeast"/>
              <w:jc w:val="center"/>
              <w:rPr>
                <w:rFonts w:hint="eastAsia" w:hAnsi="宋体" w:cs="宋体"/>
                <w:color w:val="000000"/>
                <w:spacing w:val="-10"/>
                <w:kern w:val="24"/>
                <w:sz w:val="21"/>
                <w:szCs w:val="21"/>
              </w:rPr>
            </w:pPr>
            <w:r>
              <w:rPr>
                <w:rFonts w:hint="eastAsia" w:hAnsi="宋体"/>
                <w:color w:val="000000"/>
                <w:spacing w:val="-10"/>
                <w:sz w:val="21"/>
                <w:szCs w:val="21"/>
              </w:rPr>
              <w:t>管道腐蚀，施工、操作不当或自然灾害等外力作用导致管线破裂，导致火灾、爆炸、油品泄漏事故</w:t>
            </w:r>
          </w:p>
        </w:tc>
        <w:tc>
          <w:tcPr>
            <w:tcW w:w="4352" w:type="dxa"/>
            <w:tcMar>
              <w:left w:w="28" w:type="dxa"/>
              <w:right w:w="28" w:type="dxa"/>
            </w:tcMar>
            <w:vAlign w:val="center"/>
          </w:tcPr>
          <w:p w14:paraId="54F4D006">
            <w:pPr>
              <w:spacing w:line="0" w:lineRule="atLeast"/>
              <w:rPr>
                <w:rFonts w:hint="eastAsia" w:hAnsi="宋体" w:cs="宋体"/>
                <w:color w:val="000000"/>
                <w:spacing w:val="-10"/>
                <w:kern w:val="24"/>
                <w:sz w:val="21"/>
                <w:szCs w:val="21"/>
              </w:rPr>
            </w:pPr>
            <w:r>
              <w:rPr>
                <w:rFonts w:hint="eastAsia" w:hAnsi="宋体"/>
                <w:color w:val="000000"/>
                <w:spacing w:val="-10"/>
                <w:sz w:val="21"/>
                <w:szCs w:val="21"/>
              </w:rPr>
              <w:t>油品及天然气泄漏后，遇火源会发生火灾、爆炸事故，燃烧产生的次生</w:t>
            </w:r>
            <w:r>
              <w:rPr>
                <w:rFonts w:hAnsi="宋体"/>
                <w:color w:val="000000"/>
                <w:spacing w:val="-10"/>
                <w:sz w:val="21"/>
                <w:szCs w:val="21"/>
              </w:rPr>
              <w:t>CO</w:t>
            </w:r>
            <w:r>
              <w:rPr>
                <w:rFonts w:hint="eastAsia" w:hAnsi="宋体"/>
                <w:color w:val="000000"/>
                <w:spacing w:val="-10"/>
                <w:sz w:val="21"/>
                <w:szCs w:val="21"/>
              </w:rPr>
              <w:t>引发周围人员</w:t>
            </w:r>
            <w:r>
              <w:rPr>
                <w:rFonts w:hAnsi="宋体"/>
                <w:color w:val="000000"/>
                <w:spacing w:val="-10"/>
                <w:sz w:val="21"/>
                <w:szCs w:val="21"/>
              </w:rPr>
              <w:t>CO</w:t>
            </w:r>
            <w:r>
              <w:rPr>
                <w:rFonts w:hint="eastAsia" w:hAnsi="宋体"/>
                <w:color w:val="000000"/>
                <w:spacing w:val="-10"/>
                <w:sz w:val="21"/>
                <w:szCs w:val="21"/>
              </w:rPr>
              <w:t>中毒事件，采出液中硫化氢气体扩散至环境空气中，进而可能引发员工硫化氢中毒事件，油类物质渗流至地下水</w:t>
            </w:r>
          </w:p>
        </w:tc>
        <w:tc>
          <w:tcPr>
            <w:tcW w:w="983" w:type="dxa"/>
            <w:tcMar>
              <w:left w:w="28" w:type="dxa"/>
              <w:right w:w="28" w:type="dxa"/>
            </w:tcMar>
            <w:vAlign w:val="center"/>
          </w:tcPr>
          <w:p w14:paraId="36E0ED96">
            <w:pPr>
              <w:autoSpaceDE w:val="0"/>
              <w:autoSpaceDN w:val="0"/>
              <w:spacing w:line="0" w:lineRule="atLeast"/>
              <w:jc w:val="center"/>
              <w:rPr>
                <w:rFonts w:hint="eastAsia" w:hAnsi="宋体"/>
                <w:color w:val="000000"/>
                <w:spacing w:val="-10"/>
                <w:sz w:val="21"/>
                <w:szCs w:val="21"/>
              </w:rPr>
            </w:pPr>
            <w:r>
              <w:rPr>
                <w:rFonts w:hint="eastAsia" w:hAnsi="宋体"/>
                <w:color w:val="000000"/>
                <w:spacing w:val="-10"/>
                <w:sz w:val="21"/>
                <w:szCs w:val="21"/>
                <w:lang w:bidi="ar"/>
              </w:rPr>
              <w:t>大气、地下水</w:t>
            </w:r>
          </w:p>
        </w:tc>
      </w:tr>
    </w:tbl>
    <w:p w14:paraId="4E8336C1">
      <w:pPr>
        <w:tabs>
          <w:tab w:val="left" w:pos="1134"/>
        </w:tabs>
        <w:spacing w:before="240" w:line="480" w:lineRule="exact"/>
        <w:outlineLvl w:val="2"/>
        <w:rPr>
          <w:rFonts w:hint="eastAsia" w:hAnsi="宋体" w:cs="宋体"/>
          <w:color w:val="000000"/>
          <w:szCs w:val="24"/>
        </w:rPr>
      </w:pPr>
      <w:r>
        <w:rPr>
          <w:rFonts w:hint="eastAsia" w:hAnsi="宋体" w:cs="宋体"/>
          <w:color w:val="000000"/>
          <w:szCs w:val="24"/>
        </w:rPr>
        <w:t>5.8.4 环境风险事故情形分析</w:t>
      </w:r>
    </w:p>
    <w:p w14:paraId="0D8CBE44">
      <w:pPr>
        <w:spacing w:line="480" w:lineRule="exact"/>
        <w:ind w:firstLine="526" w:firstLineChars="200"/>
        <w:rPr>
          <w:rFonts w:hint="eastAsia" w:hAnsi="宋体" w:cs="宋体"/>
          <w:color w:val="000000"/>
          <w:szCs w:val="24"/>
        </w:rPr>
      </w:pPr>
      <w:r>
        <w:rPr>
          <w:rFonts w:hint="eastAsia" w:hAnsi="宋体" w:cs="宋体"/>
          <w:color w:val="000000"/>
          <w:kern w:val="0"/>
          <w:szCs w:val="24"/>
          <w:lang w:bidi="ar"/>
        </w:rPr>
        <w:t xml:space="preserve">根据《建设项目环境风险评价技术导则》（HJ 169-2018），在风险识别的基础上，选择对环境影响较大并具有代表性的事故类型，设定风险事故情形。风险事故情形设定内容应包括环境风险类型、风险源、危险单元、危险物质和影响途径等。 </w:t>
      </w:r>
    </w:p>
    <w:p w14:paraId="200FA955">
      <w:pPr>
        <w:spacing w:line="500" w:lineRule="exact"/>
        <w:ind w:firstLine="526" w:firstLineChars="200"/>
        <w:rPr>
          <w:rFonts w:hint="eastAsia" w:hAnsi="宋体"/>
          <w:color w:val="000000"/>
          <w:szCs w:val="24"/>
        </w:rPr>
      </w:pPr>
      <w:r>
        <w:rPr>
          <w:rFonts w:hint="eastAsia" w:hAnsi="宋体" w:cs="宋体"/>
          <w:color w:val="000000"/>
          <w:kern w:val="0"/>
          <w:szCs w:val="24"/>
          <w:lang w:bidi="ar"/>
        </w:rPr>
        <w:t>拟建工程环境风险来自主要危险源的事故性泄漏，根据风险源识别结果，集输管线泄漏为具有代表性的事故类型，因此，本次评价确定项目最大可信事故类型为：集输管线泄漏，并引发火灾、爆炸引起大气环境污染及风险伤害，及火灾引发伴生/次生污染物的影响。</w:t>
      </w:r>
    </w:p>
    <w:p w14:paraId="06495A4D">
      <w:pPr>
        <w:spacing w:line="500" w:lineRule="exact"/>
        <w:outlineLvl w:val="2"/>
        <w:rPr>
          <w:rFonts w:hint="eastAsia" w:hAnsi="宋体"/>
          <w:color w:val="000000"/>
          <w:szCs w:val="24"/>
        </w:rPr>
      </w:pPr>
      <w:r>
        <w:rPr>
          <w:rFonts w:hint="eastAsia" w:hAnsi="宋体"/>
          <w:color w:val="000000"/>
          <w:szCs w:val="24"/>
        </w:rPr>
        <w:t>5.8.5 环境风险分析</w:t>
      </w:r>
    </w:p>
    <w:p w14:paraId="5EA3C3BB">
      <w:pPr>
        <w:pStyle w:val="71"/>
        <w:spacing w:line="500" w:lineRule="exact"/>
        <w:ind w:firstLine="526" w:firstLineChars="200"/>
        <w:jc w:val="both"/>
        <w:rPr>
          <w:rFonts w:hint="eastAsia"/>
          <w:color w:val="000000"/>
          <w:sz w:val="24"/>
          <w:szCs w:val="24"/>
        </w:rPr>
      </w:pPr>
      <w:r>
        <w:rPr>
          <w:rFonts w:hint="eastAsia"/>
          <w:color w:val="000000"/>
          <w:sz w:val="24"/>
          <w:szCs w:val="24"/>
        </w:rPr>
        <w:t>（1）大气环境风险分析</w:t>
      </w:r>
    </w:p>
    <w:p w14:paraId="61BC258C">
      <w:pPr>
        <w:spacing w:line="500" w:lineRule="exact"/>
        <w:ind w:firstLine="526" w:firstLineChars="200"/>
        <w:rPr>
          <w:rFonts w:hint="eastAsia" w:hAnsi="宋体" w:cs="宋体"/>
          <w:color w:val="000000"/>
          <w:szCs w:val="24"/>
        </w:rPr>
      </w:pPr>
      <w:r>
        <w:rPr>
          <w:rFonts w:hint="eastAsia" w:hAnsi="宋体" w:cs="宋体"/>
          <w:color w:val="000000"/>
          <w:szCs w:val="24"/>
        </w:rPr>
        <w:t>在管道压力下，加压集输油气泄漏时</w:t>
      </w:r>
      <w:r>
        <w:rPr>
          <w:rFonts w:hint="eastAsia" w:hAnsi="宋体"/>
          <w:color w:val="000000"/>
          <w:szCs w:val="24"/>
        </w:rPr>
        <w:t>，</w:t>
      </w:r>
      <w:r>
        <w:rPr>
          <w:rFonts w:hint="eastAsia" w:hAnsi="宋体" w:cs="宋体"/>
          <w:color w:val="000000"/>
          <w:szCs w:val="24"/>
        </w:rPr>
        <w:t>油品从裂口流出后遇明火燃烧，发生火灾爆炸事故，燃烧产生的次生CO引发周围人员CO中毒事件；采出液中硫化氢气体扩散至环境空气中，进而可能引发员工硫化氢中毒事件。同时拟建工程油气管线采用质量较好的材质，且有泄漏气体检测设施，塔中采油气管理区负责管理拟建工程的运行管理，制订有突发环境事件应急预案，备有相应的应急物资，采取了各类环境风险防范措施，以便在油气管道泄漏时能够及时发现，在采取突发环境事件应急预案中规定的防护措施后，油气管道发生火灾爆炸概率较低，拟建工程所处地点开阔，天然气中H</w:t>
      </w:r>
      <w:r>
        <w:rPr>
          <w:rFonts w:hint="eastAsia" w:hAnsi="宋体" w:cs="宋体"/>
          <w:color w:val="000000"/>
          <w:szCs w:val="24"/>
          <w:vertAlign w:val="subscript"/>
        </w:rPr>
        <w:t>2</w:t>
      </w:r>
      <w:r>
        <w:rPr>
          <w:rFonts w:hint="eastAsia" w:hAnsi="宋体" w:cs="宋体"/>
          <w:color w:val="000000"/>
          <w:szCs w:val="24"/>
        </w:rPr>
        <w:t>S的扩散量及扩散浓度较小，地处开阔有利于H</w:t>
      </w:r>
      <w:r>
        <w:rPr>
          <w:rFonts w:hint="eastAsia" w:hAnsi="宋体" w:cs="宋体"/>
          <w:color w:val="000000"/>
          <w:szCs w:val="24"/>
          <w:vertAlign w:val="subscript"/>
        </w:rPr>
        <w:t>2</w:t>
      </w:r>
      <w:r>
        <w:rPr>
          <w:rFonts w:hint="eastAsia" w:hAnsi="宋体" w:cs="宋体"/>
          <w:color w:val="000000"/>
          <w:szCs w:val="24"/>
        </w:rPr>
        <w:t>S稀释，对周围环境及人员影响较小。</w:t>
      </w:r>
    </w:p>
    <w:p w14:paraId="4D3C471B">
      <w:pPr>
        <w:pStyle w:val="71"/>
        <w:spacing w:line="500" w:lineRule="exact"/>
        <w:ind w:firstLine="526" w:firstLineChars="200"/>
        <w:jc w:val="both"/>
        <w:rPr>
          <w:rFonts w:hint="eastAsia"/>
          <w:color w:val="000000"/>
          <w:sz w:val="24"/>
          <w:szCs w:val="24"/>
        </w:rPr>
      </w:pPr>
      <w:r>
        <w:rPr>
          <w:rFonts w:hint="eastAsia"/>
          <w:color w:val="000000"/>
          <w:sz w:val="24"/>
          <w:szCs w:val="24"/>
        </w:rPr>
        <w:t>（2）地表水环境风险分析</w:t>
      </w:r>
    </w:p>
    <w:p w14:paraId="43D8CC6F">
      <w:pPr>
        <w:spacing w:line="500" w:lineRule="exact"/>
        <w:ind w:firstLine="526" w:firstLineChars="200"/>
        <w:rPr>
          <w:rFonts w:hint="eastAsia" w:hAnsi="宋体" w:cs="宋体"/>
          <w:color w:val="000000"/>
          <w:szCs w:val="24"/>
        </w:rPr>
      </w:pPr>
      <w:r>
        <w:rPr>
          <w:rFonts w:hint="eastAsia" w:hAnsi="宋体" w:cs="宋体"/>
          <w:color w:val="000000"/>
          <w:szCs w:val="24"/>
        </w:rPr>
        <w:t>拟建工程在发生安全生产事故造成油品泄漏主要集中在管线区域范围，加之泄漏油品量较少且基本上能够及时地完全回收，且项目距塔里木河较远，因此在事故下造成油品泄漏不会对区域地表河流造成污染。</w:t>
      </w:r>
    </w:p>
    <w:p w14:paraId="25BE50A7">
      <w:pPr>
        <w:pStyle w:val="71"/>
        <w:spacing w:line="500" w:lineRule="exact"/>
        <w:ind w:firstLine="526" w:firstLineChars="200"/>
        <w:jc w:val="both"/>
        <w:rPr>
          <w:rFonts w:hint="eastAsia"/>
          <w:color w:val="000000"/>
          <w:sz w:val="24"/>
          <w:szCs w:val="24"/>
        </w:rPr>
      </w:pPr>
      <w:r>
        <w:rPr>
          <w:rFonts w:hint="eastAsia"/>
          <w:color w:val="000000"/>
          <w:sz w:val="24"/>
          <w:szCs w:val="24"/>
        </w:rPr>
        <w:t>（3）地下水环境风险分析</w:t>
      </w:r>
    </w:p>
    <w:p w14:paraId="28FBFC56">
      <w:pPr>
        <w:spacing w:line="500" w:lineRule="exact"/>
        <w:ind w:firstLine="526" w:firstLineChars="200"/>
        <w:rPr>
          <w:rFonts w:hint="eastAsia" w:hAnsi="宋体" w:cs="宋体"/>
          <w:color w:val="000000"/>
          <w:szCs w:val="24"/>
        </w:rPr>
      </w:pPr>
      <w:r>
        <w:rPr>
          <w:rFonts w:hint="eastAsia" w:hAnsi="宋体" w:cs="宋体"/>
          <w:color w:val="000000"/>
          <w:szCs w:val="24"/>
        </w:rPr>
        <w:t>拟建工程建成投产后，正常状态下无废水直接外排。非正常状态下，油品中的石油类在下渗过程中易受包气带的吸附作用影响，不易迁移至含水层，但在防渗措施老化破损油品泄漏的情况下，石油类在下渗过程受包气带的吸附作用以后，也会不可避免的对地下水水质产生一定的影响，但影响范围很小，本评价要求建设单位加强环境管理，定期对管线进行检查，避免因</w:t>
      </w:r>
      <w:r>
        <w:rPr>
          <w:rFonts w:hint="eastAsia" w:hAnsi="宋体" w:cs="宋体"/>
          <w:color w:val="000000"/>
          <w:kern w:val="24"/>
          <w:szCs w:val="24"/>
        </w:rPr>
        <w:t>管材质量缺陷、管道腐蚀</w:t>
      </w:r>
      <w:r>
        <w:rPr>
          <w:rFonts w:hint="eastAsia" w:hAnsi="宋体" w:cs="宋体"/>
          <w:color w:val="000000"/>
          <w:szCs w:val="24"/>
        </w:rPr>
        <w:t>老化破损造成油品泄漏。因此在事故下造成油水泄漏对区域地下水造成污染的环境风险可防控。</w:t>
      </w:r>
    </w:p>
    <w:p w14:paraId="1668B6B3">
      <w:pPr>
        <w:spacing w:line="480" w:lineRule="exact"/>
        <w:outlineLvl w:val="2"/>
        <w:rPr>
          <w:rFonts w:hint="eastAsia" w:hAnsi="宋体" w:cs="宋体"/>
          <w:color w:val="000000"/>
          <w:szCs w:val="24"/>
        </w:rPr>
      </w:pPr>
      <w:r>
        <w:rPr>
          <w:rFonts w:hint="eastAsia" w:hAnsi="宋体" w:cs="宋体"/>
          <w:color w:val="000000"/>
          <w:szCs w:val="24"/>
        </w:rPr>
        <w:t>5.8.6环境风险管理</w:t>
      </w:r>
    </w:p>
    <w:p w14:paraId="54958879">
      <w:pPr>
        <w:spacing w:line="480" w:lineRule="exact"/>
        <w:ind w:firstLine="526" w:firstLineChars="200"/>
        <w:rPr>
          <w:rFonts w:hint="eastAsia" w:hAnsi="宋体" w:cs="宋体"/>
          <w:color w:val="000000"/>
          <w:szCs w:val="24"/>
        </w:rPr>
      </w:pPr>
      <w:r>
        <w:rPr>
          <w:rFonts w:hint="eastAsia" w:hAnsi="宋体" w:cs="宋体"/>
          <w:color w:val="000000"/>
          <w:szCs w:val="24"/>
        </w:rPr>
        <w:t>各种事故都可以采取必要的预防措施，以减少事故的发生或使事故造成的危害降低到最低限度。结合拟建工程特点，采取以下风险防范措施。</w:t>
      </w:r>
    </w:p>
    <w:p w14:paraId="4351C4AD">
      <w:pPr>
        <w:spacing w:line="480" w:lineRule="exact"/>
        <w:outlineLvl w:val="3"/>
        <w:rPr>
          <w:rFonts w:hint="eastAsia" w:hAnsi="宋体" w:cs="宋体"/>
          <w:color w:val="000000"/>
          <w:szCs w:val="24"/>
        </w:rPr>
      </w:pPr>
      <w:r>
        <w:rPr>
          <w:rFonts w:hint="eastAsia" w:hAnsi="宋体" w:cs="宋体"/>
          <w:color w:val="000000"/>
          <w:szCs w:val="24"/>
        </w:rPr>
        <w:t>5.8.6.1</w:t>
      </w:r>
      <w:r>
        <w:rPr>
          <w:rFonts w:hint="eastAsia" w:hAnsi="宋体"/>
          <w:color w:val="000000"/>
          <w:szCs w:val="24"/>
        </w:rPr>
        <w:t>管道</w:t>
      </w:r>
      <w:r>
        <w:rPr>
          <w:rFonts w:hint="eastAsia" w:hAnsi="宋体" w:cs="宋体"/>
          <w:color w:val="000000"/>
          <w:szCs w:val="24"/>
        </w:rPr>
        <w:t>事故风险预防措施</w:t>
      </w:r>
    </w:p>
    <w:p w14:paraId="3F870406">
      <w:pPr>
        <w:spacing w:line="480" w:lineRule="exact"/>
        <w:ind w:firstLine="526" w:firstLineChars="200"/>
        <w:rPr>
          <w:rFonts w:hint="eastAsia" w:hAnsi="宋体" w:cs="宋体"/>
          <w:color w:val="000000"/>
          <w:szCs w:val="24"/>
        </w:rPr>
      </w:pPr>
      <w:r>
        <w:rPr>
          <w:rFonts w:hint="eastAsia" w:hAnsi="宋体" w:cs="宋体"/>
          <w:color w:val="000000"/>
          <w:szCs w:val="24"/>
        </w:rPr>
        <w:t>（1）施工阶段的事故防范措施</w:t>
      </w:r>
    </w:p>
    <w:p w14:paraId="73350052">
      <w:pPr>
        <w:spacing w:line="480" w:lineRule="exact"/>
        <w:ind w:firstLine="526" w:firstLineChars="200"/>
        <w:rPr>
          <w:rFonts w:hint="eastAsia" w:hAnsi="宋体" w:cs="宋体"/>
          <w:color w:val="000000"/>
          <w:szCs w:val="24"/>
        </w:rPr>
      </w:pPr>
      <w:r>
        <w:rPr>
          <w:rFonts w:hint="eastAsia" w:hAnsi="宋体" w:cs="宋体"/>
          <w:color w:val="000000"/>
          <w:szCs w:val="24"/>
        </w:rPr>
        <w:t>①管道敷设安装前，应加强对管材质量的检查，严禁使用不合格产品。在施工过程中加强监理，确保施工质量。</w:t>
      </w:r>
    </w:p>
    <w:p w14:paraId="41E33C2D">
      <w:pPr>
        <w:spacing w:line="480" w:lineRule="exact"/>
        <w:ind w:firstLine="526" w:firstLineChars="200"/>
        <w:rPr>
          <w:rFonts w:hAnsi="宋体" w:cs="宋体"/>
          <w:color w:val="000000"/>
          <w:szCs w:val="24"/>
        </w:rPr>
      </w:pPr>
      <w:r>
        <w:rPr>
          <w:rFonts w:hint="eastAsia" w:hAnsi="宋体" w:cs="宋体"/>
          <w:color w:val="000000"/>
          <w:szCs w:val="24"/>
        </w:rPr>
        <w:t>②建立施工质量保证体系，提高施工检验人员水平，加强检验手段。</w:t>
      </w:r>
    </w:p>
    <w:p w14:paraId="3B1C68E7">
      <w:pPr>
        <w:spacing w:line="480" w:lineRule="exact"/>
        <w:ind w:firstLine="526" w:firstLineChars="200"/>
        <w:rPr>
          <w:rFonts w:hAnsi="宋体" w:cs="宋体"/>
          <w:color w:val="000000"/>
          <w:szCs w:val="24"/>
        </w:rPr>
      </w:pPr>
      <w:r>
        <w:rPr>
          <w:rFonts w:hint="eastAsia" w:hAnsi="宋体" w:cs="宋体"/>
          <w:color w:val="000000"/>
          <w:szCs w:val="24"/>
        </w:rPr>
        <w:t>（</w:t>
      </w:r>
      <w:r>
        <w:rPr>
          <w:rFonts w:hAnsi="宋体" w:cs="宋体"/>
          <w:color w:val="000000"/>
          <w:szCs w:val="24"/>
        </w:rPr>
        <w:t>2</w:t>
      </w:r>
      <w:r>
        <w:rPr>
          <w:rFonts w:hint="eastAsia" w:hAnsi="宋体" w:cs="宋体"/>
          <w:color w:val="000000"/>
          <w:szCs w:val="24"/>
        </w:rPr>
        <w:t>）运行阶段的事故防范措施</w:t>
      </w:r>
    </w:p>
    <w:p w14:paraId="32F83410">
      <w:pPr>
        <w:spacing w:line="480" w:lineRule="exact"/>
        <w:ind w:firstLine="526" w:firstLineChars="200"/>
        <w:rPr>
          <w:rFonts w:hAnsi="宋体" w:cs="宋体"/>
          <w:color w:val="000000"/>
          <w:szCs w:val="24"/>
        </w:rPr>
      </w:pPr>
      <w:r>
        <w:rPr>
          <w:rFonts w:hint="eastAsia" w:hAnsi="宋体" w:cs="宋体"/>
          <w:color w:val="000000"/>
          <w:szCs w:val="24"/>
        </w:rPr>
        <w:t>①定期对管线进行超声波检查，对壁厚低于规定要求的管段及时更换，消除爆管和泄漏的隐患。</w:t>
      </w:r>
    </w:p>
    <w:p w14:paraId="514A4A88">
      <w:pPr>
        <w:spacing w:line="480" w:lineRule="exact"/>
        <w:ind w:firstLine="526" w:firstLineChars="200"/>
        <w:rPr>
          <w:rFonts w:hint="eastAsia" w:hAnsi="宋体" w:cs="宋体"/>
          <w:color w:val="000000"/>
          <w:szCs w:val="24"/>
        </w:rPr>
      </w:pPr>
      <w:r>
        <w:rPr>
          <w:rFonts w:hint="eastAsia" w:hAnsi="宋体" w:cs="宋体"/>
          <w:color w:val="000000"/>
          <w:szCs w:val="24"/>
        </w:rPr>
        <w:t>②</w:t>
      </w:r>
      <w:r>
        <w:rPr>
          <w:rFonts w:hint="eastAsia" w:hAnsi="宋体" w:cs="宋体"/>
          <w:color w:val="000000"/>
          <w:kern w:val="0"/>
          <w:szCs w:val="24"/>
        </w:rPr>
        <w:t>定期检查管线上的阀门及其连接法兰的状况，防止泄漏发生。</w:t>
      </w:r>
    </w:p>
    <w:p w14:paraId="23DFD3DD">
      <w:pPr>
        <w:spacing w:line="480" w:lineRule="exact"/>
        <w:ind w:firstLine="526" w:firstLineChars="200"/>
        <w:rPr>
          <w:rFonts w:hint="eastAsia" w:hAnsi="宋体" w:cs="宋体"/>
          <w:color w:val="000000"/>
          <w:szCs w:val="24"/>
        </w:rPr>
      </w:pPr>
      <w:r>
        <w:rPr>
          <w:rFonts w:hint="eastAsia" w:hAnsi="宋体" w:cs="宋体"/>
          <w:color w:val="000000"/>
          <w:szCs w:val="24"/>
        </w:rPr>
        <w:t>③制定巡线制度，并设置专门巡线工，定时对管道进行巡视，加大巡线频率，提高巡线的有效性，发现对管线安全有影响的行为，应及时制止、采取相应措施并及时向上级汇报。</w:t>
      </w:r>
    </w:p>
    <w:p w14:paraId="7A3600D6">
      <w:pPr>
        <w:spacing w:line="480" w:lineRule="exact"/>
        <w:ind w:firstLine="526" w:firstLineChars="200"/>
        <w:rPr>
          <w:rFonts w:hAnsi="宋体" w:cs="宋体"/>
          <w:color w:val="000000"/>
          <w:szCs w:val="24"/>
        </w:rPr>
      </w:pPr>
      <w:r>
        <w:rPr>
          <w:rFonts w:hint="eastAsia"/>
          <w:color w:val="000000"/>
          <w:szCs w:val="24"/>
        </w:rPr>
        <w:t>④</w:t>
      </w:r>
      <w:r>
        <w:rPr>
          <w:rFonts w:hint="eastAsia" w:hAnsi="宋体" w:cs="宋体"/>
          <w:color w:val="000000"/>
          <w:szCs w:val="24"/>
        </w:rPr>
        <w:t>利用管线的压力、流量监控系统，发现异常立即排查，若出现问题，立即派人现场核查，如有突发事件启动应急预案。</w:t>
      </w:r>
    </w:p>
    <w:p w14:paraId="5D5D3146">
      <w:pPr>
        <w:spacing w:line="480" w:lineRule="exact"/>
        <w:ind w:firstLine="526" w:firstLineChars="200"/>
        <w:rPr>
          <w:rFonts w:hint="eastAsia" w:hAnsi="宋体" w:cs="宋体"/>
          <w:color w:val="000000"/>
          <w:szCs w:val="24"/>
        </w:rPr>
      </w:pPr>
      <w:r>
        <w:rPr>
          <w:rFonts w:hint="eastAsia"/>
          <w:color w:val="000000"/>
          <w:szCs w:val="24"/>
        </w:rPr>
        <w:t>⑤在管线上方设置标志，以防附近的各类施工活动对管线的破坏。定期检查管线，并配备适当的管道抢修、灭火及人员抢救设备。</w:t>
      </w:r>
    </w:p>
    <w:p w14:paraId="2E2DA930">
      <w:pPr>
        <w:spacing w:line="480" w:lineRule="exact"/>
        <w:outlineLvl w:val="3"/>
        <w:rPr>
          <w:rFonts w:hint="eastAsia" w:hAnsi="宋体" w:cs="宋体"/>
          <w:color w:val="000000"/>
          <w:szCs w:val="24"/>
        </w:rPr>
      </w:pPr>
      <w:r>
        <w:rPr>
          <w:rFonts w:hint="eastAsia" w:hAnsi="宋体" w:cs="宋体"/>
          <w:color w:val="000000"/>
          <w:szCs w:val="24"/>
        </w:rPr>
        <w:t>5.8.6.2 H</w:t>
      </w:r>
      <w:r>
        <w:rPr>
          <w:rFonts w:hint="eastAsia" w:hAnsi="宋体" w:cs="宋体"/>
          <w:color w:val="000000"/>
          <w:szCs w:val="24"/>
          <w:vertAlign w:val="subscript"/>
        </w:rPr>
        <w:t>2</w:t>
      </w:r>
      <w:r>
        <w:rPr>
          <w:rFonts w:hint="eastAsia" w:hAnsi="宋体" w:cs="宋体"/>
          <w:color w:val="000000"/>
          <w:szCs w:val="24"/>
        </w:rPr>
        <w:t>S气体泄漏风险防范措施</w:t>
      </w:r>
    </w:p>
    <w:p w14:paraId="248E4DBE">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（1）硫化氢监测与安全防护</w:t>
      </w:r>
    </w:p>
    <w:p w14:paraId="541737A3">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硫化氢监测与安全防护应按照《硫化氢环境人身防护规范》（SY/T 6277-2017）和《硫化氢环境天然气采集与处理安全规范》（SY/T6137-2017）要求进行。</w:t>
      </w:r>
    </w:p>
    <w:p w14:paraId="7F59C5B8">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①作业人员巡检时应携带硫化氢监测仪（第1级预警阈值应设置为15mg/m</w:t>
      </w:r>
      <w:r>
        <w:rPr>
          <w:rFonts w:hint="eastAsia" w:hAnsi="宋体" w:cs="宋体"/>
          <w:color w:val="000000"/>
          <w:kern w:val="21"/>
          <w:szCs w:val="24"/>
          <w:vertAlign w:val="superscript"/>
        </w:rPr>
        <w:t>3</w:t>
      </w:r>
      <w:r>
        <w:rPr>
          <w:rFonts w:hint="eastAsia" w:hAnsi="宋体" w:cs="宋体"/>
          <w:color w:val="000000"/>
          <w:kern w:val="21"/>
          <w:szCs w:val="24"/>
        </w:rPr>
        <w:t>（或10ppm），第2级报警阈值应设置为30mg/m</w:t>
      </w:r>
      <w:r>
        <w:rPr>
          <w:rFonts w:hint="eastAsia" w:hAnsi="宋体" w:cs="宋体"/>
          <w:color w:val="000000"/>
          <w:kern w:val="21"/>
          <w:szCs w:val="24"/>
          <w:vertAlign w:val="superscript"/>
        </w:rPr>
        <w:t>3</w:t>
      </w:r>
      <w:r>
        <w:rPr>
          <w:rFonts w:hint="eastAsia" w:hAnsi="宋体" w:cs="宋体"/>
          <w:color w:val="000000"/>
          <w:kern w:val="21"/>
          <w:szCs w:val="24"/>
        </w:rPr>
        <w:t>（或20ppm）），进入作业区域应注意是否有报警信号。</w:t>
      </w:r>
    </w:p>
    <w:p w14:paraId="680F1BD5">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②作业人员在检修和抢险作业时应携硫化氢监测仪和正压式空气呼吸器。</w:t>
      </w:r>
    </w:p>
    <w:p w14:paraId="44343195">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③当监测到空气中硫化氢的浓度达到15mg/m</w:t>
      </w:r>
      <w:r>
        <w:rPr>
          <w:rFonts w:hint="eastAsia" w:hAnsi="宋体" w:cs="宋体"/>
          <w:color w:val="000000"/>
          <w:kern w:val="21"/>
          <w:szCs w:val="24"/>
          <w:vertAlign w:val="superscript"/>
        </w:rPr>
        <w:t>3</w:t>
      </w:r>
      <w:r>
        <w:rPr>
          <w:rFonts w:hint="eastAsia" w:hAnsi="宋体" w:cs="宋体"/>
          <w:color w:val="000000"/>
          <w:kern w:val="21"/>
          <w:szCs w:val="24"/>
        </w:rPr>
        <w:t>（或10ppm）时，作业人员应检查泄漏点，准备防护用具，实施应急程序。</w:t>
      </w:r>
    </w:p>
    <w:p w14:paraId="25A340F7">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④当监测到空气中硫化氢的浓度达到30mg/m</w:t>
      </w:r>
      <w:r>
        <w:rPr>
          <w:rFonts w:hint="eastAsia" w:hAnsi="宋体" w:cs="宋体"/>
          <w:color w:val="000000"/>
          <w:kern w:val="21"/>
          <w:szCs w:val="24"/>
          <w:vertAlign w:val="superscript"/>
        </w:rPr>
        <w:t>3</w:t>
      </w:r>
      <w:r>
        <w:rPr>
          <w:rFonts w:hint="eastAsia" w:hAnsi="宋体" w:cs="宋体"/>
          <w:color w:val="000000"/>
          <w:kern w:val="21"/>
          <w:szCs w:val="24"/>
        </w:rPr>
        <w:t>（或20ppm）时，应迅速疏散人员。作业人员应戴上防护用具，进入紧急状态，立即实施应急方案。</w:t>
      </w:r>
    </w:p>
    <w:p w14:paraId="3F75214E">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⑤当监测到空气中硫化氢浓度达到150mg/m</w:t>
      </w:r>
      <w:r>
        <w:rPr>
          <w:rFonts w:hint="eastAsia" w:hAnsi="宋体" w:cs="宋体"/>
          <w:color w:val="000000"/>
          <w:kern w:val="21"/>
          <w:szCs w:val="24"/>
          <w:vertAlign w:val="superscript"/>
        </w:rPr>
        <w:t>3</w:t>
      </w:r>
      <w:r>
        <w:rPr>
          <w:rFonts w:hint="eastAsia" w:hAnsi="宋体" w:cs="宋体"/>
          <w:color w:val="000000"/>
          <w:kern w:val="21"/>
          <w:szCs w:val="24"/>
        </w:rPr>
        <w:t>（或100ppm）时，应组织周边危险区域内的作业人员有秩序地迅速向上风向撤离到安全区域。</w:t>
      </w:r>
    </w:p>
    <w:p w14:paraId="13CAE4A2">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（2）预防措施</w:t>
      </w:r>
    </w:p>
    <w:p w14:paraId="742E4690">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在含硫化氢环境中的作业人员上岗前都应接受H</w:t>
      </w:r>
      <w:r>
        <w:rPr>
          <w:rFonts w:hint="eastAsia" w:hAnsi="宋体" w:cs="宋体"/>
          <w:color w:val="000000"/>
          <w:kern w:val="21"/>
          <w:szCs w:val="24"/>
          <w:vertAlign w:val="subscript"/>
        </w:rPr>
        <w:t>2</w:t>
      </w:r>
      <w:r>
        <w:rPr>
          <w:rFonts w:hint="eastAsia" w:hAnsi="宋体" w:cs="宋体"/>
          <w:color w:val="000000"/>
          <w:kern w:val="21"/>
          <w:szCs w:val="24"/>
        </w:rPr>
        <w:t>S危害及人身防护措施的培训，经考核合格后方能持证上岗。</w:t>
      </w:r>
    </w:p>
    <w:p w14:paraId="49146230">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①为避免无风和微风情况下硫化氢的积聚，可以使用防爆通风设备将有毒气体吹往期望的方向。</w:t>
      </w:r>
    </w:p>
    <w:p w14:paraId="5F5E7A10">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②应特别注意低洼的工作区域，由于较重的硫化氢在这些地点的沉积，可能会达到有害的浓度。</w:t>
      </w:r>
    </w:p>
    <w:p w14:paraId="208DD477">
      <w:pPr>
        <w:spacing w:line="480" w:lineRule="exact"/>
        <w:ind w:firstLine="526" w:firstLineChars="200"/>
        <w:rPr>
          <w:rFonts w:hint="eastAsia" w:hAnsi="宋体" w:cs="宋体"/>
          <w:color w:val="000000"/>
          <w:kern w:val="21"/>
          <w:szCs w:val="24"/>
        </w:rPr>
      </w:pPr>
      <w:r>
        <w:rPr>
          <w:rFonts w:hint="eastAsia" w:hAnsi="宋体" w:cs="宋体"/>
          <w:color w:val="000000"/>
          <w:kern w:val="21"/>
          <w:szCs w:val="24"/>
        </w:rPr>
        <w:t>③当人员在达到硫化氢危险临界浓度〔150mg/m</w:t>
      </w:r>
      <w:r>
        <w:rPr>
          <w:rFonts w:hint="eastAsia" w:hAnsi="宋体" w:cs="宋体"/>
          <w:color w:val="000000"/>
          <w:kern w:val="21"/>
          <w:szCs w:val="24"/>
          <w:vertAlign w:val="superscript"/>
        </w:rPr>
        <w:t>3</w:t>
      </w:r>
      <w:r>
        <w:rPr>
          <w:rFonts w:hint="eastAsia" w:hAnsi="宋体" w:cs="宋体"/>
          <w:color w:val="000000"/>
          <w:kern w:val="21"/>
          <w:szCs w:val="24"/>
        </w:rPr>
        <w:t>（100ppm）〕的大气环境中执行任务时，应有接受过救护技术培训的值班救护人员，同时应备有必要的救护设备，包括适用的呼吸器具。</w:t>
      </w:r>
    </w:p>
    <w:p w14:paraId="5C3A42EB">
      <w:pPr>
        <w:pStyle w:val="47"/>
        <w:spacing w:after="0" w:line="480" w:lineRule="exact"/>
        <w:ind w:left="0" w:leftChars="0" w:firstLine="526" w:firstLineChars="200"/>
        <w:rPr>
          <w:rFonts w:hAnsi="宋体" w:cs="宋体"/>
          <w:color w:val="000000"/>
          <w:spacing w:val="5"/>
          <w:szCs w:val="24"/>
        </w:rPr>
      </w:pPr>
      <w:r>
        <w:rPr>
          <w:rFonts w:hint="eastAsia" w:hAnsi="宋体" w:cs="宋体"/>
          <w:color w:val="000000"/>
          <w:spacing w:val="5"/>
          <w:szCs w:val="24"/>
        </w:rPr>
        <w:t>（3）泄漏事故风险防范措施</w:t>
      </w:r>
    </w:p>
    <w:p w14:paraId="03D3C526">
      <w:pPr>
        <w:pStyle w:val="47"/>
        <w:spacing w:after="0" w:line="480" w:lineRule="exact"/>
        <w:ind w:left="0" w:leftChars="0" w:firstLine="526" w:firstLineChars="200"/>
        <w:rPr>
          <w:rFonts w:hint="eastAsia" w:hAnsi="宋体" w:cs="宋体"/>
          <w:color w:val="000000"/>
          <w:spacing w:val="5"/>
          <w:szCs w:val="24"/>
          <w:lang w:val="zh-CN"/>
        </w:rPr>
      </w:pPr>
      <w:r>
        <w:rPr>
          <w:rFonts w:hint="eastAsia" w:hAnsi="宋体" w:cs="宋体"/>
          <w:color w:val="000000"/>
          <w:spacing w:val="5"/>
          <w:szCs w:val="24"/>
        </w:rPr>
        <w:t>①</w:t>
      </w:r>
      <w:r>
        <w:rPr>
          <w:rFonts w:hint="eastAsia" w:hAnsi="宋体" w:cs="宋体"/>
          <w:color w:val="000000"/>
          <w:spacing w:val="5"/>
          <w:szCs w:val="24"/>
          <w:lang w:val="zh-CN"/>
        </w:rPr>
        <w:t>操作时宜按要求配备基本人员，采用必要的设备进行安全施工。现场应配置呼吸保护设备且基本人员能迅速而方便地取用。采用适当的硫化氢检测设备实时监测空气状况。</w:t>
      </w:r>
    </w:p>
    <w:p w14:paraId="70CD2EC9">
      <w:pPr>
        <w:spacing w:line="480" w:lineRule="exact"/>
        <w:ind w:firstLine="526" w:firstLineChars="200"/>
        <w:rPr>
          <w:rFonts w:hint="eastAsia" w:hAnsi="宋体" w:cs="宋体"/>
          <w:color w:val="000000"/>
          <w:szCs w:val="24"/>
          <w:lang w:val="zh-CN"/>
        </w:rPr>
      </w:pPr>
      <w:r>
        <w:rPr>
          <w:rFonts w:hint="eastAsia" w:hAnsi="宋体" w:cs="宋体"/>
          <w:color w:val="000000"/>
          <w:szCs w:val="24"/>
        </w:rPr>
        <w:t>②</w:t>
      </w:r>
      <w:r>
        <w:rPr>
          <w:rFonts w:hint="eastAsia" w:hAnsi="宋体" w:cs="宋体"/>
          <w:color w:val="000000"/>
          <w:szCs w:val="24"/>
          <w:lang w:val="zh-CN"/>
        </w:rPr>
        <w:t>严格执行“禁止吸烟”的规定。</w:t>
      </w:r>
    </w:p>
    <w:p w14:paraId="40E527C4">
      <w:pPr>
        <w:spacing w:line="480" w:lineRule="exact"/>
        <w:outlineLvl w:val="3"/>
        <w:rPr>
          <w:rFonts w:hint="eastAsia" w:hAnsi="宋体" w:cs="宋体"/>
          <w:color w:val="000000"/>
          <w:szCs w:val="24"/>
        </w:rPr>
      </w:pPr>
      <w:r>
        <w:rPr>
          <w:rFonts w:hint="eastAsia" w:hAnsi="宋体" w:cs="宋体"/>
          <w:color w:val="000000"/>
          <w:szCs w:val="24"/>
        </w:rPr>
        <w:t>5.8.6.5 环境风险应急处置措施</w:t>
      </w:r>
    </w:p>
    <w:p w14:paraId="2319451F">
      <w:pPr>
        <w:spacing w:line="480" w:lineRule="exact"/>
        <w:ind w:firstLine="526" w:firstLineChars="200"/>
        <w:rPr>
          <w:rFonts w:hint="eastAsia" w:hAnsi="宋体" w:cs="宋体"/>
          <w:color w:val="000000"/>
          <w:szCs w:val="24"/>
        </w:rPr>
      </w:pPr>
      <w:r>
        <w:rPr>
          <w:rFonts w:hint="eastAsia" w:hAnsi="宋体" w:cs="宋体"/>
          <w:color w:val="000000"/>
          <w:szCs w:val="24"/>
        </w:rPr>
        <w:t>（1）管道事故应急措施</w:t>
      </w:r>
    </w:p>
    <w:p w14:paraId="0293A8BC">
      <w:pPr>
        <w:spacing w:line="480" w:lineRule="exact"/>
        <w:ind w:firstLine="526" w:firstLineChars="200"/>
        <w:rPr>
          <w:rFonts w:hint="eastAsia" w:hAnsi="宋体" w:cs="宋体"/>
          <w:color w:val="000000"/>
          <w:szCs w:val="24"/>
        </w:rPr>
      </w:pPr>
      <w:r>
        <w:rPr>
          <w:rFonts w:hint="eastAsia" w:hAnsi="宋体" w:cs="宋体"/>
          <w:color w:val="000000"/>
          <w:szCs w:val="24"/>
        </w:rPr>
        <w:t>管道事故风险不可能绝对避免，在预防事故的同时，为可能发生的事故制定应急措施，使事故造成的危害减至最低程度。</w:t>
      </w:r>
    </w:p>
    <w:p w14:paraId="527CB0DC">
      <w:pPr>
        <w:spacing w:line="480" w:lineRule="exact"/>
        <w:ind w:firstLine="526" w:firstLineChars="200"/>
        <w:rPr>
          <w:rFonts w:hint="eastAsia" w:hAnsi="宋体" w:cs="宋体"/>
          <w:color w:val="000000"/>
          <w:szCs w:val="24"/>
        </w:rPr>
      </w:pPr>
      <w:r>
        <w:rPr>
          <w:rFonts w:hint="eastAsia" w:hAnsi="宋体" w:cs="宋体"/>
          <w:color w:val="000000"/>
          <w:szCs w:val="24"/>
        </w:rPr>
        <w:t>①按顺序关井</w:t>
      </w:r>
    </w:p>
    <w:p w14:paraId="78E7C84D">
      <w:pPr>
        <w:spacing w:line="480" w:lineRule="exact"/>
        <w:ind w:firstLine="526" w:firstLineChars="200"/>
        <w:rPr>
          <w:rFonts w:hint="eastAsia" w:hAnsi="宋体" w:cs="宋体"/>
          <w:color w:val="000000"/>
          <w:szCs w:val="24"/>
        </w:rPr>
      </w:pPr>
      <w:r>
        <w:rPr>
          <w:rFonts w:hint="eastAsia" w:hAnsi="宋体" w:cs="宋体"/>
          <w:color w:val="000000"/>
          <w:szCs w:val="24"/>
        </w:rPr>
        <w:t>在管道发生断裂、漏油事故时，按顺序关井。抢修队根据现场情况及时抢修，做好环境污染防范工作，把损失控制在最小范围内。</w:t>
      </w:r>
    </w:p>
    <w:p w14:paraId="434E275F">
      <w:pPr>
        <w:spacing w:line="500" w:lineRule="exact"/>
        <w:ind w:firstLine="526" w:firstLineChars="200"/>
        <w:rPr>
          <w:rFonts w:hint="eastAsia" w:hAnsi="宋体" w:cs="宋体"/>
          <w:color w:val="000000"/>
          <w:szCs w:val="24"/>
        </w:rPr>
      </w:pPr>
      <w:r>
        <w:rPr>
          <w:rFonts w:hint="eastAsia" w:hAnsi="宋体" w:cs="宋体"/>
          <w:color w:val="000000"/>
          <w:szCs w:val="24"/>
        </w:rPr>
        <w:t>②回收泄漏采出液</w:t>
      </w:r>
    </w:p>
    <w:p w14:paraId="76FF2992">
      <w:pPr>
        <w:spacing w:line="500" w:lineRule="exact"/>
        <w:ind w:firstLine="526" w:firstLineChars="200"/>
        <w:rPr>
          <w:rFonts w:hint="eastAsia" w:hAnsi="宋体" w:cs="宋体"/>
          <w:color w:val="000000"/>
          <w:szCs w:val="24"/>
        </w:rPr>
      </w:pPr>
      <w:r>
        <w:rPr>
          <w:rFonts w:hint="eastAsia" w:hAnsi="宋体" w:cs="宋体"/>
          <w:color w:val="000000"/>
          <w:szCs w:val="24"/>
        </w:rPr>
        <w:t>首先限制地表污染的扩大。油受重力和地形的控制，会流向低洼地带，应尽量防止泄漏石油移动。在可能的情况下应进行筑堤，汇集在低洼坑中的地表油，用车及时进行收集；将严重污染的土壤集中收集，由有危废处置资质的公司接收处置。</w:t>
      </w:r>
    </w:p>
    <w:p w14:paraId="25266D47">
      <w:pPr>
        <w:spacing w:line="500" w:lineRule="exact"/>
        <w:ind w:firstLine="526" w:firstLineChars="200"/>
        <w:rPr>
          <w:rFonts w:hint="eastAsia" w:hAnsi="宋体" w:cs="宋体"/>
          <w:color w:val="000000"/>
          <w:szCs w:val="24"/>
        </w:rPr>
      </w:pPr>
      <w:r>
        <w:rPr>
          <w:rFonts w:hint="eastAsia" w:hAnsi="宋体" w:cs="宋体"/>
          <w:color w:val="000000"/>
          <w:szCs w:val="24"/>
        </w:rPr>
        <w:t>（2）火灾事故应急措施</w:t>
      </w:r>
    </w:p>
    <w:p w14:paraId="0A7505E2">
      <w:pPr>
        <w:spacing w:line="500" w:lineRule="exact"/>
        <w:ind w:firstLine="526" w:firstLineChars="200"/>
        <w:rPr>
          <w:rFonts w:hint="eastAsia" w:hAnsi="宋体" w:cs="宋体"/>
          <w:color w:val="000000"/>
          <w:szCs w:val="24"/>
        </w:rPr>
      </w:pPr>
      <w:r>
        <w:rPr>
          <w:rFonts w:hint="eastAsia" w:hAnsi="宋体" w:cs="宋体"/>
          <w:color w:val="000000"/>
          <w:szCs w:val="24"/>
        </w:rPr>
        <w:t>①发生火灾时，事故现场工作人员立即通知断电，立即停产，并拉响警报。启动突发环境事件应急预案，同时迅速安排抢险人员到达事故现场。</w:t>
      </w:r>
    </w:p>
    <w:p w14:paraId="5D43AAA7">
      <w:pPr>
        <w:spacing w:line="500" w:lineRule="exact"/>
        <w:ind w:firstLine="526" w:firstLineChars="200"/>
        <w:rPr>
          <w:rFonts w:hint="eastAsia" w:hAnsi="宋体" w:cs="宋体"/>
          <w:color w:val="000000"/>
          <w:szCs w:val="24"/>
        </w:rPr>
      </w:pPr>
      <w:r>
        <w:rPr>
          <w:rFonts w:hint="eastAsia" w:hAnsi="宋体" w:cs="宋体"/>
          <w:color w:val="000000"/>
          <w:szCs w:val="24"/>
        </w:rPr>
        <w:t>②安全保障组设置警戒区域，撤离事故区域全部人员，封锁通往现场的各个路口，禁止无关人员和车辆进入，防止因火灾而造成不必要的损失和伤亡。</w:t>
      </w:r>
    </w:p>
    <w:p w14:paraId="5ED6103B">
      <w:pPr>
        <w:spacing w:line="500" w:lineRule="exact"/>
        <w:ind w:firstLine="526" w:firstLineChars="200"/>
        <w:rPr>
          <w:rFonts w:hint="eastAsia" w:hAnsi="宋体" w:cs="宋体"/>
          <w:color w:val="000000"/>
          <w:szCs w:val="24"/>
        </w:rPr>
      </w:pPr>
      <w:r>
        <w:rPr>
          <w:rFonts w:hint="eastAsia" w:hAnsi="宋体" w:cs="宋体"/>
          <w:color w:val="000000"/>
          <w:szCs w:val="24"/>
        </w:rPr>
        <w:t>③根据风险评价结果，如发生火灾，附近工作人员应紧急撤离至安全地带，防止火灾燃烧产生的有害物质对人体造成伤害。</w:t>
      </w:r>
    </w:p>
    <w:p w14:paraId="27B71F60">
      <w:pPr>
        <w:spacing w:line="500" w:lineRule="exact"/>
        <w:ind w:firstLine="526" w:firstLineChars="200"/>
        <w:rPr>
          <w:rFonts w:hint="eastAsia" w:hAnsi="宋体" w:cs="宋体"/>
          <w:color w:val="000000"/>
          <w:szCs w:val="24"/>
        </w:rPr>
      </w:pPr>
      <w:r>
        <w:rPr>
          <w:rFonts w:hint="eastAsia" w:hAnsi="宋体" w:cs="宋体"/>
          <w:color w:val="000000"/>
          <w:szCs w:val="24"/>
        </w:rPr>
        <w:t>④当火灾事故得到有效控制，在确保人员安全的情况下，及时控制消防冷却水次生污染的蔓延。</w:t>
      </w:r>
    </w:p>
    <w:p w14:paraId="611ADC62">
      <w:pPr>
        <w:spacing w:line="500" w:lineRule="exact"/>
        <w:ind w:firstLine="526" w:firstLineChars="200"/>
        <w:rPr>
          <w:rFonts w:hint="eastAsia" w:hAnsi="宋体" w:cs="宋体"/>
          <w:color w:val="000000"/>
          <w:szCs w:val="24"/>
        </w:rPr>
      </w:pPr>
      <w:r>
        <w:rPr>
          <w:rFonts w:hint="eastAsia" w:hAnsi="宋体" w:cs="宋体"/>
          <w:color w:val="000000"/>
          <w:szCs w:val="24"/>
        </w:rPr>
        <w:t>（3）管道刺漏事故应急措施</w:t>
      </w:r>
    </w:p>
    <w:p w14:paraId="1C479B92">
      <w:pPr>
        <w:spacing w:line="500" w:lineRule="exact"/>
        <w:ind w:firstLine="526" w:firstLineChars="200"/>
        <w:rPr>
          <w:rFonts w:hint="eastAsia" w:hAnsi="宋体" w:cs="宋体"/>
          <w:color w:val="000000"/>
          <w:szCs w:val="24"/>
        </w:rPr>
      </w:pPr>
      <w:r>
        <w:rPr>
          <w:rFonts w:hint="eastAsia" w:hAnsi="宋体" w:cs="宋体"/>
          <w:color w:val="000000"/>
          <w:szCs w:val="24"/>
        </w:rPr>
        <w:t>拟建工程根据以往经验，现场巡检过程中发现压力表压力不正常后，通过检测判定管线是否发生泄漏，针对管线刺漏事件，采取以下措施：</w:t>
      </w:r>
    </w:p>
    <w:p w14:paraId="29A3269C">
      <w:pPr>
        <w:spacing w:line="500" w:lineRule="exact"/>
        <w:ind w:firstLine="526" w:firstLineChars="200"/>
        <w:rPr>
          <w:rFonts w:hint="eastAsia" w:hAnsi="宋体" w:cs="宋体"/>
          <w:color w:val="000000"/>
          <w:szCs w:val="24"/>
        </w:rPr>
      </w:pPr>
      <w:r>
        <w:rPr>
          <w:rFonts w:hint="eastAsia" w:hAnsi="宋体" w:cs="宋体"/>
          <w:color w:val="000000"/>
          <w:szCs w:val="24"/>
        </w:rPr>
        <w:t>a.切断污染源：经与生产调度中心取得联系后，关闭管线泄漏点最近两侧阀门；</w:t>
      </w:r>
    </w:p>
    <w:p w14:paraId="72B5C3D6">
      <w:pPr>
        <w:spacing w:line="500" w:lineRule="exact"/>
        <w:ind w:firstLine="526" w:firstLineChars="200"/>
        <w:rPr>
          <w:rFonts w:hint="eastAsia" w:hAnsi="宋体" w:cs="宋体"/>
          <w:color w:val="000000"/>
          <w:szCs w:val="24"/>
        </w:rPr>
      </w:pPr>
      <w:r>
        <w:rPr>
          <w:rFonts w:hint="eastAsia" w:hAnsi="宋体" w:cs="宋体"/>
          <w:color w:val="000000"/>
          <w:szCs w:val="24"/>
        </w:rPr>
        <w:t>b.堵漏：根据泄漏段的实际情况，采用适当的材料和技术手段进行堵漏，并在作业期间设专人监护；</w:t>
      </w:r>
    </w:p>
    <w:p w14:paraId="00BD7345">
      <w:pPr>
        <w:spacing w:line="500" w:lineRule="exact"/>
        <w:ind w:firstLine="526" w:firstLineChars="200"/>
        <w:rPr>
          <w:rFonts w:hint="eastAsia" w:hAnsi="宋体" w:cs="宋体"/>
          <w:color w:val="000000"/>
          <w:szCs w:val="24"/>
        </w:rPr>
      </w:pPr>
      <w:r>
        <w:rPr>
          <w:rFonts w:hint="eastAsia" w:hAnsi="宋体" w:cs="宋体"/>
          <w:color w:val="000000"/>
          <w:szCs w:val="24"/>
        </w:rPr>
        <w:t>c.事故现场处理：堵漏作业完成后，对泄漏段管线进行彻底排查和检验，确保无泄漏产生。</w:t>
      </w:r>
    </w:p>
    <w:p w14:paraId="293C39C2">
      <w:pPr>
        <w:spacing w:line="500" w:lineRule="exact"/>
        <w:ind w:firstLine="526" w:firstLineChars="200"/>
        <w:rPr>
          <w:rFonts w:hint="eastAsia" w:hAnsi="宋体" w:cs="宋体"/>
          <w:color w:val="000000"/>
          <w:szCs w:val="24"/>
        </w:rPr>
      </w:pPr>
      <w:r>
        <w:rPr>
          <w:rFonts w:hint="eastAsia" w:hAnsi="宋体" w:cs="宋体"/>
          <w:color w:val="000000"/>
          <w:szCs w:val="24"/>
        </w:rPr>
        <w:t>d.后期处理：恢复管线泄漏区域地表地貌，对泄漏部分有针对性地加强检测及现场巡检。对泄漏的油品回收，若油品泄漏在不能及时地完全回收的情况下，可能在地表结成油饼，将油饼集中收集，由有危废处置资质的公司接收处置。</w:t>
      </w:r>
    </w:p>
    <w:p w14:paraId="2EAAB385">
      <w:pPr>
        <w:spacing w:line="480" w:lineRule="exact"/>
        <w:outlineLvl w:val="3"/>
        <w:rPr>
          <w:rFonts w:hint="eastAsia" w:hAnsi="宋体" w:cs="宋体"/>
          <w:color w:val="000000"/>
          <w:szCs w:val="24"/>
          <w:lang w:bidi="ar"/>
        </w:rPr>
      </w:pPr>
      <w:r>
        <w:rPr>
          <w:rFonts w:hint="eastAsia" w:hAnsi="宋体" w:cs="宋体"/>
          <w:color w:val="000000"/>
          <w:szCs w:val="24"/>
          <w:lang w:bidi="ar"/>
        </w:rPr>
        <w:t>5.8.6.6 突发环境事件应急预案</w:t>
      </w:r>
    </w:p>
    <w:p w14:paraId="1AE23BE4">
      <w:pPr>
        <w:spacing w:line="480" w:lineRule="exact"/>
        <w:ind w:firstLine="526" w:firstLineChars="200"/>
        <w:rPr>
          <w:rFonts w:hAnsi="宋体" w:cs="宋体"/>
          <w:color w:val="000000"/>
          <w:szCs w:val="24"/>
        </w:rPr>
      </w:pPr>
      <w:r>
        <w:rPr>
          <w:rFonts w:hint="eastAsia"/>
          <w:color w:val="000000"/>
          <w:szCs w:val="24"/>
        </w:rPr>
        <w:t>对于重大或不可接受的风险（主要是物料严重泄漏、火灾爆炸造成重大人员伤害等），制定应急响应方案，建立应急反应体系，当事故一旦发生时可迅速加以控制，使危害和损失降低到尽可能低的程度。定期按照应急预案内容进行应急演练，应急物资配备齐全，出现风险事故时能够及时应对。塔中采油气管理区编制完成并发布了《塔里木油田公司塔中采油气管理区塔中第三联合站突发环境事件应急预案》（备案编号653200-2025-271-L）。本评价建议将本次建设内容纳入塔里木油田分公司塔中采油气管理区现有突发环境事件应急预案中，对现有突发环境事件应急预案进行必要的完善和补充。</w:t>
      </w:r>
    </w:p>
    <w:p w14:paraId="5158CA46">
      <w:pPr>
        <w:spacing w:line="500" w:lineRule="exact"/>
        <w:outlineLvl w:val="3"/>
        <w:rPr>
          <w:rFonts w:hAnsi="宋体" w:cs="宋体"/>
          <w:color w:val="000000"/>
          <w:szCs w:val="24"/>
          <w:lang w:bidi="ar"/>
        </w:rPr>
      </w:pPr>
      <w:r>
        <w:rPr>
          <w:rFonts w:hint="eastAsia" w:hAnsi="宋体" w:cs="宋体"/>
          <w:color w:val="000000"/>
          <w:szCs w:val="24"/>
          <w:lang w:bidi="ar"/>
        </w:rPr>
        <w:t>5.8.6.7 现有风险防范措施的有效性</w:t>
      </w:r>
    </w:p>
    <w:p w14:paraId="0049B29E">
      <w:pPr>
        <w:spacing w:line="500" w:lineRule="exact"/>
        <w:ind w:firstLine="526" w:firstLineChars="200"/>
        <w:rPr>
          <w:color w:val="000000"/>
          <w:szCs w:val="24"/>
        </w:rPr>
      </w:pPr>
      <w:r>
        <w:rPr>
          <w:rFonts w:hint="eastAsia"/>
          <w:color w:val="000000"/>
          <w:szCs w:val="24"/>
        </w:rPr>
        <w:t>拟建工程建设内容纳入</w:t>
      </w:r>
      <w:r>
        <w:rPr>
          <w:rFonts w:hint="eastAsia" w:hAnsi="宋体" w:cs="宋体"/>
          <w:color w:val="000000"/>
          <w:szCs w:val="24"/>
        </w:rPr>
        <w:t>塔里木油田分公司塔中采油气管理区现有突发环境事件应急预案中。目前塔中采油气管理区已建立完善的应急管理体系，配备有专业的应急管理队伍，同时配备有充足的应急物资。塔中采油气管理区已针对油田常见的生产设备泄漏、管线爆管泄漏等情景提出了相关防范措施，并制定了相应的应急预案，可确保事故发生时，最大程度降低对周围环境空气、地下水、土壤的影响。同时为确保人员熟悉应急措施，定期对相关人员开展应急演练工作，针对演练过程中发现的问题及时修改现有应急预案的不足。现有风险防范措施可靠有效，可有效降低事故状态下对环境空气、地下水的影响。</w:t>
      </w:r>
    </w:p>
    <w:p w14:paraId="10E2B5BE">
      <w:pPr>
        <w:spacing w:line="500" w:lineRule="exact"/>
        <w:outlineLvl w:val="2"/>
        <w:rPr>
          <w:rFonts w:hint="eastAsia" w:hAnsi="宋体" w:cs="宋体"/>
          <w:color w:val="000000"/>
          <w:szCs w:val="24"/>
        </w:rPr>
      </w:pPr>
      <w:r>
        <w:rPr>
          <w:rFonts w:hint="eastAsia" w:hAnsi="宋体" w:cs="宋体"/>
          <w:color w:val="000000"/>
          <w:szCs w:val="24"/>
        </w:rPr>
        <w:t>5.8.7 环境风险分析结论</w:t>
      </w:r>
    </w:p>
    <w:p w14:paraId="2070AB26">
      <w:pPr>
        <w:spacing w:line="500" w:lineRule="exact"/>
        <w:ind w:firstLine="526" w:firstLineChars="200"/>
        <w:rPr>
          <w:rFonts w:hint="eastAsia" w:hAnsi="宋体" w:cs="宋体"/>
          <w:color w:val="000000"/>
          <w:szCs w:val="24"/>
        </w:rPr>
      </w:pPr>
      <w:r>
        <w:rPr>
          <w:rFonts w:hint="eastAsia" w:hAnsi="宋体" w:cs="宋体"/>
          <w:color w:val="000000"/>
          <w:szCs w:val="24"/>
        </w:rPr>
        <w:t>（1）项目危险因素</w:t>
      </w:r>
    </w:p>
    <w:p w14:paraId="18713E6B">
      <w:pPr>
        <w:spacing w:line="500" w:lineRule="exact"/>
        <w:ind w:firstLine="526" w:firstLineChars="200"/>
        <w:rPr>
          <w:rFonts w:hint="eastAsia" w:hAnsi="宋体" w:cs="宋体"/>
          <w:color w:val="000000"/>
          <w:szCs w:val="24"/>
        </w:rPr>
      </w:pPr>
      <w:r>
        <w:rPr>
          <w:rFonts w:hint="eastAsia"/>
          <w:color w:val="000000"/>
          <w:szCs w:val="24"/>
        </w:rPr>
        <w:t>集输管线老化破损导致油品泄漏遇到明火可能发生火灾、爆炸事故，产生的一氧化碳、硫化氢等物质引发中毒、污染等伴生</w:t>
      </w:r>
      <w:r>
        <w:rPr>
          <w:color w:val="000000"/>
          <w:szCs w:val="24"/>
        </w:rPr>
        <w:t>/</w:t>
      </w:r>
      <w:r>
        <w:rPr>
          <w:rFonts w:hint="eastAsia"/>
          <w:color w:val="000000"/>
          <w:szCs w:val="24"/>
        </w:rPr>
        <w:t>次生污染事故；</w:t>
      </w:r>
      <w:r>
        <w:rPr>
          <w:rFonts w:hint="eastAsia" w:hAnsi="宋体"/>
          <w:color w:val="000000"/>
          <w:szCs w:val="24"/>
        </w:rPr>
        <w:t>油品及天然气泄漏、喷出后，遇火源会发生火灾、爆炸事故，燃烧产生的次生</w:t>
      </w:r>
      <w:r>
        <w:rPr>
          <w:rFonts w:hAnsi="宋体"/>
          <w:color w:val="000000"/>
          <w:szCs w:val="24"/>
        </w:rPr>
        <w:t>CO</w:t>
      </w:r>
      <w:r>
        <w:rPr>
          <w:rFonts w:hint="eastAsia" w:hAnsi="宋体"/>
          <w:color w:val="000000"/>
          <w:szCs w:val="24"/>
        </w:rPr>
        <w:t>引发周围人员</w:t>
      </w:r>
      <w:r>
        <w:rPr>
          <w:rFonts w:hAnsi="宋体"/>
          <w:color w:val="000000"/>
          <w:szCs w:val="24"/>
        </w:rPr>
        <w:t>CO</w:t>
      </w:r>
      <w:r>
        <w:rPr>
          <w:rFonts w:hint="eastAsia" w:hAnsi="宋体"/>
          <w:color w:val="000000"/>
          <w:szCs w:val="24"/>
        </w:rPr>
        <w:t>中毒事件，油类物质渗流至地下水</w:t>
      </w:r>
      <w:r>
        <w:rPr>
          <w:rFonts w:hint="eastAsia"/>
          <w:color w:val="000000"/>
          <w:szCs w:val="24"/>
        </w:rPr>
        <w:t>。</w:t>
      </w:r>
    </w:p>
    <w:p w14:paraId="69668258">
      <w:pPr>
        <w:spacing w:line="500" w:lineRule="exact"/>
        <w:ind w:firstLine="526" w:firstLineChars="200"/>
        <w:rPr>
          <w:rFonts w:hint="eastAsia" w:hAnsi="宋体" w:cs="宋体"/>
          <w:color w:val="000000"/>
          <w:szCs w:val="24"/>
        </w:rPr>
      </w:pPr>
      <w:r>
        <w:rPr>
          <w:rFonts w:hint="eastAsia" w:hAnsi="宋体" w:cs="宋体"/>
          <w:color w:val="000000"/>
          <w:szCs w:val="24"/>
        </w:rPr>
        <w:t>（2）环境敏感性及事故环境影响</w:t>
      </w:r>
    </w:p>
    <w:p w14:paraId="2ACFD512">
      <w:pPr>
        <w:spacing w:line="500" w:lineRule="exact"/>
        <w:ind w:firstLine="526" w:firstLineChars="200"/>
        <w:rPr>
          <w:rFonts w:hint="eastAsia" w:hAnsi="宋体" w:cs="宋体"/>
          <w:color w:val="000000"/>
          <w:szCs w:val="24"/>
        </w:rPr>
      </w:pPr>
      <w:r>
        <w:rPr>
          <w:rFonts w:hint="eastAsia"/>
          <w:color w:val="000000"/>
          <w:szCs w:val="24"/>
        </w:rPr>
        <w:t>拟建</w:t>
      </w:r>
      <w:r>
        <w:rPr>
          <w:rFonts w:hint="eastAsia" w:hAnsi="宋体"/>
          <w:color w:val="000000"/>
          <w:szCs w:val="24"/>
        </w:rPr>
        <w:t>工程</w:t>
      </w:r>
      <w:r>
        <w:rPr>
          <w:rFonts w:hint="eastAsia"/>
          <w:color w:val="000000"/>
          <w:szCs w:val="24"/>
        </w:rPr>
        <w:t>实施后的环境风险主要有油品泄漏，遇火源可能发生火灾爆炸事故，不完全燃烧会产生一定量的一氧化碳及天然气中硫化氢有害气体进入大气，油类物质可能污染土壤并渗流至地下水，对区域地下水环境造成污染影响。</w:t>
      </w:r>
    </w:p>
    <w:p w14:paraId="10B5AED7">
      <w:pPr>
        <w:spacing w:line="500" w:lineRule="exact"/>
        <w:ind w:firstLine="526" w:firstLineChars="200"/>
        <w:rPr>
          <w:rFonts w:hint="eastAsia" w:hAnsi="宋体" w:cs="宋体"/>
          <w:color w:val="000000"/>
          <w:szCs w:val="24"/>
        </w:rPr>
      </w:pPr>
      <w:r>
        <w:rPr>
          <w:rFonts w:hint="eastAsia" w:hAnsi="宋体" w:cs="宋体"/>
          <w:color w:val="000000"/>
          <w:szCs w:val="24"/>
        </w:rPr>
        <w:t>（3）环境风险防范措施和应急预案</w:t>
      </w:r>
    </w:p>
    <w:p w14:paraId="4D2EF625">
      <w:pPr>
        <w:spacing w:line="500" w:lineRule="exact"/>
        <w:ind w:firstLine="526" w:firstLineChars="200"/>
        <w:rPr>
          <w:rFonts w:hint="eastAsia" w:hAnsi="宋体" w:cs="宋体"/>
          <w:color w:val="000000"/>
          <w:szCs w:val="24"/>
        </w:rPr>
      </w:pPr>
      <w:r>
        <w:rPr>
          <w:rFonts w:hint="eastAsia" w:hAnsi="宋体"/>
          <w:color w:val="000000"/>
          <w:szCs w:val="24"/>
        </w:rPr>
        <w:t>本评价建议将本次建设内容纳入塔里木油田分公司</w:t>
      </w:r>
      <w:r>
        <w:rPr>
          <w:rFonts w:hint="eastAsia"/>
          <w:color w:val="000000"/>
          <w:szCs w:val="24"/>
        </w:rPr>
        <w:t>塔中采油气管理区</w:t>
      </w:r>
      <w:r>
        <w:rPr>
          <w:rFonts w:hint="eastAsia" w:hAnsi="宋体"/>
          <w:color w:val="000000"/>
          <w:szCs w:val="24"/>
        </w:rPr>
        <w:t>现有突发环境事件应急预案中，对现有突发环境事件应急预案进行必要的完善和补充</w:t>
      </w:r>
      <w:r>
        <w:rPr>
          <w:rFonts w:hint="eastAsia"/>
          <w:color w:val="000000"/>
          <w:szCs w:val="24"/>
        </w:rPr>
        <w:t>。</w:t>
      </w:r>
    </w:p>
    <w:p w14:paraId="542A8630">
      <w:pPr>
        <w:spacing w:line="500" w:lineRule="exact"/>
        <w:ind w:firstLine="526" w:firstLineChars="200"/>
        <w:rPr>
          <w:rFonts w:hint="eastAsia" w:hAnsi="宋体" w:cs="宋体"/>
          <w:color w:val="000000"/>
          <w:szCs w:val="24"/>
        </w:rPr>
      </w:pPr>
      <w:r>
        <w:rPr>
          <w:rFonts w:hint="eastAsia" w:hAnsi="宋体" w:cs="宋体"/>
          <w:color w:val="000000"/>
          <w:szCs w:val="24"/>
        </w:rPr>
        <w:t>（4）环境风险评价结论与建议</w:t>
      </w:r>
    </w:p>
    <w:p w14:paraId="2935E86C">
      <w:pPr>
        <w:spacing w:line="500" w:lineRule="exact"/>
        <w:ind w:firstLine="526" w:firstLineChars="200"/>
        <w:rPr>
          <w:rFonts w:hint="eastAsia" w:hAnsi="宋体" w:cs="宋体"/>
          <w:color w:val="000000"/>
          <w:szCs w:val="24"/>
        </w:rPr>
      </w:pPr>
      <w:r>
        <w:rPr>
          <w:rFonts w:hint="eastAsia" w:hAnsi="宋体" w:cs="宋体"/>
          <w:color w:val="000000"/>
          <w:szCs w:val="24"/>
        </w:rPr>
        <w:t>根据建设项目环境风险可能影响的范围与程度，本次评价建议加强日常环境管理及认真落实环境风险预防措施和应急预案，可将环境风险概率降到最低。综上，</w:t>
      </w:r>
      <w:r>
        <w:rPr>
          <w:rFonts w:hint="eastAsia" w:hAnsi="宋体"/>
          <w:color w:val="000000"/>
          <w:szCs w:val="24"/>
        </w:rPr>
        <w:t>拟建</w:t>
      </w:r>
      <w:r>
        <w:rPr>
          <w:rFonts w:hint="eastAsia" w:hAnsi="宋体" w:cs="宋体"/>
          <w:color w:val="000000"/>
          <w:szCs w:val="24"/>
        </w:rPr>
        <w:t>工程环境风险是可防控的。</w:t>
      </w:r>
    </w:p>
    <w:p w14:paraId="68DDF4BD">
      <w:pPr>
        <w:spacing w:line="500" w:lineRule="exact"/>
        <w:ind w:firstLine="526" w:firstLineChars="200"/>
        <w:rPr>
          <w:rFonts w:hint="eastAsia" w:hAnsi="宋体" w:cs="宋体"/>
          <w:color w:val="000000"/>
          <w:szCs w:val="24"/>
        </w:rPr>
      </w:pPr>
      <w:r>
        <w:rPr>
          <w:rFonts w:hint="eastAsia" w:hAnsi="宋体" w:cs="宋体"/>
          <w:color w:val="000000"/>
          <w:szCs w:val="24"/>
        </w:rPr>
        <w:t>环境风险自查表见表5.8-3。</w:t>
      </w:r>
    </w:p>
    <w:bookmarkEnd w:id="238"/>
    <w:p w14:paraId="3F824E77">
      <w:pPr>
        <w:spacing w:line="460" w:lineRule="exact"/>
        <w:ind w:firstLine="526" w:firstLineChars="200"/>
        <w:rPr>
          <w:rFonts w:hint="eastAsia" w:ascii="黑体" w:hAnsi="黑体" w:eastAsia="黑体"/>
          <w:color w:val="000000"/>
          <w:szCs w:val="24"/>
        </w:rPr>
      </w:pPr>
      <w:r>
        <w:rPr>
          <w:rFonts w:hint="eastAsia" w:ascii="黑体" w:hAnsi="黑体" w:eastAsia="黑体" w:cs="宋体"/>
          <w:color w:val="000000"/>
          <w:szCs w:val="24"/>
        </w:rPr>
        <w:t>表5.8-3</w:t>
      </w:r>
      <w:r>
        <w:rPr>
          <w:rFonts w:hint="eastAsia" w:ascii="黑体" w:hAnsi="黑体" w:eastAsia="黑体"/>
          <w:color w:val="000000"/>
          <w:szCs w:val="24"/>
        </w:rPr>
        <w:t xml:space="preserve"> </w:t>
      </w:r>
      <w:r>
        <w:rPr>
          <w:rFonts w:hint="eastAsia" w:ascii="黑体" w:hAnsi="黑体" w:eastAsia="黑体" w:cs="宋体"/>
          <w:color w:val="000000"/>
          <w:szCs w:val="24"/>
        </w:rPr>
        <w:t xml:space="preserve">        </w:t>
      </w:r>
      <w:r>
        <w:rPr>
          <w:rFonts w:hint="eastAsia" w:ascii="黑体" w:hAnsi="黑体" w:eastAsia="黑体" w:cs="黑体"/>
          <w:color w:val="000000"/>
          <w:szCs w:val="24"/>
          <w:lang w:val="zh-CN"/>
        </w:rPr>
        <w:t xml:space="preserve"> 环境风险自查表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2268"/>
        <w:gridCol w:w="1146"/>
        <w:gridCol w:w="2280"/>
        <w:gridCol w:w="1033"/>
        <w:gridCol w:w="2288"/>
      </w:tblGrid>
      <w:tr w14:paraId="0044C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24B57F21">
            <w:pPr>
              <w:spacing w:line="0" w:lineRule="atLeast"/>
              <w:jc w:val="center"/>
              <w:rPr>
                <w:rFonts w:hAnsi="宋体"/>
                <w:color w:val="000000"/>
                <w:spacing w:val="-10"/>
                <w:sz w:val="21"/>
                <w:szCs w:val="21"/>
              </w:rPr>
            </w:pPr>
            <w:r>
              <w:rPr>
                <w:rFonts w:hint="eastAsia" w:hAnsi="宋体" w:cs="宋体"/>
                <w:color w:val="000000"/>
                <w:spacing w:val="-10"/>
                <w:sz w:val="21"/>
                <w:szCs w:val="21"/>
              </w:rPr>
              <w:t>建设项目名称</w:t>
            </w:r>
          </w:p>
        </w:tc>
        <w:tc>
          <w:tcPr>
            <w:tcW w:w="6747" w:type="dxa"/>
            <w:gridSpan w:val="4"/>
            <w:tcMar>
              <w:left w:w="28" w:type="dxa"/>
              <w:right w:w="28" w:type="dxa"/>
            </w:tcMar>
            <w:vAlign w:val="center"/>
          </w:tcPr>
          <w:p w14:paraId="227E1D47">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2号集至塔三联集输管线改造项目</w:t>
            </w:r>
          </w:p>
        </w:tc>
      </w:tr>
      <w:tr w14:paraId="26AFE4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2966C622">
            <w:pPr>
              <w:spacing w:line="0" w:lineRule="atLeast"/>
              <w:jc w:val="center"/>
              <w:rPr>
                <w:rFonts w:hAnsi="宋体"/>
                <w:color w:val="000000"/>
                <w:spacing w:val="-10"/>
                <w:sz w:val="21"/>
                <w:szCs w:val="21"/>
              </w:rPr>
            </w:pPr>
            <w:r>
              <w:rPr>
                <w:rFonts w:hint="eastAsia" w:hAnsi="宋体" w:cs="宋体"/>
                <w:color w:val="000000"/>
                <w:spacing w:val="-10"/>
                <w:sz w:val="21"/>
                <w:szCs w:val="21"/>
              </w:rPr>
              <w:t>建设地点</w:t>
            </w:r>
          </w:p>
        </w:tc>
        <w:tc>
          <w:tcPr>
            <w:tcW w:w="6747" w:type="dxa"/>
            <w:gridSpan w:val="4"/>
            <w:tcMar>
              <w:left w:w="28" w:type="dxa"/>
              <w:right w:w="28" w:type="dxa"/>
            </w:tcMar>
            <w:vAlign w:val="center"/>
          </w:tcPr>
          <w:p w14:paraId="17DF8186">
            <w:pPr>
              <w:spacing w:line="0" w:lineRule="atLeast"/>
              <w:jc w:val="center"/>
              <w:rPr>
                <w:rFonts w:hint="eastAsia" w:hAnsi="宋体"/>
                <w:color w:val="000000"/>
                <w:spacing w:val="-10"/>
                <w:sz w:val="21"/>
                <w:szCs w:val="21"/>
              </w:rPr>
            </w:pPr>
            <w:r>
              <w:rPr>
                <w:rFonts w:hint="eastAsia" w:hAnsi="宋体" w:cs="宋体"/>
                <w:color w:val="000000"/>
                <w:spacing w:val="-10"/>
                <w:sz w:val="21"/>
                <w:szCs w:val="21"/>
              </w:rPr>
              <w:t>新疆阿克苏地区沙雅县、和田地区民丰县境内</w:t>
            </w:r>
          </w:p>
        </w:tc>
      </w:tr>
      <w:tr w14:paraId="57B8CB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727EFAAF">
            <w:pPr>
              <w:spacing w:line="0" w:lineRule="atLeast"/>
              <w:jc w:val="center"/>
              <w:rPr>
                <w:rFonts w:hint="eastAsia" w:hAnsi="宋体" w:cs="宋体"/>
                <w:color w:val="000000"/>
                <w:spacing w:val="-10"/>
                <w:sz w:val="21"/>
                <w:szCs w:val="21"/>
              </w:rPr>
            </w:pPr>
            <w:r>
              <w:rPr>
                <w:rFonts w:hint="eastAsia" w:hAnsi="宋体"/>
                <w:color w:val="000000"/>
                <w:spacing w:val="-10"/>
                <w:sz w:val="21"/>
                <w:szCs w:val="21"/>
              </w:rPr>
              <w:t>中心坐标</w:t>
            </w:r>
          </w:p>
        </w:tc>
        <w:tc>
          <w:tcPr>
            <w:tcW w:w="1146" w:type="dxa"/>
            <w:tcMar>
              <w:left w:w="28" w:type="dxa"/>
              <w:right w:w="28" w:type="dxa"/>
            </w:tcMar>
            <w:vAlign w:val="center"/>
          </w:tcPr>
          <w:p w14:paraId="73A8206E">
            <w:pPr>
              <w:spacing w:line="0" w:lineRule="atLeast"/>
              <w:jc w:val="center"/>
              <w:rPr>
                <w:rFonts w:hint="eastAsia" w:hAnsi="宋体"/>
                <w:color w:val="000000"/>
                <w:spacing w:val="-10"/>
                <w:sz w:val="21"/>
                <w:szCs w:val="21"/>
              </w:rPr>
            </w:pPr>
            <w:r>
              <w:rPr>
                <w:rFonts w:hint="eastAsia" w:hAnsi="宋体"/>
                <w:color w:val="000000"/>
                <w:spacing w:val="-10"/>
                <w:sz w:val="21"/>
                <w:szCs w:val="21"/>
              </w:rPr>
              <w:t>东经</w:t>
            </w:r>
          </w:p>
        </w:tc>
        <w:tc>
          <w:tcPr>
            <w:tcW w:w="2280" w:type="dxa"/>
            <w:tcMar>
              <w:left w:w="28" w:type="dxa"/>
              <w:right w:w="28" w:type="dxa"/>
            </w:tcMar>
            <w:vAlign w:val="center"/>
          </w:tcPr>
          <w:p w14:paraId="28BDD852">
            <w:pPr>
              <w:spacing w:line="0" w:lineRule="atLeast"/>
              <w:jc w:val="center"/>
              <w:rPr>
                <w:rFonts w:hint="eastAsia" w:hAnsi="宋体"/>
                <w:color w:val="000000"/>
                <w:spacing w:val="-10"/>
                <w:sz w:val="21"/>
                <w:szCs w:val="21"/>
              </w:rPr>
            </w:pPr>
            <w:r>
              <w:rPr>
                <w:rFonts w:hint="eastAsia" w:hAnsi="宋体"/>
                <w:color w:val="000000"/>
                <w:spacing w:val="-10"/>
                <w:sz w:val="21"/>
                <w:szCs w:val="21"/>
              </w:rPr>
              <w:t>83.0171°</w:t>
            </w:r>
          </w:p>
        </w:tc>
        <w:tc>
          <w:tcPr>
            <w:tcW w:w="1033" w:type="dxa"/>
            <w:tcMar>
              <w:left w:w="28" w:type="dxa"/>
              <w:right w:w="28" w:type="dxa"/>
            </w:tcMar>
            <w:vAlign w:val="center"/>
          </w:tcPr>
          <w:p w14:paraId="33D0FCE7">
            <w:pPr>
              <w:spacing w:line="0" w:lineRule="atLeast"/>
              <w:jc w:val="center"/>
              <w:rPr>
                <w:rFonts w:hint="eastAsia" w:hAnsi="宋体"/>
                <w:color w:val="000000"/>
                <w:spacing w:val="-10"/>
                <w:sz w:val="21"/>
                <w:szCs w:val="21"/>
              </w:rPr>
            </w:pPr>
            <w:r>
              <w:rPr>
                <w:rFonts w:hint="eastAsia" w:hAnsi="宋体"/>
                <w:color w:val="000000"/>
                <w:spacing w:val="-10"/>
                <w:sz w:val="21"/>
                <w:szCs w:val="21"/>
              </w:rPr>
              <w:t>北纬</w:t>
            </w:r>
          </w:p>
        </w:tc>
        <w:tc>
          <w:tcPr>
            <w:tcW w:w="2288" w:type="dxa"/>
            <w:tcMar>
              <w:left w:w="28" w:type="dxa"/>
              <w:right w:w="28" w:type="dxa"/>
            </w:tcMar>
            <w:vAlign w:val="center"/>
          </w:tcPr>
          <w:p w14:paraId="2688C928">
            <w:pPr>
              <w:spacing w:line="0" w:lineRule="atLeast"/>
              <w:jc w:val="center"/>
              <w:rPr>
                <w:rFonts w:hint="eastAsia" w:hAnsi="宋体"/>
                <w:color w:val="000000"/>
                <w:spacing w:val="-10"/>
                <w:sz w:val="21"/>
                <w:szCs w:val="21"/>
              </w:rPr>
            </w:pPr>
            <w:r>
              <w:rPr>
                <w:rFonts w:hint="eastAsia" w:hAnsi="宋体"/>
                <w:color w:val="000000"/>
                <w:spacing w:val="-10"/>
                <w:sz w:val="21"/>
                <w:szCs w:val="21"/>
              </w:rPr>
              <w:t>39.4443°</w:t>
            </w:r>
          </w:p>
        </w:tc>
      </w:tr>
      <w:tr w14:paraId="5512F7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7029A252">
            <w:pPr>
              <w:spacing w:line="0" w:lineRule="atLeast"/>
              <w:jc w:val="center"/>
              <w:rPr>
                <w:rFonts w:hint="eastAsia" w:hAnsi="宋体"/>
                <w:color w:val="000000"/>
                <w:spacing w:val="-10"/>
                <w:sz w:val="21"/>
                <w:szCs w:val="21"/>
              </w:rPr>
            </w:pPr>
            <w:r>
              <w:rPr>
                <w:rFonts w:hint="eastAsia" w:hAnsi="宋体"/>
                <w:color w:val="000000"/>
                <w:spacing w:val="-10"/>
                <w:sz w:val="21"/>
                <w:szCs w:val="21"/>
              </w:rPr>
              <w:t>主要危险物质及分布</w:t>
            </w:r>
          </w:p>
        </w:tc>
        <w:tc>
          <w:tcPr>
            <w:tcW w:w="6747" w:type="dxa"/>
            <w:gridSpan w:val="4"/>
            <w:tcMar>
              <w:left w:w="28" w:type="dxa"/>
              <w:right w:w="28" w:type="dxa"/>
            </w:tcMar>
            <w:vAlign w:val="center"/>
          </w:tcPr>
          <w:p w14:paraId="36F1D169">
            <w:pPr>
              <w:spacing w:line="0" w:lineRule="atLeast"/>
              <w:rPr>
                <w:rFonts w:hAnsi="宋体"/>
                <w:color w:val="000000"/>
                <w:spacing w:val="-10"/>
                <w:sz w:val="21"/>
                <w:szCs w:val="21"/>
              </w:rPr>
            </w:pPr>
            <w:r>
              <w:rPr>
                <w:rFonts w:hint="eastAsia" w:hAnsi="宋体"/>
                <w:color w:val="000000"/>
                <w:spacing w:val="-10"/>
                <w:sz w:val="21"/>
                <w:szCs w:val="21"/>
              </w:rPr>
              <w:t>拟建工程涉及的风险物质主要为凝析油、天然气、硫化氢，存在于集输管线内</w:t>
            </w:r>
          </w:p>
        </w:tc>
      </w:tr>
      <w:tr w14:paraId="3E26CE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6284B67C">
            <w:pPr>
              <w:spacing w:line="0" w:lineRule="atLeast"/>
              <w:jc w:val="center"/>
              <w:rPr>
                <w:rFonts w:hint="eastAsia" w:hAnsi="宋体"/>
                <w:color w:val="000000"/>
                <w:spacing w:val="-10"/>
                <w:sz w:val="21"/>
                <w:szCs w:val="21"/>
              </w:rPr>
            </w:pPr>
            <w:r>
              <w:rPr>
                <w:rFonts w:hint="eastAsia" w:hAnsi="宋体"/>
                <w:color w:val="000000"/>
                <w:spacing w:val="-10"/>
                <w:sz w:val="21"/>
                <w:szCs w:val="21"/>
              </w:rPr>
              <w:t>环境影响途径及危害后果（大气、地表水、地下水等）</w:t>
            </w:r>
          </w:p>
        </w:tc>
        <w:tc>
          <w:tcPr>
            <w:tcW w:w="6747" w:type="dxa"/>
            <w:gridSpan w:val="4"/>
            <w:tcMar>
              <w:left w:w="28" w:type="dxa"/>
              <w:right w:w="28" w:type="dxa"/>
            </w:tcMar>
            <w:vAlign w:val="center"/>
          </w:tcPr>
          <w:p w14:paraId="48A8AADF">
            <w:pPr>
              <w:spacing w:line="0" w:lineRule="atLeast"/>
              <w:jc w:val="left"/>
              <w:rPr>
                <w:rFonts w:hint="eastAsia" w:hAnsi="宋体"/>
                <w:color w:val="000000"/>
                <w:spacing w:val="-10"/>
                <w:sz w:val="21"/>
                <w:szCs w:val="21"/>
              </w:rPr>
            </w:pPr>
            <w:r>
              <w:rPr>
                <w:rFonts w:hint="eastAsia" w:hAnsi="宋体"/>
                <w:color w:val="000000"/>
                <w:spacing w:val="-10"/>
                <w:sz w:val="21"/>
                <w:szCs w:val="21"/>
              </w:rPr>
              <w:t>根据工程分析，</w:t>
            </w:r>
            <w:r>
              <w:rPr>
                <w:rFonts w:hint="eastAsia" w:hAnsi="宋体" w:cs="宋体"/>
                <w:color w:val="000000"/>
                <w:spacing w:val="-10"/>
                <w:sz w:val="21"/>
                <w:szCs w:val="21"/>
              </w:rPr>
              <w:t>拟建工程</w:t>
            </w:r>
            <w:r>
              <w:rPr>
                <w:rFonts w:hint="eastAsia" w:hAnsi="宋体"/>
                <w:color w:val="000000"/>
                <w:spacing w:val="-10"/>
                <w:sz w:val="21"/>
                <w:szCs w:val="21"/>
              </w:rPr>
              <w:t>油气田开发建设过程中集输等环节均接触到易燃、易爆的危险性物质，而且生产工艺条件较苛刻，多为高压操作，因此事故风险较大，可能造成环境危害的风险事故主要包括火灾、爆炸、油品泄漏等。燃烧产生的次生CO引发周围人员CO中毒事件，油类物质在降雨过程中随地表径流进入地表水体及渗流至地下水、土壤；烃类气体可能形成爆炸，发生火灾，污染大气、地下水</w:t>
            </w:r>
          </w:p>
        </w:tc>
      </w:tr>
      <w:tr w14:paraId="6FC23C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68" w:type="dxa"/>
            <w:tcMar>
              <w:left w:w="28" w:type="dxa"/>
              <w:right w:w="28" w:type="dxa"/>
            </w:tcMar>
            <w:vAlign w:val="center"/>
          </w:tcPr>
          <w:p w14:paraId="02089B6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风险防范措施要求</w:t>
            </w:r>
          </w:p>
        </w:tc>
        <w:tc>
          <w:tcPr>
            <w:tcW w:w="6747" w:type="dxa"/>
            <w:gridSpan w:val="4"/>
            <w:tcMar>
              <w:left w:w="28" w:type="dxa"/>
              <w:right w:w="28" w:type="dxa"/>
            </w:tcMar>
            <w:vAlign w:val="center"/>
          </w:tcPr>
          <w:p w14:paraId="703FEF07">
            <w:pPr>
              <w:spacing w:line="0" w:lineRule="atLeast"/>
              <w:jc w:val="left"/>
              <w:rPr>
                <w:rFonts w:hint="eastAsia" w:hAnsi="宋体"/>
                <w:color w:val="000000"/>
                <w:spacing w:val="-10"/>
                <w:sz w:val="21"/>
                <w:szCs w:val="21"/>
              </w:rPr>
            </w:pPr>
            <w:r>
              <w:rPr>
                <w:rFonts w:hint="eastAsia" w:hAnsi="宋体" w:cs="宋体"/>
                <w:color w:val="000000"/>
                <w:spacing w:val="-10"/>
                <w:sz w:val="21"/>
                <w:szCs w:val="21"/>
              </w:rPr>
              <w:t>具体见“5.8.6环境风险管理”</w:t>
            </w:r>
          </w:p>
        </w:tc>
      </w:tr>
      <w:bookmarkEnd w:id="205"/>
    </w:tbl>
    <w:p w14:paraId="7A18E17E">
      <w:pPr>
        <w:pStyle w:val="47"/>
        <w:spacing w:after="0" w:line="460" w:lineRule="exact"/>
        <w:ind w:left="0" w:leftChars="0" w:firstLine="0"/>
        <w:rPr>
          <w:rFonts w:hAnsi="宋体"/>
          <w:color w:val="000000"/>
          <w:spacing w:val="5"/>
          <w:szCs w:val="24"/>
        </w:rPr>
      </w:pPr>
      <w:r>
        <w:rPr>
          <w:rFonts w:hAnsi="宋体"/>
          <w:color w:val="000000"/>
          <w:spacing w:val="5"/>
          <w:szCs w:val="24"/>
        </w:rPr>
        <w:br w:type="page"/>
      </w:r>
    </w:p>
    <w:p w14:paraId="30A13643">
      <w:pPr>
        <w:tabs>
          <w:tab w:val="left" w:pos="2718"/>
        </w:tabs>
        <w:spacing w:line="460" w:lineRule="exact"/>
        <w:outlineLvl w:val="0"/>
        <w:rPr>
          <w:rFonts w:ascii="黑体" w:hAnsi="黑体" w:eastAsia="黑体"/>
          <w:color w:val="000000"/>
          <w:sz w:val="32"/>
          <w:szCs w:val="32"/>
        </w:rPr>
      </w:pPr>
      <w:bookmarkStart w:id="239" w:name="_Toc230178807"/>
      <w:bookmarkStart w:id="240" w:name="_Toc198040343"/>
      <w:bookmarkStart w:id="241" w:name="_Toc198040199"/>
      <w:bookmarkStart w:id="242" w:name="_Toc208474691"/>
      <w:r>
        <w:rPr>
          <w:rFonts w:hint="eastAsia" w:ascii="黑体" w:hAnsi="黑体" w:eastAsia="黑体"/>
          <w:color w:val="000000"/>
          <w:sz w:val="32"/>
          <w:szCs w:val="32"/>
        </w:rPr>
        <w:t>6 环境保护措施可行性论证</w:t>
      </w:r>
      <w:bookmarkEnd w:id="239"/>
      <w:bookmarkEnd w:id="240"/>
      <w:bookmarkEnd w:id="241"/>
      <w:bookmarkEnd w:id="242"/>
    </w:p>
    <w:p w14:paraId="4DC16B22">
      <w:pPr>
        <w:spacing w:line="460" w:lineRule="exact"/>
        <w:outlineLvl w:val="1"/>
        <w:rPr>
          <w:rFonts w:hint="eastAsia" w:ascii="黑体" w:hAnsi="黑体" w:eastAsia="黑体" w:cs="黑体"/>
          <w:color w:val="000000"/>
          <w:sz w:val="28"/>
          <w:szCs w:val="28"/>
          <w:lang w:bidi="ar"/>
        </w:rPr>
      </w:pPr>
      <w:bookmarkStart w:id="243" w:name="_Toc230178808"/>
      <w:bookmarkStart w:id="244" w:name="_Toc198040344"/>
      <w:bookmarkStart w:id="245" w:name="_Toc208474692"/>
      <w:bookmarkStart w:id="246" w:name="_Toc198040200"/>
      <w:r>
        <w:rPr>
          <w:rFonts w:hint="eastAsia" w:ascii="黑体" w:hAnsi="黑体" w:eastAsia="黑体" w:cs="黑体"/>
          <w:color w:val="000000"/>
          <w:sz w:val="28"/>
          <w:szCs w:val="28"/>
          <w:lang w:bidi="ar"/>
        </w:rPr>
        <w:t>6.1 生态保护措施可行性论证</w:t>
      </w:r>
      <w:bookmarkEnd w:id="243"/>
      <w:bookmarkEnd w:id="244"/>
      <w:bookmarkEnd w:id="245"/>
      <w:bookmarkEnd w:id="246"/>
    </w:p>
    <w:p w14:paraId="1C4041C8">
      <w:pPr>
        <w:autoSpaceDE w:val="0"/>
        <w:autoSpaceDN w:val="0"/>
        <w:adjustRightInd w:val="0"/>
        <w:spacing w:line="460" w:lineRule="exact"/>
        <w:outlineLvl w:val="2"/>
        <w:rPr>
          <w:rFonts w:hint="eastAsia" w:hAnsi="宋体" w:cs="宋体"/>
          <w:color w:val="000000"/>
          <w:szCs w:val="24"/>
        </w:rPr>
      </w:pPr>
      <w:r>
        <w:rPr>
          <w:rFonts w:hint="eastAsia" w:hAnsi="宋体" w:cs="宋体"/>
          <w:color w:val="000000"/>
          <w:szCs w:val="24"/>
        </w:rPr>
        <w:t>6.1.1 施工期生态保护措施</w:t>
      </w:r>
    </w:p>
    <w:p w14:paraId="39ECE7CF">
      <w:pPr>
        <w:spacing w:line="460" w:lineRule="exact"/>
        <w:outlineLvl w:val="3"/>
        <w:rPr>
          <w:rFonts w:hAnsi="宋体" w:cs="宋体"/>
          <w:color w:val="000000"/>
          <w:szCs w:val="24"/>
        </w:rPr>
      </w:pPr>
      <w:r>
        <w:rPr>
          <w:rFonts w:hint="eastAsia" w:hAnsi="宋体" w:cs="宋体"/>
          <w:color w:val="000000"/>
          <w:szCs w:val="24"/>
        </w:rPr>
        <w:t>6.1.1.</w:t>
      </w:r>
      <w:r>
        <w:rPr>
          <w:rFonts w:hAnsi="宋体" w:cs="宋体"/>
          <w:color w:val="000000"/>
          <w:szCs w:val="24"/>
        </w:rPr>
        <w:t xml:space="preserve">1 </w:t>
      </w:r>
      <w:r>
        <w:rPr>
          <w:rFonts w:hint="eastAsia" w:hAnsi="宋体" w:cs="宋体"/>
          <w:color w:val="000000"/>
          <w:szCs w:val="24"/>
        </w:rPr>
        <w:t>地表扰动生态减缓措施</w:t>
      </w:r>
    </w:p>
    <w:p w14:paraId="046C45A0">
      <w:pPr>
        <w:kinsoku w:val="0"/>
        <w:overflowPunct w:val="0"/>
        <w:autoSpaceDE w:val="0"/>
        <w:autoSpaceDN w:val="0"/>
        <w:spacing w:line="460" w:lineRule="exact"/>
        <w:ind w:firstLine="526" w:firstLineChars="200"/>
        <w:rPr>
          <w:rFonts w:hAnsi="宋体" w:cs="宋体"/>
          <w:color w:val="000000"/>
          <w:szCs w:val="24"/>
        </w:rPr>
      </w:pPr>
      <w:r>
        <w:rPr>
          <w:rFonts w:hint="eastAsia" w:hAnsi="宋体" w:cs="宋体"/>
          <w:color w:val="000000"/>
          <w:szCs w:val="24"/>
        </w:rPr>
        <w:t>（1）严格遵守国家和地方有关动植物保护和防止水土流失等环境保护法律法规，最大限度地减少占地产生的不利影响，减少对土壤的扰动、植被破坏，减少水土流失。</w:t>
      </w:r>
    </w:p>
    <w:p w14:paraId="62D4CE85">
      <w:pPr>
        <w:spacing w:line="460" w:lineRule="exact"/>
        <w:ind w:firstLine="526" w:firstLineChars="200"/>
        <w:rPr>
          <w:rFonts w:hAnsi="宋体" w:cs="宋体"/>
          <w:color w:val="000000"/>
          <w:szCs w:val="24"/>
          <w:lang w:val="en-GB"/>
        </w:rPr>
      </w:pPr>
      <w:r>
        <w:rPr>
          <w:rFonts w:hint="eastAsia" w:hAnsi="宋体" w:cs="宋体"/>
          <w:color w:val="000000"/>
          <w:szCs w:val="24"/>
        </w:rPr>
        <w:t>（2）</w:t>
      </w:r>
      <w:r>
        <w:rPr>
          <w:rFonts w:hint="eastAsia"/>
          <w:color w:val="000000"/>
          <w:szCs w:val="24"/>
        </w:rPr>
        <w:t>严格按照有关规定办理建设用地审批手续，贯彻“优化设计、动态设计”的设计理念，避免大填大挖，减少后期次生灾害的发生，充分体现“最大限度地保护，最小程度的破坏，最大限度地恢复”的原则。</w:t>
      </w:r>
      <w:r>
        <w:rPr>
          <w:rFonts w:hint="eastAsia" w:hAnsi="宋体" w:cs="宋体"/>
          <w:color w:val="000000"/>
          <w:szCs w:val="24"/>
          <w:lang w:val="en-GB"/>
        </w:rPr>
        <w:t>施工在开挖地表、平整土地时，临时堆土必须进行拦挡，施工完毕，应尽快整理施工现场。</w:t>
      </w:r>
    </w:p>
    <w:p w14:paraId="00EF3F40">
      <w:pPr>
        <w:spacing w:line="460" w:lineRule="exact"/>
        <w:ind w:firstLine="526" w:firstLineChars="200"/>
        <w:rPr>
          <w:rFonts w:hint="eastAsia" w:hAnsi="宋体" w:cs="宋体"/>
          <w:color w:val="000000"/>
        </w:rPr>
      </w:pPr>
      <w:r>
        <w:rPr>
          <w:rFonts w:hint="eastAsia" w:hAnsi="宋体"/>
          <w:color w:val="000000"/>
        </w:rPr>
        <w:t>（3）</w:t>
      </w:r>
      <w:r>
        <w:rPr>
          <w:rFonts w:hint="eastAsia" w:hAnsi="宋体" w:cs="宋体"/>
          <w:color w:val="000000"/>
        </w:rPr>
        <w:t>充分利用区域现有道路，施工机械和车辆应严格按照规定路线行驶，禁止随意开辟道路，防止扩大土壤和植被的破坏范围。施工期间，施工车辆临时停放尽可能利用现有空地，并严格控制施工作业带，</w:t>
      </w:r>
      <w:r>
        <w:rPr>
          <w:rFonts w:hint="eastAsia" w:hAnsi="宋体" w:cs="宋体"/>
          <w:color w:val="000000"/>
          <w:lang w:val="en-GB"/>
        </w:rPr>
        <w:t>采用拉设彩条方式限定运输车辆行驶范围，</w:t>
      </w:r>
      <w:r>
        <w:rPr>
          <w:rFonts w:hint="eastAsia" w:hAnsi="宋体" w:cs="宋体"/>
          <w:color w:val="000000"/>
        </w:rPr>
        <w:t>严禁人为破坏作业带以外区域植被；施工结束后进行场地恢复。</w:t>
      </w:r>
    </w:p>
    <w:p w14:paraId="0A5247BA">
      <w:pPr>
        <w:tabs>
          <w:tab w:val="left" w:pos="6987"/>
        </w:tabs>
        <w:spacing w:line="460" w:lineRule="exact"/>
        <w:ind w:firstLine="515" w:firstLineChars="196"/>
        <w:rPr>
          <w:rFonts w:hint="eastAsia" w:hAnsi="宋体" w:cs="宋体"/>
          <w:color w:val="000000"/>
          <w:lang w:val="en-GB"/>
        </w:rPr>
      </w:pPr>
      <w:r>
        <w:rPr>
          <w:rFonts w:hint="eastAsia" w:hAnsi="宋体"/>
          <w:color w:val="000000"/>
        </w:rPr>
        <w:t>（4）</w:t>
      </w:r>
      <w:r>
        <w:rPr>
          <w:rFonts w:hint="eastAsia" w:hAnsi="宋体" w:cs="宋体"/>
          <w:color w:val="000000"/>
          <w:kern w:val="0"/>
        </w:rPr>
        <w:t>工程结束后，建设单位应承担恢复生态的责任，及时对临时占地区域进行平整、恢复，减少水土流失。</w:t>
      </w:r>
    </w:p>
    <w:p w14:paraId="377B5CAB">
      <w:pPr>
        <w:spacing w:line="460" w:lineRule="exact"/>
        <w:ind w:firstLine="526" w:firstLineChars="200"/>
        <w:rPr>
          <w:rFonts w:hint="eastAsia" w:hAnsi="宋体"/>
          <w:color w:val="000000"/>
          <w:szCs w:val="24"/>
        </w:rPr>
      </w:pPr>
      <w:r>
        <w:rPr>
          <w:rFonts w:hint="eastAsia" w:hAnsi="宋体" w:cs="宋体"/>
          <w:color w:val="000000"/>
          <w:szCs w:val="24"/>
        </w:rPr>
        <w:t>（5）设计选线过程中，避免破坏荒漠植物，最大限度避免破坏野生动物的活动场所和生存环境</w:t>
      </w:r>
      <w:r>
        <w:rPr>
          <w:rFonts w:hint="eastAsia" w:hAnsi="宋体"/>
          <w:color w:val="000000"/>
          <w:szCs w:val="24"/>
        </w:rPr>
        <w:t>。</w:t>
      </w:r>
    </w:p>
    <w:p w14:paraId="29523920">
      <w:pPr>
        <w:spacing w:line="460" w:lineRule="exact"/>
        <w:ind w:firstLine="526" w:firstLineChars="200"/>
        <w:rPr>
          <w:rFonts w:hint="eastAsia" w:hAnsi="宋体"/>
          <w:color w:val="000000"/>
          <w:lang w:val="en-GB"/>
        </w:rPr>
      </w:pPr>
      <w:r>
        <w:rPr>
          <w:rFonts w:hint="eastAsia" w:hAnsi="宋体" w:cs="宋体"/>
          <w:color w:val="000000"/>
        </w:rPr>
        <w:t>类比塔中Ⅰ号气田现有管线等采取的地表扰动保护措施，</w:t>
      </w:r>
      <w:r>
        <w:rPr>
          <w:rFonts w:hint="eastAsia" w:hAnsi="宋体"/>
          <w:color w:val="000000"/>
        </w:rPr>
        <w:t>拟建工程</w:t>
      </w:r>
      <w:r>
        <w:rPr>
          <w:rFonts w:hint="eastAsia" w:hAnsi="宋体" w:cs="宋体"/>
          <w:color w:val="000000"/>
        </w:rPr>
        <w:t>采取的地表扰动保护措施可行。</w:t>
      </w:r>
    </w:p>
    <w:p w14:paraId="4305840C">
      <w:pPr>
        <w:spacing w:line="460" w:lineRule="exact"/>
        <w:outlineLvl w:val="3"/>
        <w:rPr>
          <w:rFonts w:hAnsi="宋体" w:cs="宋体"/>
          <w:color w:val="000000"/>
          <w:szCs w:val="24"/>
        </w:rPr>
      </w:pPr>
      <w:r>
        <w:rPr>
          <w:rFonts w:hint="eastAsia" w:hAnsi="宋体" w:cs="宋体"/>
          <w:color w:val="000000"/>
          <w:szCs w:val="24"/>
        </w:rPr>
        <w:t>6.1.1.2 动植物影响减缓措施</w:t>
      </w:r>
    </w:p>
    <w:p w14:paraId="628AA147">
      <w:pPr>
        <w:topLinePunct/>
        <w:spacing w:line="460" w:lineRule="exact"/>
        <w:ind w:firstLine="526" w:firstLineChars="200"/>
        <w:rPr>
          <w:rFonts w:hAnsi="宋体" w:cs="宋体"/>
          <w:color w:val="000000"/>
        </w:rPr>
      </w:pPr>
      <w:r>
        <w:rPr>
          <w:rFonts w:hint="eastAsia" w:hAnsi="宋体"/>
          <w:color w:val="000000"/>
        </w:rPr>
        <w:t>（1）</w:t>
      </w:r>
      <w:r>
        <w:rPr>
          <w:rFonts w:hint="eastAsia" w:hAnsi="宋体" w:cs="宋体"/>
          <w:color w:val="000000"/>
        </w:rPr>
        <w:t>施工过程中严格规定车辆和各类工作人员的活动范围，使之限于在施工区范围内活动，最大限度减少对植物生存环境的破坏，最大限度避免破坏野生动物的活动场所和生存环境。</w:t>
      </w:r>
    </w:p>
    <w:p w14:paraId="4D812DD3">
      <w:pPr>
        <w:topLinePunct/>
        <w:spacing w:line="460" w:lineRule="exact"/>
        <w:ind w:firstLine="534" w:firstLineChars="200"/>
        <w:rPr>
          <w:rFonts w:hAnsi="宋体" w:cs="宋体"/>
          <w:color w:val="000000"/>
          <w:spacing w:val="7"/>
        </w:rPr>
      </w:pPr>
      <w:r>
        <w:rPr>
          <w:rFonts w:hint="eastAsia" w:hAnsi="宋体"/>
          <w:color w:val="000000"/>
          <w:spacing w:val="7"/>
        </w:rPr>
        <w:t>（2）</w:t>
      </w:r>
      <w:r>
        <w:rPr>
          <w:rFonts w:hint="eastAsia" w:hAnsi="宋体" w:cs="宋体"/>
          <w:color w:val="000000"/>
          <w:spacing w:val="7"/>
        </w:rPr>
        <w:t>加强环境保护宣传工作，严禁在场地外砍伐植被；加强野生动物保护，对施工人员进行野生动物保护法的宣传教育，严禁施工人员惊扰、猎杀野生动物。</w:t>
      </w:r>
    </w:p>
    <w:p w14:paraId="3C4A2179">
      <w:pPr>
        <w:topLinePunct/>
        <w:spacing w:line="460" w:lineRule="exact"/>
        <w:ind w:firstLine="526" w:firstLineChars="200"/>
        <w:rPr>
          <w:rFonts w:hAnsi="宋体"/>
          <w:color w:val="000000"/>
        </w:rPr>
      </w:pPr>
      <w:r>
        <w:rPr>
          <w:rFonts w:hint="eastAsia" w:hAnsi="宋体"/>
          <w:color w:val="000000"/>
        </w:rPr>
        <w:t>（3）</w:t>
      </w:r>
      <w:r>
        <w:rPr>
          <w:rFonts w:hint="eastAsia" w:hAnsi="宋体" w:cs="宋体"/>
          <w:color w:val="000000"/>
        </w:rPr>
        <w:t>强化风险意识，制订切实可行的风险防范与应急预案，最大限度降低风险概率，避免事故泄漏和火灾爆炸事故可能对植物和野生动物的影响。</w:t>
      </w:r>
    </w:p>
    <w:p w14:paraId="3515BDC5">
      <w:pPr>
        <w:spacing w:line="460" w:lineRule="exact"/>
        <w:ind w:firstLine="526" w:firstLineChars="200"/>
        <w:rPr>
          <w:color w:val="000000"/>
          <w:szCs w:val="24"/>
        </w:rPr>
      </w:pPr>
      <w:r>
        <w:rPr>
          <w:rFonts w:hint="eastAsia" w:hAnsi="宋体"/>
          <w:color w:val="000000"/>
        </w:rPr>
        <w:t>类比塔中Ⅰ号气田已采取的</w:t>
      </w:r>
      <w:r>
        <w:rPr>
          <w:rFonts w:hint="eastAsia" w:hAnsi="宋体" w:cs="宋体"/>
          <w:color w:val="000000"/>
        </w:rPr>
        <w:t>动植物保护措施</w:t>
      </w:r>
      <w:r>
        <w:rPr>
          <w:rFonts w:hint="eastAsia" w:hAnsi="宋体"/>
          <w:color w:val="000000"/>
        </w:rPr>
        <w:t>，拟建工程采取的</w:t>
      </w:r>
      <w:r>
        <w:rPr>
          <w:rFonts w:hint="eastAsia" w:hAnsi="宋体" w:cs="宋体"/>
          <w:color w:val="000000"/>
        </w:rPr>
        <w:t>动植物保护措施</w:t>
      </w:r>
      <w:r>
        <w:rPr>
          <w:rFonts w:hint="eastAsia" w:hAnsi="宋体"/>
          <w:color w:val="000000"/>
        </w:rPr>
        <w:t>可行。</w:t>
      </w:r>
    </w:p>
    <w:p w14:paraId="0C0D7E3C">
      <w:pPr>
        <w:spacing w:line="460" w:lineRule="exact"/>
        <w:outlineLvl w:val="3"/>
        <w:rPr>
          <w:rFonts w:hAnsi="宋体" w:cs="宋体"/>
          <w:color w:val="000000"/>
          <w:szCs w:val="24"/>
        </w:rPr>
      </w:pPr>
      <w:r>
        <w:rPr>
          <w:rFonts w:hint="eastAsia" w:hAnsi="宋体" w:cs="宋体"/>
          <w:color w:val="000000"/>
          <w:szCs w:val="24"/>
        </w:rPr>
        <w:t>6.1.1.3 维持区域生态系统稳定性措施</w:t>
      </w:r>
    </w:p>
    <w:p w14:paraId="411EC2FC">
      <w:pPr>
        <w:spacing w:line="460" w:lineRule="exact"/>
        <w:ind w:firstLine="526" w:firstLineChars="200"/>
        <w:rPr>
          <w:color w:val="000000"/>
          <w:szCs w:val="24"/>
        </w:rPr>
      </w:pPr>
      <w:r>
        <w:rPr>
          <w:rFonts w:hint="eastAsia" w:hAnsi="宋体" w:cs="宋体"/>
          <w:color w:val="000000"/>
          <w:szCs w:val="24"/>
        </w:rPr>
        <w:t>（1）</w:t>
      </w:r>
      <w:r>
        <w:rPr>
          <w:rFonts w:hint="eastAsia"/>
          <w:color w:val="000000"/>
          <w:szCs w:val="24"/>
        </w:rPr>
        <w:t>管道</w:t>
      </w:r>
      <w:r>
        <w:rPr>
          <w:color w:val="000000"/>
          <w:szCs w:val="24"/>
        </w:rPr>
        <w:t>施工应严格限定作业范围</w:t>
      </w:r>
      <w:r>
        <w:rPr>
          <w:rFonts w:hint="eastAsia"/>
          <w:color w:val="000000"/>
          <w:szCs w:val="24"/>
        </w:rPr>
        <w:t>，</w:t>
      </w:r>
      <w:r>
        <w:rPr>
          <w:color w:val="000000"/>
          <w:szCs w:val="24"/>
        </w:rPr>
        <w:t>审慎确定作业线</w:t>
      </w:r>
      <w:r>
        <w:rPr>
          <w:rFonts w:hint="eastAsia"/>
          <w:color w:val="000000"/>
          <w:szCs w:val="24"/>
        </w:rPr>
        <w:t>，</w:t>
      </w:r>
      <w:r>
        <w:rPr>
          <w:color w:val="000000"/>
          <w:szCs w:val="24"/>
        </w:rPr>
        <w:t>不宜随意改线和重复施工</w:t>
      </w:r>
      <w:r>
        <w:rPr>
          <w:rFonts w:hint="eastAsia"/>
          <w:color w:val="000000"/>
          <w:szCs w:val="24"/>
        </w:rPr>
        <w:t>，</w:t>
      </w:r>
      <w:r>
        <w:rPr>
          <w:rFonts w:hint="eastAsia" w:hAnsi="宋体" w:cs="宋体"/>
          <w:color w:val="000000"/>
          <w:szCs w:val="24"/>
        </w:rPr>
        <w:t>施工过程中严格规定车辆和各类工作人员的活动范围，使之限于在施工区范围内活动，最大限度减少对荒漠植物生存环境的破坏。</w:t>
      </w:r>
    </w:p>
    <w:p w14:paraId="452F6165">
      <w:pPr>
        <w:spacing w:line="460" w:lineRule="exact"/>
        <w:ind w:firstLine="526" w:firstLineChars="200"/>
        <w:rPr>
          <w:color w:val="000000"/>
          <w:szCs w:val="24"/>
        </w:rPr>
      </w:pPr>
      <w:r>
        <w:rPr>
          <w:rFonts w:hint="eastAsia" w:hAnsi="宋体" w:cs="宋体"/>
          <w:color w:val="000000"/>
          <w:szCs w:val="24"/>
        </w:rPr>
        <w:t>（2）</w:t>
      </w:r>
      <w:r>
        <w:rPr>
          <w:rFonts w:hint="eastAsia" w:hAnsi="宋体" w:cs="宋体"/>
          <w:color w:val="000000"/>
        </w:rPr>
        <w:t>工程施工结束后，应对施工临时占地内的土地进行平整，恢复原有地貌。</w:t>
      </w:r>
    </w:p>
    <w:p w14:paraId="3F12B3B7">
      <w:pPr>
        <w:spacing w:line="460" w:lineRule="exact"/>
        <w:outlineLvl w:val="3"/>
        <w:rPr>
          <w:color w:val="000000"/>
          <w:szCs w:val="24"/>
        </w:rPr>
      </w:pPr>
      <w:r>
        <w:rPr>
          <w:rFonts w:hint="eastAsia"/>
          <w:color w:val="000000"/>
          <w:szCs w:val="24"/>
        </w:rPr>
        <w:t>6.1.1.4</w:t>
      </w:r>
      <w:r>
        <w:rPr>
          <w:rFonts w:hint="eastAsia" w:hAnsi="宋体" w:cs="宋体"/>
          <w:color w:val="000000"/>
          <w:szCs w:val="24"/>
        </w:rPr>
        <w:t>水土流失防治</w:t>
      </w:r>
      <w:r>
        <w:rPr>
          <w:rFonts w:hint="eastAsia"/>
          <w:color w:val="000000"/>
          <w:szCs w:val="24"/>
        </w:rPr>
        <w:t>措施</w:t>
      </w:r>
    </w:p>
    <w:p w14:paraId="486D10E7">
      <w:pPr>
        <w:pStyle w:val="10"/>
        <w:widowControl w:val="0"/>
        <w:tabs>
          <w:tab w:val="left" w:pos="5220"/>
        </w:tabs>
        <w:adjustRightInd w:val="0"/>
        <w:spacing w:line="460" w:lineRule="exact"/>
        <w:ind w:firstLine="526" w:firstLineChars="200"/>
        <w:jc w:val="both"/>
        <w:rPr>
          <w:rFonts w:hint="eastAsia" w:ascii="宋体" w:hAnsi="宋体" w:eastAsia="宋体" w:cs="宋体"/>
          <w:color w:val="000000"/>
          <w:sz w:val="24"/>
          <w:szCs w:val="24"/>
        </w:rPr>
      </w:pPr>
      <w:r>
        <w:rPr>
          <w:rFonts w:hint="eastAsia" w:ascii="宋体" w:hAnsi="宋体" w:eastAsia="宋体" w:cs="宋体"/>
          <w:color w:val="000000"/>
          <w:sz w:val="24"/>
          <w:szCs w:val="24"/>
        </w:rPr>
        <w:t>（1）场地平整：管道工程区需挖沟槽，施工后回覆，对管道工程区施工扰动区域采取场地平整措施，降低地面粗糙度，增加土壤抗蚀性。</w:t>
      </w:r>
    </w:p>
    <w:p w14:paraId="7A51A2F7">
      <w:pPr>
        <w:pStyle w:val="13"/>
        <w:adjustRightInd w:val="0"/>
        <w:spacing w:after="0" w:line="460" w:lineRule="exact"/>
        <w:ind w:firstLine="526" w:firstLineChars="200"/>
        <w:rPr>
          <w:rFonts w:hAnsi="宋体" w:eastAsia="宋体" w:cs="宋体"/>
          <w:color w:val="000000"/>
          <w:sz w:val="24"/>
          <w:szCs w:val="24"/>
        </w:rPr>
      </w:pPr>
      <w:r>
        <w:rPr>
          <w:rFonts w:hint="eastAsia" w:hAnsi="宋体" w:eastAsia="宋体" w:cs="宋体"/>
          <w:color w:val="000000"/>
          <w:sz w:val="24"/>
          <w:szCs w:val="24"/>
        </w:rPr>
        <w:t>（2）洒水抑尘：遇到干燥、易起尘的土方工程作业时辅以洒水抑尘。</w:t>
      </w:r>
    </w:p>
    <w:p w14:paraId="2D39F3A8">
      <w:pPr>
        <w:adjustRightInd w:val="0"/>
        <w:spacing w:line="460" w:lineRule="exact"/>
        <w:ind w:firstLine="526" w:firstLineChars="200"/>
        <w:rPr>
          <w:rFonts w:hint="eastAsia" w:hAnsi="宋体" w:cs="宋体"/>
          <w:color w:val="000000"/>
          <w:szCs w:val="24"/>
        </w:rPr>
      </w:pPr>
      <w:r>
        <w:rPr>
          <w:rFonts w:hint="eastAsia" w:hAnsi="宋体" w:cs="宋体"/>
          <w:color w:val="000000"/>
          <w:szCs w:val="24"/>
        </w:rPr>
        <w:t>（3）防尘网苫盖：单独敷设管道管沟开挖一侧临时堆放开挖土方，拟建工程对临时堆土布设一定的防尘网苫盖防护措施。</w:t>
      </w:r>
    </w:p>
    <w:p w14:paraId="28B29F97">
      <w:pPr>
        <w:pStyle w:val="13"/>
        <w:adjustRightInd w:val="0"/>
        <w:spacing w:after="0" w:line="460" w:lineRule="exact"/>
        <w:ind w:firstLine="526" w:firstLineChars="200"/>
        <w:rPr>
          <w:rFonts w:hint="eastAsia" w:hAnsi="宋体" w:eastAsia="宋体" w:cs="宋体"/>
          <w:color w:val="000000"/>
          <w:sz w:val="24"/>
          <w:szCs w:val="24"/>
        </w:rPr>
      </w:pPr>
      <w:r>
        <w:rPr>
          <w:rFonts w:hint="eastAsia" w:hAnsi="宋体" w:eastAsia="宋体" w:cs="宋体"/>
          <w:color w:val="000000"/>
          <w:sz w:val="24"/>
          <w:szCs w:val="24"/>
        </w:rPr>
        <w:t>（4）限行彩条旗：为严格控制和管理施工期间车辆行驶的范围，减轻对周边区域的扰动，在施工作业区两侧拉彩条旗以示明车辆行驶的边界，以避免增加对地表的扰动和破坏。</w:t>
      </w:r>
    </w:p>
    <w:p w14:paraId="341ECE38">
      <w:pPr>
        <w:pStyle w:val="13"/>
        <w:adjustRightInd w:val="0"/>
        <w:spacing w:after="0" w:line="480" w:lineRule="exact"/>
        <w:ind w:firstLine="526" w:firstLineChars="200"/>
        <w:rPr>
          <w:rFonts w:hAnsi="宋体" w:cs="宋体"/>
          <w:color w:val="000000"/>
          <w:sz w:val="24"/>
          <w:szCs w:val="24"/>
        </w:rPr>
      </w:pPr>
      <w:r>
        <w:rPr>
          <w:color w:val="000000"/>
          <w:sz w:val="24"/>
          <w:szCs w:val="24"/>
        </w:rPr>
        <w:pict>
          <v:shape id="图片 9" o:spid="_x0000_s1084" o:spt="75" type="#_x0000_t75" style="position:absolute;left:0pt;margin-left:35.95pt;margin-top:5.65pt;height:177.8pt;width:369.25pt;z-index:251665408;mso-width-relative:page;mso-height-relative:page;" filled="f" o:preferrelative="t" stroked="t" coordsize="21600,21600">
            <v:path/>
            <v:fill on="f" focussize="0,0"/>
            <v:stroke weight="1.5pt"/>
            <v:imagedata r:id="rId44" cropleft="1228f" croptop="8890f" cropright="782f" o:title=""/>
            <o:lock v:ext="edit" aspectratio="t"/>
          </v:shape>
        </w:pict>
      </w:r>
    </w:p>
    <w:p w14:paraId="719B28A0">
      <w:pPr>
        <w:pStyle w:val="14"/>
        <w:spacing w:line="480" w:lineRule="exact"/>
        <w:rPr>
          <w:rFonts w:hAnsi="宋体" w:cs="宋体"/>
          <w:color w:val="000000"/>
          <w:szCs w:val="24"/>
        </w:rPr>
      </w:pPr>
    </w:p>
    <w:p w14:paraId="477D22CC">
      <w:pPr>
        <w:spacing w:line="480" w:lineRule="exact"/>
        <w:ind w:firstLine="520" w:firstLineChars="198"/>
        <w:rPr>
          <w:color w:val="000000"/>
          <w:szCs w:val="24"/>
        </w:rPr>
      </w:pPr>
    </w:p>
    <w:p w14:paraId="2648C790">
      <w:pPr>
        <w:pStyle w:val="47"/>
        <w:spacing w:after="0" w:line="480" w:lineRule="exact"/>
        <w:ind w:left="527"/>
        <w:rPr>
          <w:rFonts w:hint="eastAsia"/>
          <w:color w:val="000000"/>
          <w:spacing w:val="5"/>
          <w:szCs w:val="24"/>
        </w:rPr>
      </w:pPr>
    </w:p>
    <w:p w14:paraId="1FBB3225">
      <w:pPr>
        <w:spacing w:line="480" w:lineRule="exact"/>
        <w:rPr>
          <w:rFonts w:ascii="Times New Roman" w:eastAsia="黑体"/>
          <w:snapToGrid w:val="0"/>
          <w:color w:val="000000"/>
          <w:spacing w:val="0"/>
          <w:szCs w:val="24"/>
        </w:rPr>
      </w:pPr>
    </w:p>
    <w:p w14:paraId="40B774D2">
      <w:pPr>
        <w:spacing w:line="480" w:lineRule="exact"/>
        <w:rPr>
          <w:color w:val="000000"/>
          <w:szCs w:val="24"/>
        </w:rPr>
      </w:pPr>
    </w:p>
    <w:p w14:paraId="3B478166">
      <w:pPr>
        <w:pStyle w:val="10"/>
        <w:widowControl w:val="0"/>
        <w:spacing w:line="480" w:lineRule="exact"/>
        <w:jc w:val="both"/>
        <w:rPr>
          <w:color w:val="000000"/>
          <w:sz w:val="24"/>
          <w:szCs w:val="24"/>
        </w:rPr>
      </w:pPr>
    </w:p>
    <w:p w14:paraId="41DD3A51">
      <w:pPr>
        <w:pStyle w:val="11"/>
        <w:spacing w:line="480" w:lineRule="exact"/>
        <w:ind w:firstLine="527"/>
        <w:rPr>
          <w:color w:val="000000"/>
          <w:spacing w:val="5"/>
        </w:rPr>
      </w:pPr>
    </w:p>
    <w:p w14:paraId="335E1063">
      <w:pPr>
        <w:spacing w:line="480" w:lineRule="exact"/>
        <w:jc w:val="center"/>
        <w:rPr>
          <w:rFonts w:hint="eastAsia" w:ascii="黑体" w:hAnsi="黑体" w:eastAsia="黑体" w:cs="宋体"/>
          <w:bCs/>
          <w:color w:val="000000"/>
          <w:szCs w:val="24"/>
        </w:rPr>
      </w:pPr>
      <w:r>
        <w:rPr>
          <w:rFonts w:hint="eastAsia" w:ascii="黑体" w:hAnsi="黑体" w:eastAsia="黑体" w:cs="宋体"/>
          <w:bCs/>
          <w:color w:val="000000"/>
          <w:szCs w:val="24"/>
        </w:rPr>
        <w:t>图6.1-1   限行彩条旗典型措施设计图</w:t>
      </w:r>
    </w:p>
    <w:p w14:paraId="2405939D">
      <w:pPr>
        <w:spacing w:line="460" w:lineRule="exact"/>
        <w:outlineLvl w:val="3"/>
        <w:rPr>
          <w:rFonts w:hint="eastAsia" w:hAnsi="宋体" w:cs="宋体"/>
          <w:color w:val="000000"/>
          <w:szCs w:val="24"/>
        </w:rPr>
      </w:pPr>
      <w:r>
        <w:rPr>
          <w:rFonts w:hint="eastAsia" w:hAnsi="宋体" w:cs="宋体"/>
          <w:color w:val="000000"/>
          <w:szCs w:val="24"/>
        </w:rPr>
        <w:t>6.1.1.5 防沙治沙措施</w:t>
      </w:r>
    </w:p>
    <w:p w14:paraId="7316DE56">
      <w:pPr>
        <w:spacing w:line="460" w:lineRule="exact"/>
        <w:ind w:firstLine="542" w:firstLineChars="200"/>
        <w:rPr>
          <w:rFonts w:hint="eastAsia" w:hAnsi="宋体" w:cs="宋体"/>
          <w:color w:val="000000"/>
          <w:szCs w:val="24"/>
        </w:rPr>
      </w:pPr>
      <w:r>
        <w:rPr>
          <w:rFonts w:hint="eastAsia" w:hAnsi="宋体" w:cs="宋体"/>
          <w:color w:val="000000"/>
          <w:spacing w:val="9"/>
        </w:rPr>
        <w:t>按照《中华人民共和国防沙治沙法》（2018年11月14日修订）有关规定以及《关于加强沙区建设项目环境影响评价工作的通知》（新环环评发〔2020〕138号）文件，在沙化土地范围内从事开发建设活动的，必须事先就该项目可能对当地及相关地区生态产生的影响进行环境影响评价，依法提交环境影响报告；环境影响报告应当包括有关防沙治沙的内容。</w:t>
      </w:r>
    </w:p>
    <w:p w14:paraId="38D635DF">
      <w:pPr>
        <w:spacing w:line="460" w:lineRule="exact"/>
        <w:ind w:firstLine="526" w:firstLineChars="200"/>
        <w:rPr>
          <w:rFonts w:hint="eastAsia" w:hAnsi="宋体" w:cs="宋体"/>
          <w:color w:val="000000"/>
        </w:rPr>
      </w:pPr>
      <w:r>
        <w:rPr>
          <w:rFonts w:hint="eastAsia" w:hAnsi="宋体" w:cs="宋体"/>
          <w:color w:val="000000"/>
        </w:rPr>
        <w:t>根据《新疆维吾尔自治区实施&lt;中华人民共和国防沙治沙法&gt;办法》（2025年1月1日实施）的要求，本次环评提出的防沙治沙方案具体内容如下。</w:t>
      </w:r>
    </w:p>
    <w:p w14:paraId="4F3FC209">
      <w:pPr>
        <w:spacing w:line="460" w:lineRule="exact"/>
        <w:ind w:firstLine="526" w:firstLineChars="200"/>
        <w:rPr>
          <w:rFonts w:hint="eastAsia" w:hAnsi="宋体" w:cs="宋体"/>
          <w:color w:val="000000"/>
        </w:rPr>
      </w:pPr>
      <w:r>
        <w:rPr>
          <w:rFonts w:hint="eastAsia" w:hAnsi="宋体" w:cs="宋体"/>
          <w:color w:val="000000"/>
        </w:rPr>
        <w:t>（1）防沙治沙采取的技术规范、标准</w:t>
      </w:r>
    </w:p>
    <w:p w14:paraId="3A1C0FD9">
      <w:pPr>
        <w:spacing w:line="460" w:lineRule="exact"/>
        <w:ind w:firstLine="526" w:firstLineChars="200"/>
        <w:rPr>
          <w:rFonts w:hint="eastAsia" w:hAnsi="宋体" w:cs="宋体"/>
          <w:color w:val="000000"/>
        </w:rPr>
      </w:pPr>
      <w:r>
        <w:rPr>
          <w:rFonts w:hint="eastAsia" w:hAnsi="宋体" w:cs="宋体"/>
          <w:color w:val="000000"/>
        </w:rPr>
        <w:t>①《中华人民共和国防沙治沙法》（2018年10月26日修订）；</w:t>
      </w:r>
    </w:p>
    <w:p w14:paraId="40B9BC72">
      <w:pPr>
        <w:spacing w:line="460" w:lineRule="exact"/>
        <w:ind w:firstLine="526" w:firstLineChars="200"/>
        <w:rPr>
          <w:rFonts w:hint="eastAsia" w:hAnsi="宋体" w:cs="宋体"/>
          <w:color w:val="000000"/>
        </w:rPr>
      </w:pPr>
      <w:r>
        <w:rPr>
          <w:rFonts w:hint="eastAsia" w:hAnsi="宋体" w:cs="宋体"/>
          <w:color w:val="000000"/>
        </w:rPr>
        <w:t>②《关于加强沙区建设项目环境影响评价工作的通知》（新环环评发〔2020〕138号）；</w:t>
      </w:r>
    </w:p>
    <w:p w14:paraId="1E58600E">
      <w:pPr>
        <w:spacing w:line="460" w:lineRule="exact"/>
        <w:ind w:firstLine="526" w:firstLineChars="200"/>
        <w:rPr>
          <w:rFonts w:hint="eastAsia" w:hAnsi="宋体" w:cs="宋体"/>
          <w:color w:val="000000"/>
        </w:rPr>
      </w:pPr>
      <w:r>
        <w:rPr>
          <w:rFonts w:hint="eastAsia" w:hAnsi="宋体" w:cs="宋体"/>
          <w:color w:val="000000"/>
        </w:rPr>
        <w:t>③《防沙治沙技术规范》（GB/T21141-2007）；</w:t>
      </w:r>
    </w:p>
    <w:p w14:paraId="71C54C76">
      <w:pPr>
        <w:spacing w:line="460" w:lineRule="exact"/>
        <w:ind w:firstLine="526" w:firstLineChars="200"/>
        <w:rPr>
          <w:rFonts w:hint="eastAsia" w:hAnsi="宋体" w:cs="宋体"/>
          <w:color w:val="000000"/>
        </w:rPr>
      </w:pPr>
      <w:r>
        <w:rPr>
          <w:rFonts w:hint="eastAsia" w:hAnsi="宋体" w:cs="宋体"/>
          <w:color w:val="000000"/>
        </w:rPr>
        <w:t>④《国家林业局关于做好沙区开发建设项目环评中防沙治沙内容评价工作的意见》（林沙发〔2013〕136号）；</w:t>
      </w:r>
    </w:p>
    <w:p w14:paraId="0F87A33D">
      <w:pPr>
        <w:spacing w:line="460" w:lineRule="exact"/>
        <w:ind w:firstLine="526" w:firstLineChars="200"/>
        <w:rPr>
          <w:rFonts w:hint="eastAsia" w:hAnsi="宋体" w:cs="宋体"/>
          <w:color w:val="000000"/>
        </w:rPr>
      </w:pPr>
      <w:r>
        <w:rPr>
          <w:rFonts w:hint="eastAsia" w:hAnsi="宋体" w:cs="宋体"/>
          <w:color w:val="000000"/>
        </w:rPr>
        <w:fldChar w:fldCharType="begin"/>
      </w:r>
      <w:r>
        <w:rPr>
          <w:rFonts w:hint="eastAsia" w:hAnsi="宋体" w:cs="宋体"/>
          <w:color w:val="000000"/>
        </w:rPr>
        <w:instrText xml:space="preserve"> = 5 \* GB3 \* MERGEFORMAT </w:instrText>
      </w:r>
      <w:r>
        <w:rPr>
          <w:rFonts w:hint="eastAsia" w:hAnsi="宋体" w:cs="宋体"/>
          <w:color w:val="000000"/>
        </w:rPr>
        <w:fldChar w:fldCharType="separate"/>
      </w:r>
      <w:r>
        <w:rPr>
          <w:rFonts w:hint="eastAsia" w:hAnsi="宋体" w:cs="宋体"/>
          <w:color w:val="000000"/>
        </w:rPr>
        <w:t>⑤</w:t>
      </w:r>
      <w:r>
        <w:rPr>
          <w:rFonts w:hint="eastAsia" w:hAnsi="宋体" w:cs="宋体"/>
          <w:color w:val="000000"/>
        </w:rPr>
        <w:fldChar w:fldCharType="end"/>
      </w:r>
      <w:r>
        <w:rPr>
          <w:rFonts w:hint="eastAsia" w:hAnsi="宋体" w:cs="宋体"/>
          <w:color w:val="000000"/>
        </w:rPr>
        <w:t>《沙化土地监测技术规程》（GB/T 24255-2009）。</w:t>
      </w:r>
    </w:p>
    <w:p w14:paraId="0AC00348">
      <w:pPr>
        <w:spacing w:line="460" w:lineRule="exact"/>
        <w:ind w:firstLine="526" w:firstLineChars="200"/>
        <w:rPr>
          <w:rFonts w:hint="eastAsia" w:hAnsi="宋体" w:cs="宋体"/>
          <w:color w:val="000000"/>
        </w:rPr>
      </w:pPr>
      <w:r>
        <w:rPr>
          <w:rFonts w:hint="eastAsia" w:hAnsi="宋体" w:cs="宋体"/>
          <w:color w:val="000000"/>
        </w:rPr>
        <w:t>（2）制定方案的原则与目标</w:t>
      </w:r>
    </w:p>
    <w:p w14:paraId="367C921E">
      <w:pPr>
        <w:spacing w:line="460" w:lineRule="exact"/>
        <w:ind w:firstLine="526" w:firstLineChars="200"/>
        <w:rPr>
          <w:rFonts w:hint="eastAsia" w:hAnsi="宋体" w:cs="宋体"/>
          <w:color w:val="000000"/>
        </w:rPr>
      </w:pPr>
      <w:r>
        <w:rPr>
          <w:rFonts w:hint="eastAsia" w:hAnsi="宋体" w:cs="宋体"/>
          <w:color w:val="000000"/>
        </w:rPr>
        <w:t>A.制定方案的原则：</w:t>
      </w:r>
    </w:p>
    <w:p w14:paraId="090F34BD">
      <w:pPr>
        <w:spacing w:line="460" w:lineRule="exact"/>
        <w:ind w:firstLine="526" w:firstLineChars="200"/>
        <w:rPr>
          <w:rFonts w:hint="eastAsia" w:hAnsi="宋体" w:cs="宋体"/>
          <w:color w:val="000000"/>
        </w:rPr>
      </w:pPr>
      <w:r>
        <w:rPr>
          <w:rFonts w:hint="eastAsia" w:hAnsi="宋体" w:cs="宋体"/>
          <w:color w:val="000000"/>
        </w:rPr>
        <w:t>①预防为主，保护优先：加强对沙化土地的监测和预警，及时采取预防措施，防止沙化土地进一步扩大。</w:t>
      </w:r>
    </w:p>
    <w:p w14:paraId="1EA946FE">
      <w:pPr>
        <w:spacing w:line="460" w:lineRule="exact"/>
        <w:ind w:firstLine="526" w:firstLineChars="200"/>
        <w:rPr>
          <w:rFonts w:hint="eastAsia" w:hAnsi="宋体" w:cs="宋体"/>
          <w:color w:val="000000"/>
        </w:rPr>
      </w:pPr>
      <w:r>
        <w:rPr>
          <w:rFonts w:hint="eastAsia" w:hAnsi="宋体" w:cs="宋体"/>
          <w:color w:val="000000"/>
        </w:rPr>
        <w:t>②因地制宜，分区施策：根据轮古油气田不同区域的自然条件和沙化程度，制定针对性的防沙治沙措施。</w:t>
      </w:r>
    </w:p>
    <w:p w14:paraId="231A3282">
      <w:pPr>
        <w:spacing w:line="460" w:lineRule="exact"/>
        <w:ind w:firstLine="526" w:firstLineChars="200"/>
        <w:rPr>
          <w:rFonts w:hint="eastAsia" w:hAnsi="宋体" w:cs="宋体"/>
          <w:color w:val="000000"/>
        </w:rPr>
      </w:pPr>
      <w:r>
        <w:rPr>
          <w:rFonts w:hint="eastAsia" w:hAnsi="宋体" w:cs="宋体"/>
          <w:color w:val="000000"/>
        </w:rPr>
        <w:t>③科学防治，合理利用：依靠科学技术，提高防沙治沙的科学性和有效性，同时注重沙区资源的合理开发和利用。</w:t>
      </w:r>
    </w:p>
    <w:p w14:paraId="4640CFDA">
      <w:pPr>
        <w:spacing w:line="460" w:lineRule="exact"/>
        <w:ind w:firstLine="526" w:firstLineChars="200"/>
        <w:rPr>
          <w:rFonts w:hint="eastAsia" w:hAnsi="宋体" w:cs="宋体"/>
          <w:color w:val="000000"/>
        </w:rPr>
      </w:pPr>
      <w:r>
        <w:rPr>
          <w:rFonts w:hint="eastAsia" w:hAnsi="宋体" w:cs="宋体"/>
          <w:color w:val="000000"/>
        </w:rPr>
        <w:t>④统筹推进，综合效益：将防沙治沙与生态保护、经济发展、民生改善相结合，实现生态效益、经济效益和社会效益的有机统一。</w:t>
      </w:r>
    </w:p>
    <w:p w14:paraId="321BC5C1">
      <w:pPr>
        <w:spacing w:line="460" w:lineRule="exact"/>
        <w:ind w:firstLine="526" w:firstLineChars="200"/>
        <w:rPr>
          <w:rFonts w:hint="eastAsia" w:hAnsi="宋体" w:cs="宋体"/>
          <w:color w:val="000000"/>
        </w:rPr>
      </w:pPr>
      <w:r>
        <w:rPr>
          <w:rFonts w:hint="eastAsia" w:hAnsi="宋体" w:cs="宋体"/>
          <w:color w:val="000000"/>
        </w:rPr>
        <w:t>B.制定方案的目标：</w:t>
      </w:r>
    </w:p>
    <w:p w14:paraId="23C50FE2">
      <w:pPr>
        <w:spacing w:line="460" w:lineRule="exact"/>
        <w:ind w:firstLine="526" w:firstLineChars="200"/>
        <w:rPr>
          <w:rFonts w:hint="eastAsia" w:hAnsi="宋体" w:cs="宋体"/>
          <w:color w:val="000000"/>
        </w:rPr>
      </w:pPr>
      <w:r>
        <w:rPr>
          <w:rFonts w:hint="eastAsia" w:hAnsi="宋体" w:cs="宋体"/>
          <w:color w:val="000000"/>
        </w:rPr>
        <w:t>通过工程建设，沙化土地扩展趋势得到遏制。</w:t>
      </w:r>
    </w:p>
    <w:p w14:paraId="35F92A94">
      <w:pPr>
        <w:spacing w:line="460" w:lineRule="exact"/>
        <w:ind w:firstLine="526" w:firstLineChars="200"/>
        <w:rPr>
          <w:rFonts w:hint="eastAsia" w:hAnsi="宋体" w:cs="宋体"/>
          <w:color w:val="000000"/>
        </w:rPr>
      </w:pPr>
      <w:r>
        <w:rPr>
          <w:rFonts w:hint="eastAsia" w:hAnsi="宋体" w:cs="宋体"/>
          <w:color w:val="000000"/>
        </w:rPr>
        <w:t>（3）工程措施（物理、化学固沙及其他机械固沙措施）</w:t>
      </w:r>
    </w:p>
    <w:p w14:paraId="69A1D759">
      <w:pPr>
        <w:spacing w:line="460" w:lineRule="exact"/>
        <w:ind w:firstLine="506" w:firstLineChars="200"/>
        <w:rPr>
          <w:rFonts w:hint="eastAsia" w:hAnsi="宋体" w:cs="宋体"/>
          <w:color w:val="000000"/>
          <w:spacing w:val="0"/>
        </w:rPr>
      </w:pPr>
      <w:r>
        <w:rPr>
          <w:rFonts w:hint="eastAsia" w:hAnsi="宋体" w:cs="宋体"/>
          <w:color w:val="000000"/>
          <w:spacing w:val="0"/>
        </w:rPr>
        <w:t>巩固防护体系，更新固沙措施，关键设施试用新型固沙措施。巩固治理成果，确保已固定的沙丘不再活化，植被群落趋于稳定，具备自然更新能力。形成可持续防护体系，使项目所在区域内主要设施（管线）周边风沙危害降低60%以上。</w:t>
      </w:r>
    </w:p>
    <w:p w14:paraId="4917B3E9">
      <w:pPr>
        <w:spacing w:line="460" w:lineRule="exact"/>
        <w:ind w:firstLine="542" w:firstLineChars="200"/>
        <w:rPr>
          <w:rFonts w:hint="eastAsia" w:hAnsi="宋体" w:cs="宋体"/>
          <w:color w:val="000000"/>
          <w:spacing w:val="9"/>
        </w:rPr>
      </w:pPr>
      <w:r>
        <w:rPr>
          <w:rFonts w:hint="eastAsia" w:hAnsi="宋体" w:cs="宋体"/>
          <w:color w:val="000000"/>
          <w:spacing w:val="9"/>
        </w:rPr>
        <w:t>（4）植物措施（在流动沙地、风蚀严重的风口、施工区域及村庄、道路、河流等区域采取的恢复林草植被的林网、林带和片林等防风固沙植被恢复措施）</w:t>
      </w:r>
    </w:p>
    <w:p w14:paraId="2D846DEE">
      <w:pPr>
        <w:spacing w:line="460" w:lineRule="exact"/>
        <w:ind w:firstLine="526" w:firstLineChars="200"/>
        <w:rPr>
          <w:rFonts w:hint="eastAsia" w:hAnsi="宋体" w:cs="宋体"/>
          <w:color w:val="000000"/>
        </w:rPr>
      </w:pPr>
      <w:r>
        <w:rPr>
          <w:rFonts w:hint="eastAsia" w:hAnsi="宋体" w:cs="宋体"/>
          <w:color w:val="000000"/>
        </w:rPr>
        <w:t>施工过程中，对于管道工程，尽可能在植被覆盖度高的地段采取人工开挖，局部降低作业带宽度，减少对植被的破坏；</w:t>
      </w:r>
    </w:p>
    <w:p w14:paraId="42C76B34">
      <w:pPr>
        <w:spacing w:line="460" w:lineRule="exact"/>
        <w:ind w:firstLine="526" w:firstLineChars="200"/>
        <w:rPr>
          <w:rFonts w:hint="eastAsia" w:hAnsi="宋体" w:cs="宋体"/>
          <w:color w:val="000000"/>
        </w:rPr>
      </w:pPr>
      <w:r>
        <w:rPr>
          <w:rFonts w:hint="eastAsia" w:hAnsi="宋体" w:cs="宋体"/>
          <w:color w:val="000000"/>
        </w:rPr>
        <w:t>（5）其他措施（废弃弃土、石、渣及其他地面覆盖处理措施）</w:t>
      </w:r>
    </w:p>
    <w:p w14:paraId="71CAEB25">
      <w:pPr>
        <w:spacing w:line="460" w:lineRule="exact"/>
        <w:ind w:firstLine="526" w:firstLineChars="200"/>
        <w:rPr>
          <w:rFonts w:hAnsi="宋体" w:cs="宋体"/>
          <w:color w:val="000000"/>
        </w:rPr>
      </w:pPr>
      <w:r>
        <w:rPr>
          <w:rFonts w:hint="eastAsia" w:hAnsi="宋体" w:cs="宋体"/>
          <w:color w:val="000000"/>
        </w:rPr>
        <w:t>针对管沟开挖过程，提出如下措施：①施工土方全部用于管沟回填，严禁随意堆置。②遇到干燥、易起尘的土方工程作业时，应辅以洒水压尘，尽量缩短起尘操作时间，遇到四级及四级以上大风天气，应停止土方作业，同时作业处覆以防尘网。③在施工过程中，不得随意碾压区域内其他固沙植被。④管沟开挖过程中采取边开挖边回填措施，降低土壤裸露风化风险，严禁随意堆存。</w:t>
      </w:r>
    </w:p>
    <w:p w14:paraId="5E83A38E">
      <w:pPr>
        <w:spacing w:line="460" w:lineRule="exact"/>
        <w:ind w:firstLine="526" w:firstLineChars="200"/>
        <w:rPr>
          <w:rFonts w:hint="eastAsia" w:hAnsi="宋体" w:cs="宋体"/>
          <w:color w:val="000000"/>
        </w:rPr>
      </w:pPr>
      <w:r>
        <w:rPr>
          <w:rFonts w:hAnsi="宋体" w:cs="宋体"/>
          <w:color w:val="000000"/>
        </w:rPr>
        <w:t>针对施工机械及运输车辆，提出如下措施：施工期间应划定施工活动范围，严格控制和管理运输车辆及重型机械的运行线路和范围，不得离开运输道路及随意行驶，由专人负责，以防破坏土壤和植被，加剧土地荒漠化。土地临时使用过程中发现土地沙化或者沙化程度加重的，应当及时报告当地人民政府</w:t>
      </w:r>
      <w:r>
        <w:rPr>
          <w:rFonts w:hint="eastAsia" w:hAnsi="宋体" w:cs="宋体"/>
          <w:color w:val="000000"/>
        </w:rPr>
        <w:t>。</w:t>
      </w:r>
    </w:p>
    <w:p w14:paraId="1C793424">
      <w:pPr>
        <w:spacing w:line="460" w:lineRule="exact"/>
        <w:ind w:firstLine="526" w:firstLineChars="200"/>
        <w:rPr>
          <w:rFonts w:hint="eastAsia" w:hAnsi="宋体" w:cs="宋体"/>
          <w:color w:val="000000"/>
        </w:rPr>
      </w:pPr>
      <w:r>
        <w:rPr>
          <w:rFonts w:hint="eastAsia" w:hAnsi="宋体" w:cs="宋体"/>
          <w:color w:val="000000"/>
        </w:rPr>
        <w:t>（6）各种措施总量和年度实施计划、完成期限等</w:t>
      </w:r>
    </w:p>
    <w:p w14:paraId="42EF62F8">
      <w:pPr>
        <w:spacing w:line="460" w:lineRule="exact"/>
        <w:ind w:firstLine="526" w:firstLineChars="200"/>
        <w:rPr>
          <w:rFonts w:hint="eastAsia" w:hAnsi="宋体" w:cs="宋体"/>
          <w:color w:val="000000"/>
        </w:rPr>
      </w:pPr>
      <w:r>
        <w:rPr>
          <w:rFonts w:hint="eastAsia" w:hAnsi="宋体" w:cs="宋体"/>
          <w:color w:val="000000"/>
        </w:rPr>
        <w:t>工程措施、植被措施及其他措施，要求在管线建设完成投入运行之前完成，严禁防沙治沙措施未完成即投入运行。</w:t>
      </w:r>
    </w:p>
    <w:p w14:paraId="229C1BBB">
      <w:pPr>
        <w:spacing w:line="460" w:lineRule="exact"/>
        <w:ind w:firstLine="526" w:firstLineChars="200"/>
        <w:rPr>
          <w:rFonts w:hint="eastAsia" w:hAnsi="宋体" w:cs="宋体"/>
          <w:color w:val="000000"/>
        </w:rPr>
      </w:pPr>
      <w:r>
        <w:rPr>
          <w:rFonts w:hint="eastAsia" w:hAnsi="宋体" w:cs="宋体"/>
          <w:color w:val="000000"/>
        </w:rPr>
        <w:t>（7）方案实施保障措施</w:t>
      </w:r>
    </w:p>
    <w:p w14:paraId="5365B072">
      <w:pPr>
        <w:spacing w:line="460" w:lineRule="exact"/>
        <w:ind w:firstLine="526" w:firstLineChars="200"/>
        <w:rPr>
          <w:rFonts w:hint="eastAsia" w:hAnsi="宋体" w:cs="宋体"/>
          <w:color w:val="000000"/>
        </w:rPr>
      </w:pPr>
      <w:r>
        <w:rPr>
          <w:rFonts w:hint="eastAsia" w:hAnsi="宋体" w:cs="宋体"/>
          <w:color w:val="000000"/>
        </w:rPr>
        <w:t>①组织领导措施</w:t>
      </w:r>
    </w:p>
    <w:p w14:paraId="3FBFE17D">
      <w:pPr>
        <w:spacing w:line="460" w:lineRule="exact"/>
        <w:ind w:firstLine="526" w:firstLineChars="200"/>
        <w:rPr>
          <w:rFonts w:hint="eastAsia" w:hAnsi="宋体" w:cs="宋体"/>
          <w:color w:val="000000"/>
        </w:rPr>
      </w:pPr>
      <w:r>
        <w:rPr>
          <w:rFonts w:hint="eastAsia" w:hAnsi="宋体" w:cs="宋体"/>
          <w:color w:val="000000"/>
        </w:rPr>
        <w:t>防沙治沙是维护生态安全，促进经济发展和人与自然和谐相处的重要举措。拟建项目防沙治沙工程中塔里木油田分公司为第一责任人，各施工队作为措施落实方，属于主要责任人。塔里木油田分公司应在各施工队施工过程中，提出具体的目标及要求，并落实到具体人员。</w:t>
      </w:r>
    </w:p>
    <w:p w14:paraId="4FA182A2">
      <w:pPr>
        <w:spacing w:line="480" w:lineRule="exact"/>
        <w:ind w:firstLine="526" w:firstLineChars="200"/>
        <w:rPr>
          <w:rFonts w:hint="eastAsia" w:hAnsi="宋体" w:cs="宋体"/>
          <w:color w:val="000000"/>
        </w:rPr>
      </w:pPr>
      <w:r>
        <w:rPr>
          <w:rFonts w:hint="eastAsia" w:hAnsi="宋体" w:cs="宋体"/>
          <w:color w:val="000000"/>
        </w:rPr>
        <w:t>②技术保证措施</w:t>
      </w:r>
    </w:p>
    <w:p w14:paraId="51E28AA4">
      <w:pPr>
        <w:spacing w:line="480" w:lineRule="exact"/>
        <w:ind w:firstLine="526" w:firstLineChars="200"/>
        <w:rPr>
          <w:rFonts w:hint="eastAsia" w:hAnsi="宋体" w:cs="宋体"/>
          <w:color w:val="000000"/>
        </w:rPr>
      </w:pPr>
      <w:r>
        <w:rPr>
          <w:rFonts w:hint="eastAsia" w:hAnsi="宋体" w:cs="宋体"/>
          <w:color w:val="000000"/>
        </w:rPr>
        <w:t>邀请各级林业部门组织开展多层次、多形式的技术培训，加强参与防沙治沙工程的人员的培训工作，使其掌握防沙治沙工程建设、管理的基本技术要求，增强人员主动参与防沙治沙能力和积极性；塔里木盆地自然条件恶劣，水资源短缺，项目建设的各个环节过程中，加强人员的节水意识，避免铺张浪费，提高水的重复利用性。</w:t>
      </w:r>
    </w:p>
    <w:p w14:paraId="407778BF">
      <w:pPr>
        <w:spacing w:line="480" w:lineRule="exact"/>
        <w:ind w:firstLine="526" w:firstLineChars="200"/>
        <w:rPr>
          <w:rFonts w:hint="eastAsia" w:hAnsi="宋体" w:cs="宋体"/>
          <w:color w:val="000000"/>
        </w:rPr>
      </w:pPr>
      <w:r>
        <w:rPr>
          <w:rFonts w:hint="eastAsia" w:hAnsi="宋体" w:cs="宋体"/>
          <w:color w:val="000000"/>
        </w:rPr>
        <w:t>③防沙治沙措施投资概算及资金筹措情况</w:t>
      </w:r>
    </w:p>
    <w:p w14:paraId="2BE63642">
      <w:pPr>
        <w:spacing w:line="480" w:lineRule="exact"/>
        <w:ind w:firstLine="526" w:firstLineChars="200"/>
        <w:rPr>
          <w:rFonts w:hint="eastAsia" w:hAnsi="宋体" w:cs="宋体"/>
          <w:color w:val="000000"/>
        </w:rPr>
      </w:pPr>
      <w:r>
        <w:rPr>
          <w:rFonts w:hint="eastAsia" w:hAnsi="宋体" w:cs="宋体"/>
          <w:color w:val="000000"/>
        </w:rPr>
        <w:t>拟建项目防沙治沙措施投资10万元，由塔里木油田分公司自行筹措，已在拟建项目总投资中考虑。</w:t>
      </w:r>
    </w:p>
    <w:p w14:paraId="1F81A404">
      <w:pPr>
        <w:spacing w:line="480" w:lineRule="exact"/>
        <w:ind w:firstLine="526" w:firstLineChars="200"/>
        <w:rPr>
          <w:rFonts w:hint="eastAsia" w:hAnsi="宋体" w:cs="宋体"/>
          <w:color w:val="000000"/>
        </w:rPr>
      </w:pPr>
      <w:r>
        <w:rPr>
          <w:rFonts w:hint="eastAsia" w:hAnsi="宋体" w:cs="宋体"/>
          <w:color w:val="000000"/>
        </w:rPr>
        <w:t>④生态、经济效益预测</w:t>
      </w:r>
    </w:p>
    <w:p w14:paraId="7A23F6B5">
      <w:pPr>
        <w:spacing w:line="480" w:lineRule="exact"/>
        <w:ind w:firstLine="526" w:firstLineChars="200"/>
        <w:rPr>
          <w:rFonts w:hint="eastAsia" w:hAnsi="宋体" w:cs="宋体"/>
          <w:color w:val="000000"/>
        </w:rPr>
      </w:pPr>
      <w:r>
        <w:rPr>
          <w:rFonts w:hint="eastAsia" w:hAnsi="宋体" w:cs="宋体"/>
          <w:color w:val="000000"/>
        </w:rPr>
        <w:t>拟建项目防沙治沙措施实施后，预计塔中Ⅰ号气田沙化土地扩展趋势得到一定的遏制。</w:t>
      </w:r>
    </w:p>
    <w:p w14:paraId="7EA009D7">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6.1.2 运营期生态保护措施</w:t>
      </w:r>
    </w:p>
    <w:p w14:paraId="2930DE81">
      <w:pPr>
        <w:spacing w:line="480" w:lineRule="exact"/>
        <w:ind w:firstLine="526" w:firstLineChars="200"/>
        <w:rPr>
          <w:rFonts w:hint="eastAsia"/>
          <w:color w:val="000000"/>
          <w:szCs w:val="24"/>
        </w:rPr>
      </w:pPr>
      <w:r>
        <w:rPr>
          <w:rFonts w:hint="eastAsia"/>
          <w:color w:val="000000"/>
          <w:szCs w:val="24"/>
        </w:rPr>
        <w:t>拟建工程实施后，运营期生态恢复措施以保持和维持施工期结束时采取的措施为主。在管线上方设置标志，以防附近的各类施工活动对管线的破坏。定期检查管线，如发生管线老化，接口断裂，及时更换管线。在道路边、油田区，设置“保护生态环境、保护野生动植物”等警示牌，并从管理上对作业人员加强宣传教育，切实提高保护生态环境的意识。</w:t>
      </w:r>
    </w:p>
    <w:p w14:paraId="11BA140F">
      <w:pPr>
        <w:autoSpaceDE w:val="0"/>
        <w:autoSpaceDN w:val="0"/>
        <w:adjustRightInd w:val="0"/>
        <w:spacing w:line="480" w:lineRule="exact"/>
        <w:ind w:firstLine="526" w:firstLineChars="200"/>
        <w:rPr>
          <w:rFonts w:hint="eastAsia" w:hAnsi="宋体" w:cs="宋体"/>
          <w:color w:val="000000"/>
          <w:szCs w:val="24"/>
        </w:rPr>
      </w:pPr>
      <w:r>
        <w:rPr>
          <w:rFonts w:hint="eastAsia"/>
          <w:color w:val="000000"/>
          <w:szCs w:val="24"/>
        </w:rPr>
        <w:t>类比同类项目采取的生态恢复措施，拟建工程采取的生态恢复措施可行</w:t>
      </w:r>
      <w:r>
        <w:rPr>
          <w:rFonts w:hint="eastAsia" w:hAnsi="宋体"/>
          <w:color w:val="000000"/>
          <w:szCs w:val="24"/>
        </w:rPr>
        <w:t>。</w:t>
      </w:r>
    </w:p>
    <w:p w14:paraId="6F4919D6">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6.1.3 退役期生态保护措施</w:t>
      </w:r>
    </w:p>
    <w:p w14:paraId="45A436B3">
      <w:pPr>
        <w:topLinePunct/>
        <w:spacing w:line="480" w:lineRule="exact"/>
        <w:ind w:firstLine="526" w:firstLineChars="200"/>
        <w:rPr>
          <w:rFonts w:hint="eastAsia" w:hAnsi="宋体"/>
          <w:color w:val="000000"/>
          <w:szCs w:val="24"/>
        </w:rPr>
      </w:pPr>
      <w:r>
        <w:rPr>
          <w:rFonts w:hint="eastAsia" w:hAnsi="宋体"/>
          <w:color w:val="000000"/>
          <w:szCs w:val="24"/>
        </w:rPr>
        <w:t>(1)废弃管线维持现状，避免因开挖管线对区域生态环境造成二次破坏，管线内物质应清空干净，并按要求进行清洗，管线两端使用盲板封堵。</w:t>
      </w:r>
    </w:p>
    <w:p w14:paraId="488EAAE9">
      <w:pPr>
        <w:spacing w:line="480" w:lineRule="exact"/>
        <w:ind w:firstLine="526" w:firstLineChars="200"/>
        <w:rPr>
          <w:rFonts w:hint="eastAsia"/>
          <w:color w:val="000000"/>
          <w:szCs w:val="24"/>
        </w:rPr>
      </w:pPr>
      <w:r>
        <w:rPr>
          <w:rFonts w:hint="eastAsia" w:hAnsi="宋体"/>
          <w:color w:val="000000"/>
          <w:szCs w:val="24"/>
        </w:rPr>
        <w:t>(2)管线两端应进行隔离，隔离可采用焊接封头、盲板或者管塞等方式进行，隔离材料应满足环保、防水、防渗透、耐老化、不可压缩、防腐蚀等性能要求</w:t>
      </w:r>
      <w:r>
        <w:rPr>
          <w:rFonts w:hint="eastAsia"/>
          <w:color w:val="000000"/>
          <w:szCs w:val="24"/>
        </w:rPr>
        <w:t>。</w:t>
      </w:r>
    </w:p>
    <w:p w14:paraId="61961578">
      <w:pPr>
        <w:spacing w:line="480" w:lineRule="exact"/>
        <w:outlineLvl w:val="1"/>
        <w:rPr>
          <w:rFonts w:hint="eastAsia" w:ascii="黑体" w:hAnsi="黑体" w:eastAsia="黑体" w:cs="黑体"/>
          <w:color w:val="000000"/>
          <w:sz w:val="28"/>
          <w:szCs w:val="28"/>
          <w:lang w:bidi="ar"/>
        </w:rPr>
      </w:pPr>
      <w:bookmarkStart w:id="247" w:name="_Toc208474693"/>
      <w:bookmarkStart w:id="248" w:name="_Toc198040345"/>
      <w:bookmarkStart w:id="249" w:name="_Toc230178809"/>
      <w:bookmarkStart w:id="250" w:name="_Toc198040201"/>
      <w:r>
        <w:rPr>
          <w:rFonts w:hint="eastAsia" w:ascii="黑体" w:hAnsi="黑体" w:eastAsia="黑体" w:cs="黑体"/>
          <w:color w:val="000000"/>
          <w:sz w:val="28"/>
          <w:szCs w:val="28"/>
          <w:lang w:bidi="ar"/>
        </w:rPr>
        <w:t>6.2 地下水环境保护措施可行性论证</w:t>
      </w:r>
      <w:bookmarkEnd w:id="247"/>
      <w:bookmarkEnd w:id="248"/>
      <w:bookmarkEnd w:id="249"/>
      <w:bookmarkEnd w:id="250"/>
    </w:p>
    <w:p w14:paraId="53270ED1">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6.2.1 施工期地下水环境保护措施</w:t>
      </w:r>
    </w:p>
    <w:p w14:paraId="2362A543">
      <w:pPr>
        <w:spacing w:line="480" w:lineRule="exact"/>
        <w:ind w:firstLine="480"/>
        <w:rPr>
          <w:rFonts w:hint="eastAsia"/>
          <w:color w:val="000000"/>
          <w:szCs w:val="24"/>
        </w:rPr>
      </w:pPr>
      <w:r>
        <w:rPr>
          <w:rFonts w:hint="eastAsia" w:hAnsi="宋体" w:cs="宋体"/>
          <w:color w:val="000000"/>
          <w:szCs w:val="24"/>
        </w:rPr>
        <w:t>施工期废水主要包括管线试压废水和生活污水。根据目前油气田实际情况，项目管线试压废水属于洁净水，循环使用后用于洒水抑尘；生活污水依托塔三联合站公寓生活污水处理装置处理</w:t>
      </w:r>
      <w:r>
        <w:rPr>
          <w:rFonts w:hint="eastAsia"/>
          <w:color w:val="000000"/>
          <w:szCs w:val="24"/>
        </w:rPr>
        <w:t>。</w:t>
      </w:r>
    </w:p>
    <w:p w14:paraId="69415D99">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6.2.2 运营期地下水环境保护措施</w:t>
      </w:r>
    </w:p>
    <w:p w14:paraId="2EED7D4A">
      <w:pPr>
        <w:spacing w:line="480" w:lineRule="exact"/>
        <w:outlineLvl w:val="3"/>
        <w:rPr>
          <w:rFonts w:hint="eastAsia" w:hAnsi="宋体" w:cs="宋体"/>
          <w:color w:val="000000"/>
          <w:szCs w:val="24"/>
        </w:rPr>
      </w:pPr>
      <w:r>
        <w:rPr>
          <w:rFonts w:hint="eastAsia" w:hAnsi="宋体" w:cs="宋体"/>
          <w:color w:val="000000"/>
          <w:szCs w:val="24"/>
        </w:rPr>
        <w:t>6.2.2.1 地下水环境保护措施与对策</w:t>
      </w:r>
    </w:p>
    <w:p w14:paraId="0D912936">
      <w:pPr>
        <w:spacing w:line="480" w:lineRule="exact"/>
        <w:ind w:firstLine="526" w:firstLineChars="200"/>
        <w:rPr>
          <w:rFonts w:hint="eastAsia" w:hAnsi="宋体" w:cs="宋体"/>
          <w:color w:val="000000"/>
          <w:szCs w:val="24"/>
        </w:rPr>
      </w:pPr>
      <w:r>
        <w:rPr>
          <w:rFonts w:hint="eastAsia" w:hAnsi="宋体" w:cs="宋体"/>
          <w:color w:val="000000"/>
          <w:szCs w:val="24"/>
        </w:rPr>
        <w:t>地下水环境保护措施与对策应符合《中华人民共和国水污染防治法》和《中华人民共和国环境影响评价法》的相关规定，按照“源头控制、分区防控、污染监控、应急响应”，重点突出饮用水水质安全的原则确定。</w:t>
      </w:r>
    </w:p>
    <w:p w14:paraId="558071B0">
      <w:pPr>
        <w:spacing w:line="480" w:lineRule="exact"/>
        <w:ind w:firstLine="526" w:firstLineChars="200"/>
        <w:rPr>
          <w:rFonts w:hint="eastAsia" w:hAnsi="宋体" w:cs="宋体"/>
          <w:color w:val="000000"/>
          <w:szCs w:val="24"/>
        </w:rPr>
      </w:pPr>
      <w:r>
        <w:rPr>
          <w:rFonts w:hint="eastAsia" w:hAnsi="宋体" w:cs="宋体"/>
          <w:color w:val="000000"/>
          <w:szCs w:val="24"/>
        </w:rPr>
        <w:t>（1）源头控制措施</w:t>
      </w:r>
    </w:p>
    <w:p w14:paraId="4445C636">
      <w:pPr>
        <w:spacing w:line="480" w:lineRule="exact"/>
        <w:ind w:firstLine="526" w:firstLineChars="200"/>
        <w:rPr>
          <w:rFonts w:hint="eastAsia" w:hAnsi="宋体" w:cs="宋体"/>
          <w:color w:val="000000"/>
          <w:szCs w:val="24"/>
        </w:rPr>
      </w:pPr>
      <w:r>
        <w:rPr>
          <w:rFonts w:hint="eastAsia" w:hAnsi="宋体" w:cs="宋体"/>
          <w:color w:val="000000"/>
          <w:szCs w:val="24"/>
        </w:rPr>
        <w:t>①采取先进、成熟、可靠的工艺技术工艺，良好合格的防渗材料，尽可能从源头上减少污染物泄漏风险，同时，严格按照施工规范施工，保证施工质量；</w:t>
      </w:r>
    </w:p>
    <w:p w14:paraId="79C249B3">
      <w:pPr>
        <w:spacing w:line="480" w:lineRule="exact"/>
        <w:ind w:firstLine="526" w:firstLineChars="200"/>
        <w:rPr>
          <w:rFonts w:hint="eastAsia" w:hAnsi="宋体" w:cs="宋体"/>
          <w:color w:val="000000"/>
          <w:szCs w:val="24"/>
        </w:rPr>
      </w:pPr>
      <w:r>
        <w:rPr>
          <w:rFonts w:hint="eastAsia" w:hAnsi="宋体" w:cs="宋体"/>
          <w:color w:val="000000"/>
          <w:szCs w:val="24"/>
        </w:rPr>
        <w:t>②定期做好管线等巡检，一旦发现异常，及时采取措施，避免“跑、冒、滴、漏”现象的发生；</w:t>
      </w:r>
    </w:p>
    <w:p w14:paraId="73BE0D54">
      <w:pPr>
        <w:spacing w:line="480" w:lineRule="exact"/>
        <w:ind w:firstLine="526" w:firstLineChars="200"/>
        <w:rPr>
          <w:rFonts w:hint="eastAsia" w:hAnsi="宋体" w:cs="宋体"/>
          <w:color w:val="000000"/>
          <w:szCs w:val="24"/>
          <w:lang w:bidi="ar"/>
        </w:rPr>
      </w:pPr>
      <w:r>
        <w:rPr>
          <w:rFonts w:hint="eastAsia" w:hAnsi="宋体" w:cs="宋体"/>
          <w:color w:val="000000"/>
          <w:szCs w:val="24"/>
          <w:lang w:bidi="ar"/>
        </w:rPr>
        <w:t>（2）地下水环境监测与管理</w:t>
      </w:r>
    </w:p>
    <w:p w14:paraId="6C2EA51E">
      <w:pPr>
        <w:spacing w:line="480" w:lineRule="exact"/>
        <w:ind w:firstLine="526" w:firstLineChars="200"/>
        <w:rPr>
          <w:rFonts w:hAnsi="宋体"/>
          <w:color w:val="000000"/>
          <w:szCs w:val="24"/>
        </w:rPr>
      </w:pPr>
      <w:r>
        <w:rPr>
          <w:rFonts w:hint="eastAsia" w:hAnsi="宋体"/>
          <w:color w:val="000000"/>
          <w:szCs w:val="24"/>
        </w:rPr>
        <w:t>为了及时准确地掌握塔中Ⅰ号气田Ⅲ区区域及下游地区地下水环境质量状况和地下水体中污染物的动态变化，塔中Ⅰ号气田Ⅲ区区域应建立地下水长期监控系统，包括科学、合理地设置地下水污染监控井，建立完善的监测制度，配备先进的检测仪器和设备，以便及时发现并及时控制。</w:t>
      </w:r>
    </w:p>
    <w:p w14:paraId="4924AFBF">
      <w:pPr>
        <w:spacing w:line="480" w:lineRule="exact"/>
        <w:ind w:firstLine="526" w:firstLineChars="200"/>
        <w:rPr>
          <w:rFonts w:hAnsi="宋体"/>
          <w:color w:val="000000"/>
          <w:szCs w:val="24"/>
        </w:rPr>
      </w:pPr>
      <w:r>
        <w:rPr>
          <w:rFonts w:hint="eastAsia" w:hAnsi="宋体"/>
          <w:color w:val="000000"/>
          <w:szCs w:val="24"/>
        </w:rPr>
        <w:t>①监测井布置</w:t>
      </w:r>
    </w:p>
    <w:p w14:paraId="2D993029">
      <w:pPr>
        <w:spacing w:line="480" w:lineRule="exact"/>
        <w:ind w:firstLine="526" w:firstLineChars="200"/>
        <w:rPr>
          <w:rFonts w:hAnsi="宋体"/>
          <w:color w:val="000000"/>
          <w:szCs w:val="24"/>
        </w:rPr>
      </w:pPr>
      <w:r>
        <w:rPr>
          <w:rFonts w:hint="eastAsia" w:hAnsi="宋体"/>
          <w:color w:val="000000"/>
          <w:szCs w:val="24"/>
        </w:rPr>
        <w:t>依据地下水监测原则，参照《环境影响评价技术导则 地下水环境》（HJ610-2016）、《地下水环境监测技术规范》（HJ164-2020）及《排污单位自行监测技术指南 陆上石油天然气开采工业》</w:t>
      </w:r>
      <w:r>
        <w:rPr>
          <w:rFonts w:hint="eastAsia"/>
          <w:color w:val="000000"/>
          <w:szCs w:val="24"/>
        </w:rPr>
        <w:t>（HJ1248-2022）</w:t>
      </w:r>
      <w:r>
        <w:rPr>
          <w:rFonts w:hint="eastAsia" w:hAnsi="宋体"/>
          <w:color w:val="000000"/>
          <w:szCs w:val="24"/>
        </w:rPr>
        <w:t>相关要求，结合区域水文地质特征，利用区域现有1眼跟踪监测井，跟踪监测井可满足项目区域的对地下水监控需求。地下水监控井基本情况和相对位置等详见表6.2-1。</w:t>
      </w:r>
    </w:p>
    <w:p w14:paraId="376A2570">
      <w:pPr>
        <w:spacing w:line="480" w:lineRule="exact"/>
        <w:ind w:firstLine="526" w:firstLineChars="200"/>
        <w:rPr>
          <w:rFonts w:hint="eastAsia" w:ascii="黑体" w:hAnsi="黑体" w:eastAsia="黑体" w:cs="宋体"/>
          <w:bCs/>
          <w:color w:val="000000"/>
          <w:szCs w:val="24"/>
        </w:rPr>
      </w:pPr>
      <w:r>
        <w:rPr>
          <w:rFonts w:hint="eastAsia" w:ascii="黑体" w:hAnsi="黑体" w:eastAsia="黑体" w:cs="宋体"/>
          <w:color w:val="000000"/>
          <w:szCs w:val="24"/>
        </w:rPr>
        <w:t>表6.2-1</w:t>
      </w:r>
      <w:r>
        <w:rPr>
          <w:rFonts w:ascii="黑体" w:hAnsi="黑体" w:eastAsia="黑体" w:cs="宋体"/>
          <w:b/>
          <w:color w:val="000000"/>
          <w:szCs w:val="24"/>
        </w:rPr>
        <w:t xml:space="preserve">   </w:t>
      </w:r>
      <w:r>
        <w:rPr>
          <w:rFonts w:hint="eastAsia" w:ascii="黑体" w:hAnsi="黑体" w:eastAsia="黑体" w:cs="宋体"/>
          <w:bCs/>
          <w:color w:val="000000"/>
          <w:szCs w:val="24"/>
        </w:rPr>
        <w:t xml:space="preserve">      地下水监控井基本情况表</w:t>
      </w:r>
    </w:p>
    <w:tbl>
      <w:tblPr>
        <w:tblStyle w:val="4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35"/>
        <w:gridCol w:w="1133"/>
        <w:gridCol w:w="1276"/>
        <w:gridCol w:w="1276"/>
        <w:gridCol w:w="3602"/>
        <w:gridCol w:w="988"/>
      </w:tblGrid>
      <w:tr w14:paraId="772A62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tcMar>
              <w:left w:w="28" w:type="dxa"/>
              <w:right w:w="28" w:type="dxa"/>
            </w:tcMar>
            <w:vAlign w:val="center"/>
          </w:tcPr>
          <w:p w14:paraId="15011B9D">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名称</w:t>
            </w:r>
          </w:p>
        </w:tc>
        <w:tc>
          <w:tcPr>
            <w:tcW w:w="629" w:type="pct"/>
            <w:tcMar>
              <w:left w:w="28" w:type="dxa"/>
              <w:right w:w="28" w:type="dxa"/>
            </w:tcMar>
            <w:vAlign w:val="center"/>
          </w:tcPr>
          <w:p w14:paraId="197F1EF4">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相对位置</w:t>
            </w:r>
          </w:p>
        </w:tc>
        <w:tc>
          <w:tcPr>
            <w:tcW w:w="708" w:type="pct"/>
            <w:tcMar>
              <w:left w:w="28" w:type="dxa"/>
              <w:right w:w="28" w:type="dxa"/>
            </w:tcMar>
            <w:vAlign w:val="center"/>
          </w:tcPr>
          <w:p w14:paraId="2FB48185">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监测层位</w:t>
            </w:r>
          </w:p>
        </w:tc>
        <w:tc>
          <w:tcPr>
            <w:tcW w:w="708" w:type="pct"/>
            <w:tcMar>
              <w:left w:w="28" w:type="dxa"/>
              <w:right w:w="28" w:type="dxa"/>
            </w:tcMar>
            <w:vAlign w:val="center"/>
          </w:tcPr>
          <w:p w14:paraId="3BA6F770">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功能</w:t>
            </w:r>
          </w:p>
        </w:tc>
        <w:tc>
          <w:tcPr>
            <w:tcW w:w="1999" w:type="pct"/>
            <w:tcMar>
              <w:left w:w="28" w:type="dxa"/>
              <w:right w:w="28" w:type="dxa"/>
            </w:tcMar>
            <w:vAlign w:val="center"/>
          </w:tcPr>
          <w:p w14:paraId="6D32FEF9">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监测因子</w:t>
            </w:r>
          </w:p>
        </w:tc>
        <w:tc>
          <w:tcPr>
            <w:tcW w:w="548" w:type="pct"/>
            <w:tcMar>
              <w:left w:w="28" w:type="dxa"/>
              <w:right w:w="28" w:type="dxa"/>
            </w:tcMar>
            <w:vAlign w:val="center"/>
          </w:tcPr>
          <w:p w14:paraId="1F8CBA34">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监测</w:t>
            </w:r>
          </w:p>
          <w:p w14:paraId="330E26AB">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频次</w:t>
            </w:r>
          </w:p>
        </w:tc>
      </w:tr>
      <w:tr w14:paraId="6F8B76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tcMar>
              <w:left w:w="28" w:type="dxa"/>
              <w:right w:w="28" w:type="dxa"/>
            </w:tcMar>
            <w:vAlign w:val="center"/>
          </w:tcPr>
          <w:p w14:paraId="78BA056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629" w:type="pct"/>
            <w:tcMar>
              <w:left w:w="28" w:type="dxa"/>
              <w:right w:w="28" w:type="dxa"/>
            </w:tcMar>
            <w:vAlign w:val="center"/>
          </w:tcPr>
          <w:p w14:paraId="110FC34C">
            <w:pPr>
              <w:spacing w:line="300" w:lineRule="exact"/>
              <w:jc w:val="center"/>
              <w:rPr>
                <w:rFonts w:hint="eastAsia" w:hAnsi="宋体" w:cs="宋体"/>
                <w:color w:val="000000"/>
                <w:spacing w:val="-10"/>
                <w:sz w:val="21"/>
                <w:szCs w:val="21"/>
              </w:rPr>
            </w:pPr>
            <w:r>
              <w:rPr>
                <w:rFonts w:hint="eastAsia" w:hAnsi="宋体" w:cs="宋体"/>
                <w:color w:val="000000"/>
                <w:spacing w:val="-10"/>
                <w:sz w:val="21"/>
                <w:szCs w:val="21"/>
              </w:rPr>
              <w:t>项目区南侧2.7km</w:t>
            </w:r>
          </w:p>
        </w:tc>
        <w:tc>
          <w:tcPr>
            <w:tcW w:w="708" w:type="pct"/>
            <w:tcMar>
              <w:left w:w="28" w:type="dxa"/>
              <w:right w:w="28" w:type="dxa"/>
            </w:tcMar>
            <w:vAlign w:val="center"/>
          </w:tcPr>
          <w:p w14:paraId="3BF69D14">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潜水</w:t>
            </w:r>
          </w:p>
          <w:p w14:paraId="785DFDA8">
            <w:pPr>
              <w:adjustRightInd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含水层</w:t>
            </w:r>
          </w:p>
        </w:tc>
        <w:tc>
          <w:tcPr>
            <w:tcW w:w="708" w:type="pct"/>
            <w:tcMar>
              <w:left w:w="28" w:type="dxa"/>
              <w:right w:w="28" w:type="dxa"/>
            </w:tcMar>
            <w:vAlign w:val="center"/>
          </w:tcPr>
          <w:p w14:paraId="4848A2D6">
            <w:pPr>
              <w:adjustRightInd w:val="0"/>
              <w:spacing w:line="0" w:lineRule="atLeast"/>
              <w:jc w:val="center"/>
              <w:rPr>
                <w:rFonts w:hint="eastAsia" w:hAnsi="宋体" w:cs="宋体"/>
                <w:snapToGrid w:val="0"/>
                <w:color w:val="000000"/>
                <w:spacing w:val="-10"/>
                <w:sz w:val="21"/>
                <w:szCs w:val="21"/>
              </w:rPr>
            </w:pPr>
            <w:r>
              <w:rPr>
                <w:rFonts w:hint="eastAsia" w:hAnsi="宋体" w:cs="宋体"/>
                <w:color w:val="000000"/>
                <w:spacing w:val="-10"/>
                <w:sz w:val="21"/>
                <w:szCs w:val="21"/>
              </w:rPr>
              <w:t>跟踪监测井</w:t>
            </w:r>
          </w:p>
        </w:tc>
        <w:tc>
          <w:tcPr>
            <w:tcW w:w="1999" w:type="pct"/>
            <w:tcMar>
              <w:left w:w="28" w:type="dxa"/>
              <w:right w:w="28" w:type="dxa"/>
            </w:tcMar>
            <w:vAlign w:val="center"/>
          </w:tcPr>
          <w:p w14:paraId="1F9DDC95">
            <w:pPr>
              <w:spacing w:line="0" w:lineRule="atLeast"/>
              <w:jc w:val="center"/>
              <w:rPr>
                <w:rFonts w:hint="eastAsia" w:hAnsi="宋体" w:cs="宋体"/>
                <w:snapToGrid w:val="0"/>
                <w:color w:val="000000"/>
                <w:spacing w:val="-10"/>
                <w:sz w:val="21"/>
                <w:szCs w:val="21"/>
              </w:rPr>
            </w:pPr>
            <w:r>
              <w:rPr>
                <w:rFonts w:hint="eastAsia" w:hAnsi="宋体" w:cs="宋体"/>
                <w:color w:val="000000"/>
                <w:spacing w:val="0"/>
                <w:sz w:val="21"/>
                <w:szCs w:val="21"/>
              </w:rPr>
              <w:t>石油类、石油烃（C</w:t>
            </w:r>
            <w:r>
              <w:rPr>
                <w:rFonts w:hint="eastAsia" w:hAnsi="宋体" w:cs="宋体"/>
                <w:color w:val="000000"/>
                <w:spacing w:val="0"/>
                <w:sz w:val="21"/>
                <w:szCs w:val="21"/>
                <w:vertAlign w:val="subscript"/>
              </w:rPr>
              <w:t>6</w:t>
            </w:r>
            <w:r>
              <w:rPr>
                <w:rFonts w:hint="eastAsia" w:hAnsi="宋体" w:cs="宋体"/>
                <w:color w:val="000000"/>
                <w:spacing w:val="0"/>
                <w:sz w:val="21"/>
                <w:szCs w:val="21"/>
              </w:rPr>
              <w:t>-C</w:t>
            </w:r>
            <w:r>
              <w:rPr>
                <w:rFonts w:hint="eastAsia" w:hAnsi="宋体" w:cs="宋体"/>
                <w:color w:val="000000"/>
                <w:spacing w:val="0"/>
                <w:sz w:val="21"/>
                <w:szCs w:val="21"/>
                <w:vertAlign w:val="subscript"/>
              </w:rPr>
              <w:t>9</w:t>
            </w:r>
            <w:r>
              <w:rPr>
                <w:rFonts w:hint="eastAsia" w:hAnsi="宋体" w:cs="宋体"/>
                <w:color w:val="000000"/>
                <w:spacing w:val="0"/>
                <w:sz w:val="21"/>
                <w:szCs w:val="21"/>
              </w:rPr>
              <w:t>）、石油烃（C</w:t>
            </w:r>
            <w:r>
              <w:rPr>
                <w:rFonts w:hint="eastAsia" w:hAnsi="宋体" w:cs="宋体"/>
                <w:color w:val="000000"/>
                <w:spacing w:val="0"/>
                <w:sz w:val="21"/>
                <w:szCs w:val="21"/>
                <w:vertAlign w:val="subscript"/>
              </w:rPr>
              <w:t>10</w:t>
            </w:r>
            <w:r>
              <w:rPr>
                <w:rFonts w:hint="eastAsia" w:hAnsi="宋体" w:cs="宋体"/>
                <w:color w:val="000000"/>
                <w:spacing w:val="0"/>
                <w:sz w:val="21"/>
                <w:szCs w:val="21"/>
              </w:rPr>
              <w:t>-C</w:t>
            </w:r>
            <w:r>
              <w:rPr>
                <w:rFonts w:hint="eastAsia" w:hAnsi="宋体" w:cs="宋体"/>
                <w:color w:val="000000"/>
                <w:spacing w:val="0"/>
                <w:sz w:val="21"/>
                <w:szCs w:val="21"/>
                <w:vertAlign w:val="subscript"/>
              </w:rPr>
              <w:t>40</w:t>
            </w:r>
            <w:r>
              <w:rPr>
                <w:rFonts w:hint="eastAsia" w:hAnsi="宋体" w:cs="宋体"/>
                <w:color w:val="000000"/>
                <w:spacing w:val="0"/>
                <w:sz w:val="21"/>
                <w:szCs w:val="21"/>
              </w:rPr>
              <w:t>）、汞、砷、六价铬</w:t>
            </w:r>
          </w:p>
        </w:tc>
        <w:tc>
          <w:tcPr>
            <w:tcW w:w="548" w:type="pct"/>
            <w:tcMar>
              <w:left w:w="28" w:type="dxa"/>
              <w:right w:w="28" w:type="dxa"/>
            </w:tcMar>
            <w:vAlign w:val="center"/>
          </w:tcPr>
          <w:p w14:paraId="5895DC36">
            <w:pPr>
              <w:adjustRightInd w:val="0"/>
              <w:spacing w:line="0" w:lineRule="atLeast"/>
              <w:jc w:val="center"/>
              <w:rPr>
                <w:rFonts w:hint="eastAsia" w:hAnsi="宋体" w:cs="宋体"/>
                <w:snapToGrid w:val="0"/>
                <w:color w:val="000000"/>
                <w:spacing w:val="-10"/>
                <w:sz w:val="21"/>
                <w:szCs w:val="21"/>
              </w:rPr>
            </w:pPr>
            <w:r>
              <w:rPr>
                <w:rFonts w:hint="eastAsia" w:hAnsi="宋体" w:cs="宋体"/>
                <w:color w:val="000000"/>
                <w:spacing w:val="-10"/>
                <w:sz w:val="21"/>
                <w:szCs w:val="21"/>
              </w:rPr>
              <w:t>每半年1次</w:t>
            </w:r>
          </w:p>
        </w:tc>
      </w:tr>
    </w:tbl>
    <w:p w14:paraId="153B3FC3">
      <w:pPr>
        <w:spacing w:before="240" w:line="480" w:lineRule="exact"/>
        <w:ind w:firstLine="526" w:firstLineChars="200"/>
        <w:rPr>
          <w:rFonts w:hint="eastAsia" w:hAnsi="宋体"/>
          <w:color w:val="000000"/>
          <w:szCs w:val="24"/>
        </w:rPr>
      </w:pPr>
      <w:r>
        <w:rPr>
          <w:rFonts w:hint="eastAsia" w:hAnsi="宋体"/>
          <w:color w:val="000000"/>
          <w:szCs w:val="24"/>
        </w:rPr>
        <w:t>②监测频率</w:t>
      </w:r>
    </w:p>
    <w:p w14:paraId="3D4A56A8">
      <w:pPr>
        <w:spacing w:line="480" w:lineRule="exact"/>
        <w:ind w:firstLine="526" w:firstLineChars="200"/>
        <w:rPr>
          <w:rFonts w:hint="eastAsia" w:hAnsi="宋体"/>
          <w:color w:val="000000"/>
          <w:szCs w:val="24"/>
        </w:rPr>
      </w:pPr>
      <w:r>
        <w:rPr>
          <w:rFonts w:hint="eastAsia" w:hAnsi="宋体"/>
          <w:color w:val="000000"/>
          <w:szCs w:val="24"/>
        </w:rPr>
        <w:t>ⅰ.跟踪监测井采样频次每半年1次。</w:t>
      </w:r>
    </w:p>
    <w:p w14:paraId="564D4CE0">
      <w:pPr>
        <w:spacing w:line="480" w:lineRule="exact"/>
        <w:ind w:firstLine="526" w:firstLineChars="200"/>
        <w:rPr>
          <w:rFonts w:hint="eastAsia" w:hAnsi="宋体"/>
          <w:color w:val="000000"/>
          <w:szCs w:val="24"/>
        </w:rPr>
      </w:pPr>
      <w:r>
        <w:rPr>
          <w:rFonts w:hint="eastAsia" w:hAnsi="宋体"/>
          <w:color w:val="000000"/>
          <w:szCs w:val="24"/>
        </w:rPr>
        <w:t>ⅱ.遇到特殊的情况或发生污染事故，可能影响地下水质时，应随时增加采样频次。</w:t>
      </w:r>
    </w:p>
    <w:p w14:paraId="66A17F5F">
      <w:pPr>
        <w:spacing w:line="480" w:lineRule="exact"/>
        <w:ind w:firstLine="526" w:firstLineChars="200"/>
        <w:rPr>
          <w:rFonts w:hint="eastAsia" w:hAnsi="宋体"/>
          <w:color w:val="000000"/>
          <w:szCs w:val="24"/>
        </w:rPr>
      </w:pPr>
      <w:r>
        <w:rPr>
          <w:rFonts w:hint="eastAsia" w:hAnsi="宋体"/>
          <w:color w:val="000000"/>
          <w:szCs w:val="24"/>
        </w:rPr>
        <w:t>ⅲ.同时考虑随着时间的推移，区域地下水流向可能会发生变化，导致地下水水质监测井功能的改变，因此将水质监测井地下水水位标高的监测纳入监测计划里。</w:t>
      </w:r>
    </w:p>
    <w:p w14:paraId="6F5F2D36">
      <w:pPr>
        <w:spacing w:line="480" w:lineRule="exact"/>
        <w:ind w:firstLine="526" w:firstLineChars="200"/>
        <w:rPr>
          <w:rFonts w:hint="eastAsia" w:hAnsi="宋体"/>
          <w:color w:val="000000"/>
          <w:szCs w:val="24"/>
        </w:rPr>
      </w:pPr>
      <w:r>
        <w:rPr>
          <w:rFonts w:hint="eastAsia" w:hAnsi="宋体"/>
          <w:color w:val="000000"/>
          <w:szCs w:val="24"/>
        </w:rPr>
        <w:t>③上述监测结果应按有关规定及时建立档案并公开，满足法律中关于知情权的要求。如发现异常或发生事故，应加密监测频次，并分析污染原因，确定泄漏污染源，并及时采取相应的应急措施。</w:t>
      </w:r>
    </w:p>
    <w:p w14:paraId="2E381F3C">
      <w:pPr>
        <w:spacing w:line="480" w:lineRule="exact"/>
        <w:outlineLvl w:val="3"/>
        <w:rPr>
          <w:rFonts w:hint="eastAsia" w:hAnsi="宋体"/>
          <w:color w:val="000000"/>
          <w:szCs w:val="24"/>
        </w:rPr>
      </w:pPr>
      <w:r>
        <w:rPr>
          <w:rFonts w:hint="eastAsia" w:hAnsi="宋体" w:cs="宋体"/>
          <w:color w:val="000000"/>
          <w:szCs w:val="24"/>
        </w:rPr>
        <w:t>6.2.2</w:t>
      </w:r>
      <w:r>
        <w:rPr>
          <w:rFonts w:hint="eastAsia" w:hAnsi="宋体"/>
          <w:color w:val="000000"/>
          <w:szCs w:val="24"/>
        </w:rPr>
        <w:t>.2 地下水污染应急措施</w:t>
      </w:r>
    </w:p>
    <w:p w14:paraId="5A1CE796">
      <w:pPr>
        <w:spacing w:line="480" w:lineRule="exact"/>
        <w:ind w:firstLine="526" w:firstLineChars="200"/>
        <w:rPr>
          <w:rFonts w:hint="eastAsia" w:hAnsi="宋体"/>
          <w:color w:val="000000"/>
          <w:szCs w:val="24"/>
        </w:rPr>
      </w:pPr>
      <w:r>
        <w:rPr>
          <w:rFonts w:hint="eastAsia" w:hAnsi="宋体"/>
          <w:color w:val="000000"/>
          <w:szCs w:val="24"/>
        </w:rPr>
        <w:t>（1）应急治理程序</w:t>
      </w:r>
    </w:p>
    <w:p w14:paraId="15F6D2EA">
      <w:pPr>
        <w:spacing w:line="480" w:lineRule="exact"/>
        <w:ind w:firstLine="526" w:firstLineChars="200"/>
        <w:rPr>
          <w:rFonts w:hint="eastAsia" w:hAnsi="宋体"/>
          <w:color w:val="000000"/>
          <w:szCs w:val="24"/>
        </w:rPr>
      </w:pPr>
      <w:r>
        <w:rPr>
          <w:rFonts w:hint="eastAsia" w:hAnsi="宋体"/>
          <w:color w:val="000000"/>
          <w:szCs w:val="24"/>
        </w:rPr>
        <w:t>针对应急工作需要，参照“场地环境保护标准体系”的相关技术导则，结合地下水污染治理的技术特点，制定地下水污染应急治理程序见图6.2-1。</w:t>
      </w:r>
    </w:p>
    <w:p w14:paraId="08D1D798">
      <w:pPr>
        <w:spacing w:line="480" w:lineRule="exact"/>
        <w:ind w:firstLine="526" w:firstLineChars="200"/>
        <w:rPr>
          <w:rFonts w:hAnsi="宋体"/>
          <w:color w:val="000000"/>
          <w:szCs w:val="24"/>
        </w:rPr>
      </w:pPr>
    </w:p>
    <w:p w14:paraId="6873A9C7">
      <w:pPr>
        <w:spacing w:line="480" w:lineRule="exact"/>
        <w:ind w:firstLine="526" w:firstLineChars="200"/>
        <w:rPr>
          <w:rFonts w:hAnsi="宋体"/>
          <w:color w:val="000000"/>
          <w:szCs w:val="24"/>
        </w:rPr>
      </w:pPr>
      <w:r>
        <w:rPr>
          <w:rFonts w:hint="eastAsia" w:hAnsi="宋体"/>
          <w:color w:val="000000"/>
          <w:szCs w:val="24"/>
        </w:rPr>
        <w:pict>
          <v:shape id="图片 71781" o:spid="_x0000_s1085" o:spt="75" alt="未命名" type="#_x0000_t75" style="position:absolute;left:0pt;margin-left:58.95pt;margin-top:-16.75pt;height:402.6pt;width:329.25pt;z-index:251666432;mso-width-relative:page;mso-height-relative:page;" filled="f" o:preferrelative="t" stroked="t" coordsize="21600,21600">
            <v:path/>
            <v:fill on="f" focussize="0,0"/>
            <v:stroke/>
            <v:imagedata r:id="rId45" o:title="未命名"/>
            <o:lock v:ext="edit" aspectratio="t"/>
          </v:shape>
        </w:pict>
      </w:r>
    </w:p>
    <w:p w14:paraId="61AE3883">
      <w:pPr>
        <w:spacing w:line="480" w:lineRule="exact"/>
        <w:ind w:firstLine="526" w:firstLineChars="200"/>
        <w:rPr>
          <w:rFonts w:hint="eastAsia" w:hAnsi="宋体"/>
          <w:color w:val="000000"/>
          <w:szCs w:val="24"/>
        </w:rPr>
      </w:pPr>
    </w:p>
    <w:p w14:paraId="2DB496FB">
      <w:pPr>
        <w:spacing w:line="480" w:lineRule="exact"/>
        <w:ind w:firstLine="526" w:firstLineChars="200"/>
        <w:rPr>
          <w:rFonts w:hint="eastAsia" w:hAnsi="宋体"/>
          <w:color w:val="000000"/>
          <w:szCs w:val="24"/>
        </w:rPr>
      </w:pPr>
    </w:p>
    <w:p w14:paraId="431CC7F2">
      <w:pPr>
        <w:spacing w:line="480" w:lineRule="exact"/>
        <w:ind w:firstLine="526" w:firstLineChars="200"/>
        <w:rPr>
          <w:rFonts w:hint="eastAsia" w:hAnsi="宋体"/>
          <w:color w:val="000000"/>
          <w:szCs w:val="24"/>
        </w:rPr>
      </w:pPr>
    </w:p>
    <w:p w14:paraId="24E679AD">
      <w:pPr>
        <w:spacing w:line="480" w:lineRule="exact"/>
        <w:ind w:firstLine="526" w:firstLineChars="200"/>
        <w:rPr>
          <w:rFonts w:hint="eastAsia" w:hAnsi="宋体"/>
          <w:color w:val="000000"/>
          <w:szCs w:val="24"/>
        </w:rPr>
      </w:pPr>
    </w:p>
    <w:p w14:paraId="216576AC">
      <w:pPr>
        <w:spacing w:line="480" w:lineRule="exact"/>
        <w:ind w:firstLine="526" w:firstLineChars="200"/>
        <w:rPr>
          <w:rFonts w:hint="eastAsia" w:hAnsi="宋体"/>
          <w:color w:val="000000"/>
          <w:szCs w:val="24"/>
        </w:rPr>
      </w:pPr>
    </w:p>
    <w:p w14:paraId="58BE43E7">
      <w:pPr>
        <w:spacing w:line="480" w:lineRule="exact"/>
        <w:ind w:firstLine="526" w:firstLineChars="200"/>
        <w:rPr>
          <w:rFonts w:hint="eastAsia" w:hAnsi="宋体"/>
          <w:color w:val="000000"/>
          <w:szCs w:val="24"/>
        </w:rPr>
      </w:pPr>
    </w:p>
    <w:p w14:paraId="5482961A">
      <w:pPr>
        <w:spacing w:line="480" w:lineRule="exact"/>
        <w:ind w:firstLine="526" w:firstLineChars="200"/>
        <w:rPr>
          <w:rFonts w:hint="eastAsia" w:hAnsi="宋体"/>
          <w:color w:val="000000"/>
          <w:szCs w:val="24"/>
        </w:rPr>
      </w:pPr>
    </w:p>
    <w:p w14:paraId="63AED805">
      <w:pPr>
        <w:spacing w:line="480" w:lineRule="exact"/>
        <w:ind w:firstLine="526" w:firstLineChars="200"/>
        <w:rPr>
          <w:rFonts w:hint="eastAsia" w:hAnsi="宋体"/>
          <w:color w:val="000000"/>
          <w:szCs w:val="24"/>
        </w:rPr>
      </w:pPr>
    </w:p>
    <w:p w14:paraId="38EABDCC">
      <w:pPr>
        <w:spacing w:line="480" w:lineRule="exact"/>
        <w:ind w:firstLine="526" w:firstLineChars="200"/>
        <w:rPr>
          <w:rFonts w:hint="eastAsia" w:hAnsi="宋体"/>
          <w:color w:val="000000"/>
          <w:szCs w:val="24"/>
        </w:rPr>
      </w:pPr>
    </w:p>
    <w:p w14:paraId="040E2F41">
      <w:pPr>
        <w:spacing w:line="480" w:lineRule="exact"/>
        <w:ind w:firstLine="526" w:firstLineChars="200"/>
        <w:rPr>
          <w:rFonts w:hint="eastAsia" w:hAnsi="宋体"/>
          <w:color w:val="000000"/>
          <w:szCs w:val="24"/>
        </w:rPr>
      </w:pPr>
    </w:p>
    <w:p w14:paraId="53335EDD">
      <w:pPr>
        <w:spacing w:line="480" w:lineRule="exact"/>
        <w:ind w:firstLine="526" w:firstLineChars="200"/>
        <w:rPr>
          <w:rFonts w:hint="eastAsia" w:hAnsi="宋体"/>
          <w:color w:val="000000"/>
          <w:szCs w:val="24"/>
        </w:rPr>
      </w:pPr>
    </w:p>
    <w:p w14:paraId="31BD65F1">
      <w:pPr>
        <w:pStyle w:val="20"/>
        <w:spacing w:line="480" w:lineRule="exact"/>
        <w:ind w:left="-677"/>
        <w:rPr>
          <w:rFonts w:hint="eastAsia" w:ascii="宋体" w:hAnsi="宋体"/>
          <w:color w:val="000000"/>
          <w:spacing w:val="5"/>
          <w:sz w:val="24"/>
        </w:rPr>
      </w:pPr>
    </w:p>
    <w:p w14:paraId="4FFB0559">
      <w:pPr>
        <w:pStyle w:val="20"/>
        <w:spacing w:line="480" w:lineRule="exact"/>
        <w:ind w:left="-677"/>
        <w:rPr>
          <w:rFonts w:hint="eastAsia" w:ascii="宋体" w:hAnsi="宋体"/>
          <w:color w:val="000000"/>
          <w:spacing w:val="5"/>
          <w:sz w:val="24"/>
        </w:rPr>
      </w:pPr>
    </w:p>
    <w:p w14:paraId="7F3CFC64">
      <w:pPr>
        <w:pStyle w:val="20"/>
        <w:spacing w:line="480" w:lineRule="exact"/>
        <w:ind w:left="-677"/>
        <w:rPr>
          <w:rFonts w:hint="eastAsia" w:ascii="宋体" w:hAnsi="宋体"/>
          <w:color w:val="000000"/>
          <w:spacing w:val="5"/>
          <w:sz w:val="24"/>
        </w:rPr>
      </w:pPr>
    </w:p>
    <w:p w14:paraId="0B58C83E">
      <w:pPr>
        <w:pStyle w:val="20"/>
        <w:spacing w:line="480" w:lineRule="exact"/>
        <w:ind w:left="-677"/>
        <w:rPr>
          <w:rFonts w:hint="eastAsia" w:ascii="宋体" w:hAnsi="宋体"/>
          <w:color w:val="000000"/>
          <w:spacing w:val="5"/>
          <w:sz w:val="24"/>
        </w:rPr>
      </w:pPr>
    </w:p>
    <w:p w14:paraId="10CEC0A4">
      <w:pPr>
        <w:spacing w:line="480" w:lineRule="exact"/>
        <w:jc w:val="center"/>
        <w:rPr>
          <w:rFonts w:hint="eastAsia" w:ascii="黑体" w:hAnsi="黑体" w:eastAsia="黑体"/>
          <w:color w:val="000000"/>
          <w:szCs w:val="24"/>
        </w:rPr>
      </w:pPr>
      <w:r>
        <w:rPr>
          <w:rFonts w:hint="eastAsia" w:ascii="黑体" w:hAnsi="黑体" w:eastAsia="黑体"/>
          <w:color w:val="000000"/>
          <w:szCs w:val="24"/>
        </w:rPr>
        <w:t>图</w:t>
      </w:r>
      <w:r>
        <w:rPr>
          <w:rFonts w:hint="eastAsia" w:ascii="黑体" w:hAnsi="黑体" w:eastAsia="黑体" w:cs="宋体"/>
          <w:color w:val="000000"/>
          <w:szCs w:val="24"/>
        </w:rPr>
        <w:t xml:space="preserve">6.2-1 </w:t>
      </w:r>
      <w:r>
        <w:rPr>
          <w:rFonts w:hint="eastAsia" w:ascii="黑体" w:hAnsi="黑体" w:eastAsia="黑体"/>
          <w:color w:val="000000"/>
          <w:szCs w:val="24"/>
        </w:rPr>
        <w:t>污染应急治理程序框图</w:t>
      </w:r>
    </w:p>
    <w:p w14:paraId="158F411B">
      <w:pPr>
        <w:spacing w:line="500" w:lineRule="exact"/>
        <w:ind w:firstLine="526" w:firstLineChars="200"/>
        <w:rPr>
          <w:rFonts w:hint="eastAsia" w:hAnsi="宋体"/>
          <w:color w:val="000000"/>
          <w:szCs w:val="24"/>
        </w:rPr>
      </w:pPr>
      <w:r>
        <w:rPr>
          <w:rFonts w:hint="eastAsia" w:hAnsi="宋体"/>
          <w:color w:val="000000"/>
          <w:szCs w:val="24"/>
        </w:rPr>
        <w:t>（2）地下水污染治理技术</w:t>
      </w:r>
    </w:p>
    <w:p w14:paraId="0E7EC58F">
      <w:pPr>
        <w:spacing w:line="500" w:lineRule="exact"/>
        <w:ind w:firstLine="526" w:firstLineChars="200"/>
        <w:rPr>
          <w:rFonts w:hint="eastAsia" w:hAnsi="宋体"/>
          <w:color w:val="000000"/>
          <w:szCs w:val="24"/>
        </w:rPr>
      </w:pPr>
      <w:r>
        <w:rPr>
          <w:rFonts w:hint="eastAsia" w:hAnsi="宋体"/>
          <w:color w:val="000000"/>
          <w:szCs w:val="24"/>
        </w:rPr>
        <w:t>地下水污染治理技术归纳起来主要有：物理处理法、水动力控制法、抽出处理法、原位处理法等。依据区域水文地质条件，拟建工程可选用水动力控制法和抽出处理法。由于地下水污染治理具有很强的专业性，在发生地下水污染风险时，建议聘请专业地下水污染治理团队制定地下水污染治理方案，科学合理选择污染治理技术。</w:t>
      </w:r>
    </w:p>
    <w:p w14:paraId="6B66F5A6">
      <w:pPr>
        <w:spacing w:line="500" w:lineRule="exact"/>
        <w:ind w:firstLine="526" w:firstLineChars="200"/>
        <w:rPr>
          <w:rFonts w:hint="eastAsia" w:hAnsi="宋体"/>
          <w:color w:val="000000"/>
          <w:szCs w:val="24"/>
        </w:rPr>
      </w:pPr>
      <w:r>
        <w:rPr>
          <w:rFonts w:hint="eastAsia" w:hAnsi="宋体"/>
          <w:color w:val="000000"/>
          <w:szCs w:val="24"/>
        </w:rPr>
        <w:t>（3）治理措施</w:t>
      </w:r>
    </w:p>
    <w:p w14:paraId="0E397B5A">
      <w:pPr>
        <w:spacing w:line="500" w:lineRule="exact"/>
        <w:ind w:firstLine="506" w:firstLineChars="200"/>
        <w:rPr>
          <w:rFonts w:hint="eastAsia" w:hAnsi="宋体"/>
          <w:color w:val="000000"/>
          <w:szCs w:val="24"/>
        </w:rPr>
      </w:pPr>
      <w:r>
        <w:rPr>
          <w:rFonts w:hint="eastAsia" w:hAnsi="宋体"/>
          <w:color w:val="000000"/>
          <w:spacing w:val="0"/>
          <w:szCs w:val="24"/>
        </w:rPr>
        <w:t>塔中Ⅰ号气田Ⅲ区区域内包气带天然防污性能弱，因此在非正常及风险状况下，可能造成污染物进入地下水中，针对上述情景，建议采取如下污染应急治理措</w:t>
      </w:r>
      <w:r>
        <w:rPr>
          <w:rFonts w:hint="eastAsia" w:hAnsi="宋体"/>
          <w:color w:val="000000"/>
          <w:szCs w:val="24"/>
        </w:rPr>
        <w:t>施。</w:t>
      </w:r>
    </w:p>
    <w:p w14:paraId="237BF796">
      <w:pPr>
        <w:spacing w:line="500" w:lineRule="exact"/>
        <w:ind w:firstLine="526" w:firstLineChars="200"/>
        <w:rPr>
          <w:rFonts w:hint="eastAsia" w:hAnsi="宋体"/>
          <w:color w:val="000000"/>
          <w:szCs w:val="24"/>
        </w:rPr>
      </w:pPr>
      <w:r>
        <w:rPr>
          <w:rFonts w:hint="eastAsia" w:hAnsi="宋体"/>
          <w:color w:val="000000"/>
          <w:szCs w:val="24"/>
        </w:rPr>
        <w:t>①一旦发生地下水污染事故，应立即启动应急预案；</w:t>
      </w:r>
    </w:p>
    <w:p w14:paraId="77BC6A74">
      <w:pPr>
        <w:spacing w:line="500" w:lineRule="exact"/>
        <w:ind w:firstLine="526" w:firstLineChars="200"/>
        <w:rPr>
          <w:rFonts w:hint="eastAsia" w:hAnsi="宋体"/>
          <w:color w:val="000000"/>
          <w:szCs w:val="24"/>
        </w:rPr>
      </w:pPr>
      <w:r>
        <w:rPr>
          <w:rFonts w:hint="eastAsia" w:hAnsi="宋体"/>
          <w:color w:val="000000"/>
          <w:szCs w:val="24"/>
        </w:rPr>
        <w:t>②查明并切断污染源，在最短时间内清除地表污染物；</w:t>
      </w:r>
    </w:p>
    <w:p w14:paraId="6F51D00B">
      <w:pPr>
        <w:spacing w:line="500" w:lineRule="exact"/>
        <w:ind w:firstLine="526" w:firstLineChars="200"/>
        <w:rPr>
          <w:rFonts w:hint="eastAsia" w:hAnsi="宋体"/>
          <w:color w:val="000000"/>
          <w:szCs w:val="24"/>
        </w:rPr>
      </w:pPr>
      <w:r>
        <w:rPr>
          <w:rFonts w:hint="eastAsia" w:hAnsi="宋体"/>
          <w:color w:val="000000"/>
          <w:szCs w:val="24"/>
        </w:rPr>
        <w:t>③加密地下水污染监控井的监测频率，并实时进行化验分析；</w:t>
      </w:r>
    </w:p>
    <w:p w14:paraId="358C6941">
      <w:pPr>
        <w:spacing w:line="500" w:lineRule="exact"/>
        <w:ind w:firstLine="526" w:firstLineChars="200"/>
        <w:rPr>
          <w:rFonts w:hint="eastAsia" w:hAnsi="宋体"/>
          <w:color w:val="000000"/>
          <w:szCs w:val="24"/>
        </w:rPr>
      </w:pPr>
      <w:r>
        <w:rPr>
          <w:rFonts w:hint="eastAsia" w:hAnsi="宋体"/>
          <w:color w:val="000000"/>
          <w:szCs w:val="24"/>
        </w:rPr>
        <w:t>④一旦发现监控井地下水受到污染，立即启动抽水设施；</w:t>
      </w:r>
    </w:p>
    <w:p w14:paraId="05F94D55">
      <w:pPr>
        <w:spacing w:line="500" w:lineRule="exact"/>
        <w:ind w:firstLine="526" w:firstLineChars="200"/>
        <w:rPr>
          <w:rFonts w:hint="eastAsia" w:hAnsi="宋体"/>
          <w:color w:val="000000"/>
          <w:szCs w:val="24"/>
        </w:rPr>
      </w:pPr>
      <w:r>
        <w:rPr>
          <w:rFonts w:hint="eastAsia" w:hAnsi="宋体"/>
          <w:color w:val="000000"/>
          <w:szCs w:val="24"/>
        </w:rPr>
        <w:t>⑤探明地下水污染深度、范围和污染程度；</w:t>
      </w:r>
    </w:p>
    <w:p w14:paraId="35913F5E">
      <w:pPr>
        <w:spacing w:line="500" w:lineRule="exact"/>
        <w:ind w:firstLine="526" w:firstLineChars="200"/>
        <w:rPr>
          <w:rFonts w:hint="eastAsia" w:hAnsi="宋体"/>
          <w:color w:val="000000"/>
          <w:szCs w:val="24"/>
        </w:rPr>
      </w:pPr>
      <w:r>
        <w:rPr>
          <w:rFonts w:hint="eastAsia" w:hAnsi="宋体"/>
          <w:color w:val="000000"/>
          <w:szCs w:val="24"/>
        </w:rPr>
        <w:t>⑥依据地下水污染情况和污染场地的含水层埋藏分布特征，结合拟采用的地下水污染治理技术方法，制定地下水污染治理实施方案；</w:t>
      </w:r>
    </w:p>
    <w:p w14:paraId="225B4042">
      <w:pPr>
        <w:spacing w:line="500" w:lineRule="exact"/>
        <w:ind w:firstLine="526" w:firstLineChars="200"/>
        <w:rPr>
          <w:rFonts w:hint="eastAsia" w:hAnsi="宋体"/>
          <w:color w:val="000000"/>
          <w:szCs w:val="24"/>
        </w:rPr>
      </w:pPr>
      <w:r>
        <w:rPr>
          <w:rFonts w:hint="eastAsia" w:hAnsi="宋体"/>
          <w:color w:val="000000"/>
          <w:szCs w:val="24"/>
        </w:rPr>
        <w:t>⑦依据实施方案进行施工，抽取被污染的地下水体，并依据各井孔出水情况进行调整；</w:t>
      </w:r>
    </w:p>
    <w:p w14:paraId="30C53425">
      <w:pPr>
        <w:spacing w:line="500" w:lineRule="exact"/>
        <w:ind w:firstLine="526" w:firstLineChars="200"/>
        <w:rPr>
          <w:rFonts w:hint="eastAsia" w:hAnsi="宋体"/>
          <w:color w:val="000000"/>
          <w:szCs w:val="24"/>
        </w:rPr>
      </w:pPr>
      <w:r>
        <w:rPr>
          <w:rFonts w:hint="eastAsia" w:hAnsi="宋体"/>
          <w:color w:val="000000"/>
          <w:szCs w:val="24"/>
        </w:rPr>
        <w:t>⑧将抽取的地下水进行集中收集处理，并送实验室进行化验分析；</w:t>
      </w:r>
    </w:p>
    <w:p w14:paraId="139215A9">
      <w:pPr>
        <w:autoSpaceDE w:val="0"/>
        <w:autoSpaceDN w:val="0"/>
        <w:adjustRightInd w:val="0"/>
        <w:spacing w:line="500" w:lineRule="exact"/>
        <w:ind w:firstLine="526" w:firstLineChars="200"/>
        <w:rPr>
          <w:rFonts w:hint="eastAsia" w:hAnsi="宋体" w:cs="宋体"/>
          <w:color w:val="000000"/>
          <w:szCs w:val="24"/>
        </w:rPr>
      </w:pPr>
      <w:r>
        <w:rPr>
          <w:rFonts w:hint="eastAsia" w:hAnsi="宋体"/>
          <w:color w:val="000000"/>
          <w:szCs w:val="24"/>
        </w:rPr>
        <w:t>⑨当地下水中的特征污染物浓度满足地下水功能区划的标准后，逐步停止井点抽水，并进行土壤修复治理工作。</w:t>
      </w:r>
    </w:p>
    <w:p w14:paraId="5BBAAD62">
      <w:pPr>
        <w:autoSpaceDE w:val="0"/>
        <w:autoSpaceDN w:val="0"/>
        <w:adjustRightInd w:val="0"/>
        <w:spacing w:line="500" w:lineRule="exact"/>
        <w:ind w:firstLine="526" w:firstLineChars="200"/>
        <w:rPr>
          <w:rFonts w:hint="eastAsia" w:hAnsi="宋体" w:cs="宋体"/>
          <w:color w:val="000000"/>
          <w:szCs w:val="24"/>
        </w:rPr>
      </w:pPr>
      <w:r>
        <w:rPr>
          <w:rFonts w:hint="eastAsia" w:hAnsi="宋体"/>
          <w:color w:val="000000"/>
          <w:szCs w:val="24"/>
        </w:rPr>
        <w:t>类比现状塔中采油气管理区采取的</w:t>
      </w:r>
      <w:r>
        <w:rPr>
          <w:rFonts w:hint="eastAsia" w:hAnsi="宋体" w:cs="宋体"/>
          <w:color w:val="000000"/>
          <w:szCs w:val="24"/>
        </w:rPr>
        <w:t>地下水环境保护措施</w:t>
      </w:r>
      <w:r>
        <w:rPr>
          <w:rFonts w:hint="eastAsia" w:hAnsi="宋体"/>
          <w:color w:val="000000"/>
          <w:szCs w:val="24"/>
        </w:rPr>
        <w:t>，拟建工程采取的</w:t>
      </w:r>
      <w:r>
        <w:rPr>
          <w:rFonts w:hint="eastAsia" w:hAnsi="宋体" w:cs="宋体"/>
          <w:color w:val="000000"/>
          <w:szCs w:val="24"/>
        </w:rPr>
        <w:t>地下水环境保护措施</w:t>
      </w:r>
      <w:r>
        <w:rPr>
          <w:rFonts w:hint="eastAsia" w:hAnsi="宋体"/>
          <w:color w:val="000000"/>
          <w:szCs w:val="24"/>
        </w:rPr>
        <w:t>可行。</w:t>
      </w:r>
    </w:p>
    <w:p w14:paraId="4EBD7C58">
      <w:pPr>
        <w:autoSpaceDE w:val="0"/>
        <w:autoSpaceDN w:val="0"/>
        <w:adjustRightInd w:val="0"/>
        <w:spacing w:line="500" w:lineRule="exact"/>
        <w:outlineLvl w:val="2"/>
        <w:rPr>
          <w:rFonts w:hint="eastAsia" w:hAnsi="宋体" w:cs="宋体"/>
          <w:color w:val="000000"/>
          <w:szCs w:val="24"/>
        </w:rPr>
      </w:pPr>
      <w:r>
        <w:rPr>
          <w:rFonts w:hint="eastAsia" w:hAnsi="宋体" w:cs="宋体"/>
          <w:color w:val="000000"/>
          <w:szCs w:val="24"/>
        </w:rPr>
        <w:t>6.2.3 退役期地下水环境保护措施</w:t>
      </w:r>
    </w:p>
    <w:p w14:paraId="5DDA22B2">
      <w:pPr>
        <w:pStyle w:val="34"/>
        <w:spacing w:line="500" w:lineRule="exact"/>
        <w:ind w:firstLine="526" w:firstLineChars="200"/>
        <w:rPr>
          <w:rFonts w:ascii="宋体" w:hAnsi="宋体"/>
          <w:b w:val="0"/>
          <w:color w:val="000000"/>
          <w:szCs w:val="24"/>
        </w:rPr>
      </w:pPr>
      <w:r>
        <w:rPr>
          <w:rFonts w:ascii="宋体" w:hAnsi="宋体"/>
          <w:b w:val="0"/>
          <w:color w:val="000000"/>
          <w:szCs w:val="24"/>
        </w:rPr>
        <w:t>退役期废弃管道清洗废水依托周边联合站处理，在加强环境管理的情况下，不会对地下水环境造成污染影响。</w:t>
      </w:r>
    </w:p>
    <w:p w14:paraId="67DEA1D9">
      <w:pPr>
        <w:spacing w:line="500" w:lineRule="exact"/>
        <w:outlineLvl w:val="1"/>
        <w:rPr>
          <w:rFonts w:hint="eastAsia" w:ascii="黑体" w:hAnsi="黑体" w:eastAsia="黑体" w:cs="黑体"/>
          <w:color w:val="000000"/>
          <w:sz w:val="28"/>
          <w:szCs w:val="28"/>
          <w:lang w:bidi="ar"/>
        </w:rPr>
      </w:pPr>
      <w:bookmarkStart w:id="251" w:name="_Toc208474694"/>
      <w:bookmarkStart w:id="252" w:name="_Toc198040202"/>
      <w:bookmarkStart w:id="253" w:name="_Toc198040346"/>
      <w:bookmarkStart w:id="254" w:name="_Toc230178810"/>
      <w:r>
        <w:rPr>
          <w:rFonts w:hint="eastAsia" w:ascii="黑体" w:hAnsi="黑体" w:eastAsia="黑体" w:cs="黑体"/>
          <w:color w:val="000000"/>
          <w:sz w:val="28"/>
          <w:szCs w:val="28"/>
          <w:lang w:bidi="ar"/>
        </w:rPr>
        <w:t>6.3地表水环境保护措施可行性论证</w:t>
      </w:r>
      <w:bookmarkEnd w:id="251"/>
      <w:bookmarkEnd w:id="252"/>
      <w:bookmarkEnd w:id="253"/>
      <w:bookmarkEnd w:id="254"/>
    </w:p>
    <w:p w14:paraId="1AFE81BB">
      <w:pPr>
        <w:autoSpaceDE w:val="0"/>
        <w:autoSpaceDN w:val="0"/>
        <w:adjustRightInd w:val="0"/>
        <w:spacing w:line="500" w:lineRule="exact"/>
        <w:outlineLvl w:val="2"/>
        <w:rPr>
          <w:rFonts w:hint="eastAsia" w:hAnsi="宋体" w:cs="宋体"/>
          <w:color w:val="000000"/>
          <w:szCs w:val="24"/>
        </w:rPr>
      </w:pPr>
      <w:r>
        <w:rPr>
          <w:rFonts w:hint="eastAsia" w:hAnsi="宋体" w:cs="宋体"/>
          <w:color w:val="000000"/>
          <w:szCs w:val="24"/>
        </w:rPr>
        <w:t>6.3.1 施工期地表水环境保护措施</w:t>
      </w:r>
    </w:p>
    <w:p w14:paraId="6A496B84">
      <w:pPr>
        <w:pStyle w:val="45"/>
        <w:widowControl w:val="0"/>
        <w:spacing w:beforeAutospacing="0" w:afterAutospacing="0" w:line="500" w:lineRule="exact"/>
        <w:ind w:firstLine="495" w:firstLineChars="196"/>
        <w:jc w:val="both"/>
        <w:rPr>
          <w:rFonts w:hint="eastAsia"/>
          <w:color w:val="000000"/>
        </w:rPr>
      </w:pPr>
      <w:r>
        <w:rPr>
          <w:rFonts w:hint="eastAsia"/>
          <w:color w:val="000000"/>
        </w:rPr>
        <w:t>（1）管道试压废水</w:t>
      </w:r>
    </w:p>
    <w:p w14:paraId="2C6269A2">
      <w:pPr>
        <w:pStyle w:val="45"/>
        <w:widowControl w:val="0"/>
        <w:spacing w:beforeAutospacing="0" w:afterAutospacing="0" w:line="500" w:lineRule="exact"/>
        <w:ind w:firstLine="495" w:firstLineChars="196"/>
        <w:jc w:val="both"/>
        <w:rPr>
          <w:rFonts w:hint="eastAsia"/>
          <w:color w:val="000000"/>
        </w:rPr>
      </w:pPr>
      <w:r>
        <w:rPr>
          <w:rFonts w:hint="eastAsia"/>
          <w:color w:val="000000"/>
        </w:rPr>
        <w:t>集输管道试压介质采用中性洁净水，管道试压分段进行，集输管道试压水由管内排出后进入下一段管道循环使用，试压结束后用于洒水降尘。</w:t>
      </w:r>
    </w:p>
    <w:p w14:paraId="21F4B876">
      <w:pPr>
        <w:pStyle w:val="45"/>
        <w:widowControl w:val="0"/>
        <w:spacing w:beforeAutospacing="0" w:afterAutospacing="0" w:line="500" w:lineRule="exact"/>
        <w:ind w:firstLine="495" w:firstLineChars="196"/>
        <w:jc w:val="both"/>
        <w:rPr>
          <w:rFonts w:hint="eastAsia"/>
          <w:color w:val="000000"/>
          <w:kern w:val="2"/>
          <w:lang w:bidi="ar"/>
        </w:rPr>
      </w:pPr>
      <w:r>
        <w:rPr>
          <w:rFonts w:hint="eastAsia"/>
          <w:color w:val="000000"/>
        </w:rPr>
        <w:t>（2）</w:t>
      </w:r>
      <w:r>
        <w:rPr>
          <w:rFonts w:hint="eastAsia"/>
          <w:color w:val="000000"/>
          <w:kern w:val="2"/>
          <w:lang w:bidi="ar"/>
        </w:rPr>
        <w:t>施工队生活污水</w:t>
      </w:r>
    </w:p>
    <w:p w14:paraId="6CAE1968">
      <w:pPr>
        <w:pStyle w:val="47"/>
        <w:spacing w:after="0" w:line="500" w:lineRule="exact"/>
        <w:ind w:left="0" w:leftChars="0" w:firstLine="554" w:firstLineChars="200"/>
        <w:rPr>
          <w:rFonts w:hint="eastAsia" w:hAnsi="宋体" w:cs="宋体"/>
          <w:color w:val="000000"/>
          <w:szCs w:val="24"/>
        </w:rPr>
      </w:pPr>
      <w:r>
        <w:rPr>
          <w:rFonts w:hint="eastAsia" w:hAnsi="宋体" w:cs="宋体"/>
          <w:color w:val="000000"/>
          <w:szCs w:val="24"/>
        </w:rPr>
        <w:t>生活污水依托塔三联合站公寓生活污水处理装置处理。</w:t>
      </w:r>
      <w:r>
        <w:rPr>
          <w:rFonts w:hint="eastAsia" w:hAnsi="宋体" w:cs="宋体"/>
          <w:color w:val="000000"/>
          <w:spacing w:val="0"/>
          <w:kern w:val="2"/>
          <w:szCs w:val="24"/>
        </w:rPr>
        <w:t>塔三联合站公寓生活污水处理装置</w:t>
      </w:r>
      <w:r>
        <w:rPr>
          <w:rFonts w:hAnsi="宋体" w:cs="宋体"/>
          <w:color w:val="000000"/>
          <w:spacing w:val="0"/>
          <w:kern w:val="2"/>
          <w:szCs w:val="24"/>
        </w:rPr>
        <w:t>采用</w:t>
      </w:r>
      <w:r>
        <w:rPr>
          <w:rFonts w:hint="eastAsia" w:hAnsi="宋体" w:cs="宋体"/>
          <w:color w:val="000000"/>
          <w:spacing w:val="0"/>
          <w:kern w:val="2"/>
          <w:szCs w:val="24"/>
        </w:rPr>
        <w:t>“水解酸化+两级接触氧化+沉淀过滤”</w:t>
      </w:r>
      <w:r>
        <w:rPr>
          <w:rFonts w:hAnsi="宋体" w:cs="宋体"/>
          <w:color w:val="000000"/>
          <w:spacing w:val="0"/>
          <w:kern w:val="2"/>
          <w:szCs w:val="24"/>
        </w:rPr>
        <w:t>工艺对生活污水进行处理</w:t>
      </w:r>
      <w:r>
        <w:rPr>
          <w:rFonts w:hint="eastAsia" w:hAnsi="宋体" w:cs="宋体"/>
          <w:color w:val="000000"/>
          <w:spacing w:val="0"/>
          <w:kern w:val="2"/>
          <w:szCs w:val="24"/>
        </w:rPr>
        <w:t>，</w:t>
      </w:r>
      <w:r>
        <w:rPr>
          <w:rFonts w:hAnsi="宋体" w:cs="宋体"/>
          <w:color w:val="000000"/>
          <w:spacing w:val="0"/>
          <w:kern w:val="2"/>
          <w:szCs w:val="24"/>
        </w:rPr>
        <w:t>出水</w:t>
      </w:r>
      <w:r>
        <w:rPr>
          <w:rFonts w:hint="eastAsia" w:hAnsi="宋体" w:cs="宋体"/>
          <w:color w:val="000000"/>
          <w:spacing w:val="0"/>
          <w:kern w:val="2"/>
          <w:szCs w:val="24"/>
        </w:rPr>
        <w:t>水质满足《污水综合排放标准》（GB8978-1996）新污染源二级标准冬储夏灌，设计处理规模为120m</w:t>
      </w:r>
      <w:r>
        <w:rPr>
          <w:rFonts w:hint="eastAsia" w:hAnsi="宋体" w:cs="宋体"/>
          <w:color w:val="000000"/>
          <w:spacing w:val="0"/>
          <w:kern w:val="2"/>
          <w:szCs w:val="24"/>
          <w:vertAlign w:val="superscript"/>
        </w:rPr>
        <w:t>3</w:t>
      </w:r>
      <w:r>
        <w:rPr>
          <w:rFonts w:hint="eastAsia" w:hAnsi="宋体" w:cs="宋体"/>
          <w:color w:val="000000"/>
          <w:spacing w:val="0"/>
          <w:kern w:val="2"/>
          <w:szCs w:val="24"/>
        </w:rPr>
        <w:t>/d，其富余处理能力可满足拟建工程（1.6m</w:t>
      </w:r>
      <w:r>
        <w:rPr>
          <w:rFonts w:hint="eastAsia" w:hAnsi="宋体" w:cs="宋体"/>
          <w:color w:val="000000"/>
          <w:spacing w:val="0"/>
          <w:kern w:val="2"/>
          <w:szCs w:val="24"/>
          <w:vertAlign w:val="superscript"/>
        </w:rPr>
        <w:t>3</w:t>
      </w:r>
      <w:r>
        <w:rPr>
          <w:rFonts w:hint="eastAsia" w:hAnsi="宋体" w:cs="宋体"/>
          <w:color w:val="000000"/>
          <w:spacing w:val="0"/>
          <w:kern w:val="2"/>
          <w:szCs w:val="24"/>
        </w:rPr>
        <w:t>/d）需求，依托处理设施可行。</w:t>
      </w:r>
    </w:p>
    <w:p w14:paraId="314691F8">
      <w:pPr>
        <w:pStyle w:val="34"/>
        <w:spacing w:line="500" w:lineRule="exact"/>
        <w:ind w:firstLine="526" w:firstLineChars="200"/>
        <w:rPr>
          <w:rFonts w:ascii="宋体" w:hAnsi="宋体"/>
          <w:b w:val="0"/>
          <w:bCs/>
          <w:color w:val="000000"/>
          <w:szCs w:val="24"/>
        </w:rPr>
      </w:pPr>
      <w:r>
        <w:rPr>
          <w:rFonts w:hAnsi="宋体" w:cs="宋体"/>
          <w:b w:val="0"/>
          <w:bCs/>
          <w:color w:val="000000"/>
          <w:szCs w:val="24"/>
        </w:rPr>
        <w:t>综上，施工期采取的废水处置措施可行</w:t>
      </w:r>
      <w:r>
        <w:rPr>
          <w:rFonts w:ascii="宋体" w:hAnsi="宋体" w:cs="宋体"/>
          <w:b w:val="0"/>
          <w:bCs/>
          <w:color w:val="000000"/>
          <w:szCs w:val="24"/>
        </w:rPr>
        <w:t>。</w:t>
      </w:r>
    </w:p>
    <w:p w14:paraId="6B6202D4">
      <w:pPr>
        <w:autoSpaceDE w:val="0"/>
        <w:autoSpaceDN w:val="0"/>
        <w:adjustRightInd w:val="0"/>
        <w:spacing w:line="500" w:lineRule="exact"/>
        <w:outlineLvl w:val="2"/>
        <w:rPr>
          <w:rFonts w:hint="eastAsia" w:hAnsi="宋体" w:cs="宋体"/>
          <w:color w:val="000000"/>
          <w:szCs w:val="24"/>
        </w:rPr>
      </w:pPr>
      <w:r>
        <w:rPr>
          <w:rFonts w:hint="eastAsia" w:hAnsi="宋体" w:cs="宋体"/>
          <w:color w:val="000000"/>
          <w:szCs w:val="24"/>
        </w:rPr>
        <w:t>6.3.2 运营期地表水环境保护措施</w:t>
      </w:r>
    </w:p>
    <w:p w14:paraId="6E458685">
      <w:pPr>
        <w:spacing w:line="500" w:lineRule="exact"/>
        <w:ind w:firstLine="526" w:firstLineChars="200"/>
        <w:rPr>
          <w:rFonts w:hint="eastAsia" w:hAnsi="宋体" w:cs="宋体"/>
          <w:color w:val="000000"/>
          <w:szCs w:val="24"/>
          <w:lang w:bidi="ar"/>
        </w:rPr>
      </w:pPr>
      <w:r>
        <w:rPr>
          <w:rFonts w:hint="eastAsia" w:hAnsi="宋体" w:cs="宋体"/>
          <w:color w:val="000000"/>
          <w:szCs w:val="24"/>
          <w:lang w:bidi="ar"/>
        </w:rPr>
        <w:t>项目运营期无废水产生。</w:t>
      </w:r>
    </w:p>
    <w:p w14:paraId="62422BE9">
      <w:pPr>
        <w:autoSpaceDE w:val="0"/>
        <w:autoSpaceDN w:val="0"/>
        <w:adjustRightInd w:val="0"/>
        <w:spacing w:line="500" w:lineRule="exact"/>
        <w:outlineLvl w:val="2"/>
        <w:rPr>
          <w:rFonts w:hint="eastAsia" w:hAnsi="宋体" w:cs="宋体"/>
          <w:color w:val="000000"/>
          <w:szCs w:val="24"/>
        </w:rPr>
      </w:pPr>
      <w:r>
        <w:rPr>
          <w:rFonts w:hint="eastAsia" w:hAnsi="宋体" w:cs="宋体"/>
          <w:color w:val="000000"/>
          <w:szCs w:val="24"/>
        </w:rPr>
        <w:t>6.3.3 退役期地表水环境保护措施</w:t>
      </w:r>
    </w:p>
    <w:p w14:paraId="55BF6DBD">
      <w:pPr>
        <w:spacing w:line="500" w:lineRule="exact"/>
        <w:ind w:firstLine="526" w:firstLineChars="200"/>
        <w:rPr>
          <w:rFonts w:hint="eastAsia"/>
          <w:color w:val="000000"/>
          <w:szCs w:val="24"/>
        </w:rPr>
      </w:pPr>
      <w:r>
        <w:rPr>
          <w:rFonts w:hint="eastAsia"/>
          <w:color w:val="000000"/>
          <w:szCs w:val="24"/>
        </w:rPr>
        <w:t>退役期废弃管道清洗废水依托周边联合站处理。</w:t>
      </w:r>
    </w:p>
    <w:p w14:paraId="65355DB9">
      <w:pPr>
        <w:spacing w:line="500" w:lineRule="exact"/>
        <w:outlineLvl w:val="1"/>
        <w:rPr>
          <w:rFonts w:hint="eastAsia" w:ascii="黑体" w:hAnsi="黑体" w:eastAsia="黑体" w:cs="黑体"/>
          <w:color w:val="000000"/>
          <w:sz w:val="28"/>
          <w:szCs w:val="28"/>
          <w:lang w:bidi="ar"/>
        </w:rPr>
      </w:pPr>
      <w:bookmarkStart w:id="255" w:name="_Toc198040203"/>
      <w:bookmarkStart w:id="256" w:name="_Toc198040347"/>
      <w:bookmarkStart w:id="257" w:name="_Toc208474695"/>
      <w:bookmarkStart w:id="258" w:name="_Toc230178811"/>
      <w:r>
        <w:rPr>
          <w:rFonts w:hint="eastAsia" w:ascii="黑体" w:hAnsi="黑体" w:eastAsia="黑体" w:cs="黑体"/>
          <w:color w:val="000000"/>
          <w:sz w:val="28"/>
          <w:szCs w:val="28"/>
          <w:lang w:bidi="ar"/>
        </w:rPr>
        <w:t>6.4土壤环境保护措施可行性论证</w:t>
      </w:r>
      <w:bookmarkEnd w:id="255"/>
      <w:bookmarkEnd w:id="256"/>
      <w:bookmarkEnd w:id="257"/>
      <w:bookmarkEnd w:id="258"/>
    </w:p>
    <w:p w14:paraId="28020E07">
      <w:pPr>
        <w:autoSpaceDE w:val="0"/>
        <w:autoSpaceDN w:val="0"/>
        <w:adjustRightInd w:val="0"/>
        <w:spacing w:line="500" w:lineRule="exact"/>
        <w:outlineLvl w:val="2"/>
        <w:rPr>
          <w:rFonts w:hint="eastAsia" w:hAnsi="宋体" w:cs="宋体"/>
          <w:color w:val="000000"/>
          <w:szCs w:val="24"/>
        </w:rPr>
      </w:pPr>
      <w:r>
        <w:rPr>
          <w:rFonts w:hint="eastAsia" w:hAnsi="宋体" w:cs="宋体"/>
          <w:color w:val="000000"/>
          <w:szCs w:val="24"/>
        </w:rPr>
        <w:t>6.4.1 施工期土壤环境保护措施</w:t>
      </w:r>
    </w:p>
    <w:p w14:paraId="3782D78E">
      <w:pPr>
        <w:autoSpaceDE w:val="0"/>
        <w:adjustRightInd w:val="0"/>
        <w:spacing w:line="500" w:lineRule="exact"/>
        <w:ind w:firstLine="526" w:firstLineChars="200"/>
        <w:rPr>
          <w:rFonts w:hint="eastAsia" w:hAnsi="宋体"/>
          <w:color w:val="000000"/>
        </w:rPr>
      </w:pPr>
      <w:r>
        <w:rPr>
          <w:rFonts w:hint="eastAsia" w:hAnsi="宋体"/>
          <w:color w:val="000000"/>
        </w:rPr>
        <w:t>（1）应严格控制施工期临时占地面积，按设计及规划的施工范围进行施工作业，减少土壤扰动。</w:t>
      </w:r>
    </w:p>
    <w:p w14:paraId="40D2F53F">
      <w:pPr>
        <w:autoSpaceDE w:val="0"/>
        <w:adjustRightInd w:val="0"/>
        <w:spacing w:line="500" w:lineRule="exact"/>
        <w:ind w:firstLine="526" w:firstLineChars="200"/>
        <w:rPr>
          <w:rFonts w:hint="eastAsia" w:hAnsi="宋体"/>
          <w:color w:val="000000"/>
        </w:rPr>
      </w:pPr>
      <w:r>
        <w:rPr>
          <w:rFonts w:hint="eastAsia" w:hAnsi="宋体"/>
          <w:color w:val="000000"/>
        </w:rPr>
        <w:t>（2）施工机械及运输车辆应按规定的道路行驶，减少对土壤的碾压，减少碾压造成的土壤紧实度增加及养分流失。</w:t>
      </w:r>
    </w:p>
    <w:p w14:paraId="7DE54972">
      <w:pPr>
        <w:autoSpaceDE w:val="0"/>
        <w:adjustRightInd w:val="0"/>
        <w:spacing w:line="500" w:lineRule="exact"/>
        <w:ind w:firstLine="526" w:firstLineChars="200"/>
        <w:rPr>
          <w:rFonts w:hint="eastAsia" w:hAnsi="宋体"/>
          <w:color w:val="000000"/>
        </w:rPr>
      </w:pPr>
      <w:r>
        <w:rPr>
          <w:rFonts w:hint="eastAsia" w:hAnsi="宋体"/>
          <w:color w:val="000000"/>
        </w:rPr>
        <w:t>（3）施工产生的建筑垃圾不得随意抛洒，应集中收集并及时清运，防止污染物进入土壤环境造成污染。</w:t>
      </w:r>
    </w:p>
    <w:p w14:paraId="18286418">
      <w:pPr>
        <w:autoSpaceDE w:val="0"/>
        <w:adjustRightInd w:val="0"/>
        <w:spacing w:line="500" w:lineRule="exact"/>
        <w:ind w:firstLine="526" w:firstLineChars="200"/>
        <w:rPr>
          <w:rFonts w:hint="eastAsia" w:hAnsi="宋体"/>
          <w:color w:val="000000"/>
        </w:rPr>
      </w:pPr>
      <w:r>
        <w:rPr>
          <w:rFonts w:hint="eastAsia" w:hAnsi="宋体"/>
          <w:color w:val="000000"/>
        </w:rPr>
        <w:t>（4）项目区处于风蚀区，需要严格采取各项水土流失防治措施，施工完毕后通过对临时占地采取土地平整和防沙治沙措施，地表基本可免受水土流失。</w:t>
      </w:r>
    </w:p>
    <w:p w14:paraId="6FF123C5">
      <w:pPr>
        <w:spacing w:line="500" w:lineRule="exact"/>
        <w:ind w:firstLine="526" w:firstLineChars="200"/>
        <w:jc w:val="left"/>
        <w:rPr>
          <w:rFonts w:hint="eastAsia" w:hAnsi="宋体" w:cs="宋体"/>
          <w:color w:val="000000"/>
          <w:szCs w:val="24"/>
        </w:rPr>
      </w:pPr>
      <w:r>
        <w:rPr>
          <w:rFonts w:hint="eastAsia" w:hAnsi="宋体"/>
          <w:color w:val="000000"/>
        </w:rPr>
        <w:t>综上，拟建工程施工期采取的土壤污染防治措施可行</w:t>
      </w:r>
      <w:r>
        <w:rPr>
          <w:rFonts w:hint="eastAsia" w:hAnsi="宋体" w:cs="宋体"/>
          <w:color w:val="000000"/>
          <w:kern w:val="0"/>
          <w:szCs w:val="24"/>
          <w:lang w:bidi="ar"/>
        </w:rPr>
        <w:t>。</w:t>
      </w:r>
    </w:p>
    <w:p w14:paraId="6E62BE99">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6.4.2 运营期土壤环境保护措施</w:t>
      </w:r>
    </w:p>
    <w:p w14:paraId="466CEC6C">
      <w:pPr>
        <w:adjustRightInd w:val="0"/>
        <w:spacing w:line="480" w:lineRule="exact"/>
        <w:ind w:firstLine="526" w:firstLineChars="200"/>
        <w:rPr>
          <w:color w:val="000000"/>
          <w:szCs w:val="24"/>
        </w:rPr>
      </w:pPr>
      <w:r>
        <w:rPr>
          <w:rFonts w:hint="eastAsia" w:hAnsi="宋体" w:cs="宋体"/>
          <w:color w:val="000000"/>
          <w:szCs w:val="24"/>
        </w:rPr>
        <w:t>①加强法兰、阀门连接处腐蚀情况记录管理，避免因老化、腐蚀导致泄漏情况发生；</w:t>
      </w:r>
    </w:p>
    <w:p w14:paraId="1A060413">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②加强管线巡检，避免因“跑、冒、滴、漏”或泄漏事故发生造成油品进入土壤，发生泄漏事故时应及时清理落地油，受污染的土壤应交由具有相应危险废物处置资质的单位负责接收、转运和处置，降低对土壤环境质量的影响程度。</w:t>
      </w:r>
    </w:p>
    <w:p w14:paraId="1335D40B">
      <w:pPr>
        <w:adjustRightInd w:val="0"/>
        <w:spacing w:line="480" w:lineRule="exact"/>
        <w:ind w:firstLine="526" w:firstLineChars="200"/>
        <w:rPr>
          <w:rFonts w:hint="eastAsia" w:hAnsi="宋体" w:cs="宋体"/>
          <w:color w:val="000000"/>
          <w:szCs w:val="24"/>
        </w:rPr>
      </w:pPr>
      <w:r>
        <w:rPr>
          <w:rFonts w:hint="eastAsia" w:hAnsi="宋体"/>
          <w:color w:val="000000"/>
          <w:szCs w:val="24"/>
        </w:rPr>
        <w:t>类比现状塔中采油气管理区采取的</w:t>
      </w:r>
      <w:r>
        <w:rPr>
          <w:rFonts w:hint="eastAsia" w:hAnsi="宋体" w:cs="宋体"/>
          <w:color w:val="000000"/>
          <w:szCs w:val="24"/>
        </w:rPr>
        <w:t>土壤环境保护措施</w:t>
      </w:r>
      <w:r>
        <w:rPr>
          <w:rFonts w:hint="eastAsia" w:hAnsi="宋体"/>
          <w:color w:val="000000"/>
          <w:szCs w:val="24"/>
        </w:rPr>
        <w:t>，拟建工程采取的</w:t>
      </w:r>
      <w:r>
        <w:rPr>
          <w:rFonts w:hint="eastAsia" w:hAnsi="宋体" w:cs="宋体"/>
          <w:color w:val="000000"/>
          <w:szCs w:val="24"/>
        </w:rPr>
        <w:t>土壤环境保护措施</w:t>
      </w:r>
      <w:r>
        <w:rPr>
          <w:rFonts w:hint="eastAsia" w:hAnsi="宋体"/>
          <w:color w:val="000000"/>
          <w:szCs w:val="24"/>
        </w:rPr>
        <w:t>可行。</w:t>
      </w:r>
    </w:p>
    <w:p w14:paraId="37B28106">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6.4.3 退役期土壤环境保护措施</w:t>
      </w:r>
    </w:p>
    <w:p w14:paraId="306E5D9D">
      <w:pPr>
        <w:pStyle w:val="34"/>
        <w:spacing w:line="480" w:lineRule="exact"/>
        <w:ind w:firstLine="526" w:firstLineChars="200"/>
        <w:rPr>
          <w:rFonts w:ascii="宋体" w:hAnsi="宋体" w:cs="宋体"/>
          <w:b w:val="0"/>
          <w:color w:val="000000"/>
          <w:szCs w:val="24"/>
        </w:rPr>
      </w:pPr>
      <w:r>
        <w:rPr>
          <w:rFonts w:ascii="宋体" w:hAnsi="宋体" w:cs="宋体"/>
          <w:b w:val="0"/>
          <w:color w:val="000000"/>
          <w:kern w:val="0"/>
          <w:szCs w:val="24"/>
          <w:lang w:bidi="ar"/>
        </w:rPr>
        <w:t>退役期对管线进行封堵，经土壤污染状况调查，确保无土壤环境污染遗留问题后，进行生态恢复工作，并依法进行分类管理。</w:t>
      </w:r>
    </w:p>
    <w:p w14:paraId="4A628C7A">
      <w:pPr>
        <w:spacing w:line="480" w:lineRule="exact"/>
        <w:outlineLvl w:val="1"/>
        <w:rPr>
          <w:rFonts w:hint="eastAsia" w:ascii="黑体" w:hAnsi="黑体" w:eastAsia="黑体" w:cs="黑体"/>
          <w:color w:val="000000"/>
          <w:sz w:val="28"/>
          <w:szCs w:val="28"/>
          <w:lang w:bidi="ar"/>
        </w:rPr>
      </w:pPr>
      <w:bookmarkStart w:id="259" w:name="_Toc198040204"/>
      <w:bookmarkStart w:id="260" w:name="_Toc230178812"/>
      <w:bookmarkStart w:id="261" w:name="_Toc198040348"/>
      <w:bookmarkStart w:id="262" w:name="_Toc208474696"/>
      <w:r>
        <w:rPr>
          <w:rFonts w:hint="eastAsia" w:ascii="黑体" w:hAnsi="黑体" w:eastAsia="黑体" w:cs="黑体"/>
          <w:color w:val="000000"/>
          <w:sz w:val="28"/>
          <w:szCs w:val="28"/>
          <w:lang w:bidi="ar"/>
        </w:rPr>
        <w:t>6.5大气环境保护措施可行性论证</w:t>
      </w:r>
      <w:bookmarkEnd w:id="259"/>
      <w:bookmarkEnd w:id="260"/>
      <w:bookmarkEnd w:id="261"/>
      <w:bookmarkEnd w:id="262"/>
    </w:p>
    <w:p w14:paraId="06E7BA38">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6.5.1 施工期大气环境保护措施</w:t>
      </w:r>
    </w:p>
    <w:p w14:paraId="73A9DF21">
      <w:pPr>
        <w:spacing w:line="480" w:lineRule="exact"/>
        <w:rPr>
          <w:rFonts w:hAnsi="宋体"/>
          <w:color w:val="000000"/>
          <w:szCs w:val="24"/>
        </w:rPr>
      </w:pPr>
      <w:r>
        <w:rPr>
          <w:rFonts w:hint="eastAsia" w:hAnsi="宋体" w:cs="宋体"/>
          <w:color w:val="000000"/>
          <w:szCs w:val="24"/>
        </w:rPr>
        <w:t>6.5.1</w:t>
      </w:r>
      <w:r>
        <w:rPr>
          <w:rFonts w:hint="eastAsia" w:hAnsi="宋体"/>
          <w:color w:val="000000"/>
          <w:szCs w:val="24"/>
        </w:rPr>
        <w:t>.1施工扬尘</w:t>
      </w:r>
    </w:p>
    <w:p w14:paraId="58EC9422">
      <w:pPr>
        <w:pStyle w:val="23"/>
        <w:spacing w:line="480" w:lineRule="exact"/>
        <w:ind w:firstLine="515" w:firstLineChars="196"/>
        <w:rPr>
          <w:rFonts w:hAnsi="宋体"/>
          <w:bCs/>
          <w:color w:val="000000"/>
          <w:spacing w:val="9"/>
          <w:sz w:val="24"/>
          <w:szCs w:val="24"/>
        </w:rPr>
      </w:pPr>
      <w:r>
        <w:rPr>
          <w:rFonts w:hint="eastAsia" w:hAnsi="宋体" w:cs="宋体"/>
          <w:color w:val="000000"/>
          <w:sz w:val="24"/>
          <w:szCs w:val="24"/>
        </w:rPr>
        <w:t>为有效控制施工期间的扬尘影响，结合建设单位实际情况，本评价要求建设单位严格执行</w:t>
      </w:r>
      <w:r>
        <w:rPr>
          <w:rFonts w:hint="eastAsia" w:hAnsi="宋体" w:cs="宋体"/>
          <w:color w:val="000000"/>
          <w:sz w:val="24"/>
          <w:szCs w:val="24"/>
          <w:lang w:bidi="ar"/>
        </w:rPr>
        <w:t>《关于印发&lt;新疆维吾尔自治区2025年空气质量持续改善行动实施方案&gt;的通知》（新政办发</w:t>
      </w:r>
      <w:bookmarkStart w:id="263" w:name="OLE_LINK2"/>
      <w:r>
        <w:rPr>
          <w:rFonts w:hint="eastAsia" w:hAnsi="宋体" w:cs="宋体"/>
          <w:color w:val="000000"/>
          <w:sz w:val="24"/>
          <w:szCs w:val="24"/>
          <w:lang w:bidi="ar"/>
        </w:rPr>
        <w:t>〔2024〕</w:t>
      </w:r>
      <w:bookmarkEnd w:id="263"/>
      <w:r>
        <w:rPr>
          <w:rFonts w:hint="eastAsia" w:hAnsi="宋体" w:cs="宋体"/>
          <w:color w:val="000000"/>
          <w:sz w:val="24"/>
          <w:szCs w:val="24"/>
          <w:lang w:bidi="ar"/>
        </w:rPr>
        <w:t>58号）及</w:t>
      </w:r>
      <w:r>
        <w:rPr>
          <w:rFonts w:hint="eastAsia"/>
          <w:color w:val="000000"/>
          <w:sz w:val="24"/>
          <w:szCs w:val="24"/>
          <w:lang w:bidi="ar"/>
        </w:rPr>
        <w:t>《新疆维吾尔自治区重污染天气应急预案（修订版）》（新政办发</w:t>
      </w:r>
      <w:r>
        <w:rPr>
          <w:rFonts w:hint="eastAsia" w:hAnsi="宋体" w:cs="宋体"/>
          <w:color w:val="000000"/>
          <w:kern w:val="0"/>
          <w:sz w:val="24"/>
          <w:szCs w:val="24"/>
        </w:rPr>
        <w:t>〔2019〕</w:t>
      </w:r>
      <w:r>
        <w:rPr>
          <w:rFonts w:hint="eastAsia"/>
          <w:color w:val="000000"/>
          <w:sz w:val="24"/>
          <w:szCs w:val="24"/>
          <w:lang w:bidi="ar"/>
        </w:rPr>
        <w:t>96号）</w:t>
      </w:r>
      <w:r>
        <w:rPr>
          <w:rFonts w:hint="eastAsia" w:hAnsi="宋体" w:cs="宋体"/>
          <w:color w:val="000000"/>
          <w:sz w:val="24"/>
          <w:szCs w:val="24"/>
          <w:lang w:bidi="ar"/>
        </w:rPr>
        <w:t>相关文件要求，</w:t>
      </w:r>
      <w:r>
        <w:rPr>
          <w:rFonts w:hint="eastAsia" w:hAnsi="宋体" w:cs="宋体"/>
          <w:color w:val="000000"/>
          <w:sz w:val="24"/>
          <w:szCs w:val="24"/>
        </w:rPr>
        <w:t>同时结合《建筑工程施工现场扬尘污染防治标准》（XJJ119-2020）等采取的抑尘措施，对项目施工提出以下扬尘控制要求，对项目施工提出以下扬尘控制要求。通过采取以下抑尘措施后，可较大限度地降低施工扬尘对周围环境的影响</w:t>
      </w:r>
      <w:r>
        <w:rPr>
          <w:rFonts w:hint="eastAsia" w:hAnsi="宋体"/>
          <w:bCs/>
          <w:color w:val="000000"/>
          <w:spacing w:val="9"/>
          <w:sz w:val="24"/>
          <w:szCs w:val="24"/>
        </w:rPr>
        <w:t>。</w:t>
      </w:r>
    </w:p>
    <w:p w14:paraId="77663B77">
      <w:pPr>
        <w:spacing w:line="480" w:lineRule="exact"/>
        <w:jc w:val="left"/>
        <w:rPr>
          <w:rFonts w:ascii="黑体" w:hAnsi="黑体" w:eastAsia="黑体"/>
          <w:bCs/>
          <w:color w:val="000000"/>
          <w:szCs w:val="24"/>
        </w:rPr>
      </w:pPr>
      <w:r>
        <w:rPr>
          <w:rFonts w:hint="eastAsia" w:ascii="黑体" w:hAnsi="黑体" w:eastAsia="黑体"/>
          <w:bCs/>
          <w:color w:val="000000"/>
          <w:szCs w:val="24"/>
        </w:rPr>
        <w:t xml:space="preserve">    表6.5</w:t>
      </w:r>
      <w:r>
        <w:rPr>
          <w:rFonts w:ascii="黑体" w:hAnsi="黑体" w:eastAsia="黑体"/>
          <w:bCs/>
          <w:color w:val="000000"/>
          <w:szCs w:val="24"/>
        </w:rPr>
        <w:t xml:space="preserve">-1      </w:t>
      </w:r>
      <w:r>
        <w:rPr>
          <w:rFonts w:hint="eastAsia" w:ascii="黑体" w:hAnsi="黑体" w:eastAsia="黑体"/>
          <w:bCs/>
          <w:color w:val="000000"/>
          <w:szCs w:val="24"/>
        </w:rPr>
        <w:t xml:space="preserve"> 施工期扬尘污染防治措施一览表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85"/>
        <w:gridCol w:w="937"/>
        <w:gridCol w:w="6300"/>
        <w:gridCol w:w="1393"/>
      </w:tblGrid>
      <w:tr w14:paraId="78025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tcMar>
              <w:left w:w="28" w:type="dxa"/>
              <w:right w:w="28" w:type="dxa"/>
            </w:tcMar>
            <w:vAlign w:val="center"/>
          </w:tcPr>
          <w:p w14:paraId="3E0A5095">
            <w:pPr>
              <w:spacing w:line="0" w:lineRule="atLeast"/>
              <w:jc w:val="center"/>
              <w:rPr>
                <w:rFonts w:hAnsi="宋体" w:cs="宋体"/>
                <w:color w:val="000000"/>
                <w:spacing w:val="-10"/>
                <w:sz w:val="21"/>
                <w:szCs w:val="21"/>
              </w:rPr>
            </w:pPr>
            <w:r>
              <w:rPr>
                <w:rFonts w:hint="eastAsia" w:hAnsi="宋体" w:cs="宋体"/>
                <w:color w:val="000000"/>
                <w:spacing w:val="-10"/>
                <w:sz w:val="21"/>
                <w:szCs w:val="21"/>
              </w:rPr>
              <w:t>序号</w:t>
            </w:r>
          </w:p>
        </w:tc>
        <w:tc>
          <w:tcPr>
            <w:tcW w:w="937" w:type="dxa"/>
            <w:tcMar>
              <w:left w:w="28" w:type="dxa"/>
              <w:right w:w="28" w:type="dxa"/>
            </w:tcMar>
            <w:vAlign w:val="center"/>
          </w:tcPr>
          <w:p w14:paraId="06F94EAD">
            <w:pPr>
              <w:spacing w:line="0" w:lineRule="atLeast"/>
              <w:jc w:val="center"/>
              <w:rPr>
                <w:rFonts w:hAnsi="宋体" w:cs="宋体"/>
                <w:color w:val="000000"/>
                <w:spacing w:val="-10"/>
                <w:sz w:val="21"/>
                <w:szCs w:val="21"/>
              </w:rPr>
            </w:pPr>
            <w:r>
              <w:rPr>
                <w:rFonts w:hint="eastAsia" w:hAnsi="宋体" w:cs="宋体"/>
                <w:color w:val="000000"/>
                <w:spacing w:val="-10"/>
                <w:sz w:val="21"/>
                <w:szCs w:val="21"/>
              </w:rPr>
              <w:t>防治措施</w:t>
            </w:r>
          </w:p>
        </w:tc>
        <w:tc>
          <w:tcPr>
            <w:tcW w:w="6300" w:type="dxa"/>
            <w:tcMar>
              <w:left w:w="28" w:type="dxa"/>
              <w:right w:w="28" w:type="dxa"/>
            </w:tcMar>
            <w:vAlign w:val="center"/>
          </w:tcPr>
          <w:p w14:paraId="72C4FA9B">
            <w:pPr>
              <w:spacing w:line="0" w:lineRule="atLeast"/>
              <w:jc w:val="center"/>
              <w:rPr>
                <w:rFonts w:hAnsi="宋体" w:cs="宋体"/>
                <w:color w:val="000000"/>
                <w:spacing w:val="-10"/>
                <w:sz w:val="21"/>
                <w:szCs w:val="21"/>
              </w:rPr>
            </w:pPr>
            <w:r>
              <w:rPr>
                <w:rFonts w:hint="eastAsia" w:hAnsi="宋体" w:cs="宋体"/>
                <w:color w:val="000000"/>
                <w:spacing w:val="-10"/>
                <w:sz w:val="21"/>
                <w:szCs w:val="21"/>
              </w:rPr>
              <w:t>具体要求</w:t>
            </w:r>
          </w:p>
        </w:tc>
        <w:tc>
          <w:tcPr>
            <w:tcW w:w="1393" w:type="dxa"/>
            <w:tcMar>
              <w:left w:w="28" w:type="dxa"/>
              <w:right w:w="28" w:type="dxa"/>
            </w:tcMar>
            <w:vAlign w:val="center"/>
          </w:tcPr>
          <w:p w14:paraId="241DA972">
            <w:pPr>
              <w:spacing w:line="0" w:lineRule="atLeast"/>
              <w:jc w:val="center"/>
              <w:rPr>
                <w:rFonts w:hAnsi="宋体" w:cs="宋体"/>
                <w:color w:val="000000"/>
                <w:spacing w:val="-10"/>
                <w:sz w:val="21"/>
                <w:szCs w:val="21"/>
              </w:rPr>
            </w:pPr>
            <w:r>
              <w:rPr>
                <w:rFonts w:hint="eastAsia" w:hAnsi="宋体" w:cs="宋体"/>
                <w:color w:val="000000"/>
                <w:spacing w:val="-10"/>
                <w:sz w:val="21"/>
                <w:szCs w:val="21"/>
              </w:rPr>
              <w:t>依据</w:t>
            </w:r>
          </w:p>
        </w:tc>
      </w:tr>
      <w:tr w14:paraId="6E8A4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57" w:hRule="atLeast"/>
          <w:jc w:val="center"/>
        </w:trPr>
        <w:tc>
          <w:tcPr>
            <w:tcW w:w="385" w:type="dxa"/>
            <w:tcMar>
              <w:left w:w="28" w:type="dxa"/>
              <w:right w:w="28" w:type="dxa"/>
            </w:tcMar>
            <w:vAlign w:val="center"/>
          </w:tcPr>
          <w:p w14:paraId="6F3C4878">
            <w:pPr>
              <w:spacing w:line="0" w:lineRule="atLeast"/>
              <w:jc w:val="center"/>
              <w:rPr>
                <w:rFonts w:hAnsi="宋体" w:cs="宋体"/>
                <w:color w:val="000000"/>
                <w:spacing w:val="-10"/>
                <w:sz w:val="21"/>
                <w:szCs w:val="21"/>
              </w:rPr>
            </w:pPr>
            <w:r>
              <w:rPr>
                <w:rFonts w:hAnsi="宋体" w:cs="宋体"/>
                <w:color w:val="000000"/>
                <w:spacing w:val="-10"/>
                <w:sz w:val="21"/>
                <w:szCs w:val="21"/>
              </w:rPr>
              <w:t>1</w:t>
            </w:r>
          </w:p>
        </w:tc>
        <w:tc>
          <w:tcPr>
            <w:tcW w:w="937" w:type="dxa"/>
            <w:tcMar>
              <w:left w:w="28" w:type="dxa"/>
              <w:right w:w="28" w:type="dxa"/>
            </w:tcMar>
            <w:vAlign w:val="center"/>
          </w:tcPr>
          <w:p w14:paraId="31D66791">
            <w:pPr>
              <w:spacing w:line="0" w:lineRule="atLeast"/>
              <w:jc w:val="center"/>
              <w:rPr>
                <w:rFonts w:hAnsi="宋体" w:cs="宋体"/>
                <w:color w:val="000000"/>
                <w:spacing w:val="-10"/>
                <w:sz w:val="21"/>
                <w:szCs w:val="21"/>
              </w:rPr>
            </w:pPr>
            <w:r>
              <w:rPr>
                <w:rFonts w:hint="eastAsia" w:hAnsi="宋体" w:cs="宋体"/>
                <w:color w:val="000000"/>
                <w:spacing w:val="-10"/>
                <w:sz w:val="21"/>
                <w:szCs w:val="21"/>
              </w:rPr>
              <w:t>施工现场公示牌</w:t>
            </w:r>
          </w:p>
        </w:tc>
        <w:tc>
          <w:tcPr>
            <w:tcW w:w="6300" w:type="dxa"/>
            <w:tcMar>
              <w:left w:w="28" w:type="dxa"/>
              <w:right w:w="28" w:type="dxa"/>
            </w:tcMar>
            <w:vAlign w:val="center"/>
          </w:tcPr>
          <w:p w14:paraId="2A4C8ED5">
            <w:pPr>
              <w:spacing w:line="0" w:lineRule="atLeast"/>
              <w:rPr>
                <w:rFonts w:hAnsi="宋体" w:cs="宋体"/>
                <w:color w:val="000000"/>
                <w:spacing w:val="-10"/>
                <w:sz w:val="21"/>
                <w:szCs w:val="21"/>
              </w:rPr>
            </w:pPr>
            <w:r>
              <w:rPr>
                <w:rFonts w:hint="eastAsia" w:hAnsi="宋体" w:cs="宋体"/>
                <w:color w:val="000000"/>
                <w:spacing w:val="-10"/>
                <w:sz w:val="21"/>
                <w:szCs w:val="21"/>
              </w:rPr>
              <w:t>在施工现场出入口明显位置设置公示牌，公示施工现场负责人、环保监督员、防尘措施、扬尘监督管理部门、举报投诉电话等信息</w:t>
            </w:r>
          </w:p>
        </w:tc>
        <w:tc>
          <w:tcPr>
            <w:tcW w:w="1393" w:type="dxa"/>
            <w:vMerge w:val="restart"/>
            <w:tcMar>
              <w:left w:w="28" w:type="dxa"/>
              <w:right w:w="28" w:type="dxa"/>
            </w:tcMar>
            <w:vAlign w:val="center"/>
          </w:tcPr>
          <w:p w14:paraId="3B7A6574">
            <w:pPr>
              <w:spacing w:line="0" w:lineRule="atLeast"/>
              <w:jc w:val="center"/>
              <w:rPr>
                <w:rFonts w:hAnsi="宋体" w:cs="宋体"/>
                <w:color w:val="000000"/>
                <w:spacing w:val="-10"/>
                <w:sz w:val="21"/>
                <w:szCs w:val="21"/>
              </w:rPr>
            </w:pPr>
            <w:r>
              <w:rPr>
                <w:rFonts w:hint="eastAsia" w:hAnsi="宋体" w:cs="宋体"/>
                <w:color w:val="000000"/>
                <w:spacing w:val="-10"/>
                <w:sz w:val="21"/>
                <w:szCs w:val="21"/>
              </w:rPr>
              <w:t>《建筑工程施工现场扬尘污染防治标准》</w:t>
            </w:r>
          </w:p>
        </w:tc>
      </w:tr>
      <w:tr w14:paraId="72EDA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63" w:hRule="atLeast"/>
          <w:jc w:val="center"/>
        </w:trPr>
        <w:tc>
          <w:tcPr>
            <w:tcW w:w="385" w:type="dxa"/>
            <w:tcMar>
              <w:left w:w="28" w:type="dxa"/>
              <w:right w:w="28" w:type="dxa"/>
            </w:tcMar>
            <w:vAlign w:val="center"/>
          </w:tcPr>
          <w:p w14:paraId="32D5070F">
            <w:pPr>
              <w:jc w:val="center"/>
              <w:rPr>
                <w:rFonts w:hAnsi="宋体" w:cs="宋体"/>
                <w:color w:val="000000"/>
                <w:spacing w:val="-10"/>
                <w:sz w:val="21"/>
                <w:szCs w:val="21"/>
              </w:rPr>
            </w:pPr>
            <w:r>
              <w:rPr>
                <w:rFonts w:hAnsi="宋体" w:cs="宋体"/>
                <w:color w:val="000000"/>
                <w:spacing w:val="-10"/>
                <w:sz w:val="21"/>
                <w:szCs w:val="21"/>
              </w:rPr>
              <w:t>2</w:t>
            </w:r>
          </w:p>
        </w:tc>
        <w:tc>
          <w:tcPr>
            <w:tcW w:w="937" w:type="dxa"/>
            <w:tcMar>
              <w:left w:w="28" w:type="dxa"/>
              <w:right w:w="28" w:type="dxa"/>
            </w:tcMar>
            <w:vAlign w:val="center"/>
          </w:tcPr>
          <w:p w14:paraId="0A07CF84">
            <w:pPr>
              <w:spacing w:line="0" w:lineRule="atLeast"/>
              <w:jc w:val="center"/>
              <w:rPr>
                <w:rFonts w:hAnsi="宋体" w:cs="宋体"/>
                <w:color w:val="000000"/>
                <w:spacing w:val="-10"/>
                <w:sz w:val="21"/>
                <w:szCs w:val="21"/>
              </w:rPr>
            </w:pPr>
            <w:r>
              <w:rPr>
                <w:rFonts w:hint="eastAsia" w:hAnsi="宋体" w:cs="宋体"/>
                <w:color w:val="000000"/>
                <w:spacing w:val="-10"/>
                <w:sz w:val="21"/>
                <w:szCs w:val="21"/>
              </w:rPr>
              <w:t>密闭苫盖措施</w:t>
            </w:r>
          </w:p>
        </w:tc>
        <w:tc>
          <w:tcPr>
            <w:tcW w:w="6300" w:type="dxa"/>
            <w:tcMar>
              <w:left w:w="28" w:type="dxa"/>
              <w:right w:w="28" w:type="dxa"/>
            </w:tcMar>
            <w:vAlign w:val="center"/>
          </w:tcPr>
          <w:p w14:paraId="2C96E0A7">
            <w:pPr>
              <w:spacing w:line="0" w:lineRule="atLeast"/>
              <w:rPr>
                <w:rFonts w:hAnsi="宋体" w:cs="宋体"/>
                <w:color w:val="000000"/>
                <w:spacing w:val="-10"/>
                <w:sz w:val="21"/>
                <w:szCs w:val="21"/>
              </w:rPr>
            </w:pPr>
            <w:r>
              <w:rPr>
                <w:rFonts w:hint="eastAsia" w:hAnsi="宋体" w:cs="宋体"/>
                <w:color w:val="000000"/>
                <w:spacing w:val="-10"/>
                <w:sz w:val="21"/>
                <w:szCs w:val="21"/>
              </w:rPr>
              <w:t>①建筑材料采用密闭存储、采用防尘布苫盖等措施；</w:t>
            </w:r>
          </w:p>
          <w:p w14:paraId="1D622ABC">
            <w:pPr>
              <w:spacing w:line="0" w:lineRule="atLeast"/>
              <w:rPr>
                <w:rFonts w:hAnsi="宋体" w:cs="宋体"/>
                <w:color w:val="000000"/>
                <w:spacing w:val="-10"/>
                <w:sz w:val="21"/>
                <w:szCs w:val="21"/>
              </w:rPr>
            </w:pPr>
            <w:r>
              <w:rPr>
                <w:rFonts w:hint="eastAsia" w:hAnsi="宋体" w:cs="宋体"/>
                <w:color w:val="000000"/>
                <w:spacing w:val="-10"/>
                <w:sz w:val="21"/>
                <w:szCs w:val="21"/>
              </w:rPr>
              <w:t>②临时堆土采用防尘网苫盖等措施；</w:t>
            </w:r>
          </w:p>
        </w:tc>
        <w:tc>
          <w:tcPr>
            <w:tcW w:w="1393" w:type="dxa"/>
            <w:vMerge w:val="continue"/>
            <w:tcMar>
              <w:left w:w="28" w:type="dxa"/>
              <w:right w:w="28" w:type="dxa"/>
            </w:tcMar>
            <w:vAlign w:val="center"/>
          </w:tcPr>
          <w:p w14:paraId="382B1F19">
            <w:pPr>
              <w:spacing w:line="0" w:lineRule="atLeast"/>
              <w:jc w:val="center"/>
              <w:rPr>
                <w:rFonts w:hAnsi="宋体" w:cs="宋体"/>
                <w:color w:val="000000"/>
                <w:spacing w:val="-10"/>
                <w:sz w:val="21"/>
                <w:szCs w:val="21"/>
              </w:rPr>
            </w:pPr>
          </w:p>
        </w:tc>
      </w:tr>
    </w:tbl>
    <w:p w14:paraId="419C9B2C">
      <w:pPr>
        <w:spacing w:line="480" w:lineRule="exact"/>
        <w:jc w:val="left"/>
        <w:rPr>
          <w:rFonts w:ascii="黑体" w:hAnsi="黑体" w:eastAsia="黑体"/>
          <w:bCs/>
          <w:color w:val="000000"/>
          <w:szCs w:val="24"/>
        </w:rPr>
      </w:pPr>
      <w:r>
        <w:br w:type="page"/>
      </w:r>
      <w:r>
        <w:rPr>
          <w:rFonts w:hint="eastAsia" w:ascii="黑体" w:hAnsi="黑体" w:eastAsia="黑体"/>
          <w:bCs/>
          <w:color w:val="000000"/>
          <w:szCs w:val="24"/>
        </w:rPr>
        <w:t xml:space="preserve">    续表6.5</w:t>
      </w:r>
      <w:r>
        <w:rPr>
          <w:rFonts w:ascii="黑体" w:hAnsi="黑体" w:eastAsia="黑体"/>
          <w:bCs/>
          <w:color w:val="000000"/>
          <w:szCs w:val="24"/>
        </w:rPr>
        <w:t xml:space="preserve">-1      </w:t>
      </w:r>
      <w:r>
        <w:rPr>
          <w:rFonts w:hint="eastAsia" w:ascii="黑体" w:hAnsi="黑体" w:eastAsia="黑体"/>
          <w:bCs/>
          <w:color w:val="000000"/>
          <w:szCs w:val="24"/>
        </w:rPr>
        <w:t xml:space="preserve"> 施工期扬尘污染防治措施一览表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85"/>
        <w:gridCol w:w="937"/>
        <w:gridCol w:w="6300"/>
        <w:gridCol w:w="1393"/>
      </w:tblGrid>
      <w:tr w14:paraId="3DC5C2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tcMar>
              <w:left w:w="28" w:type="dxa"/>
              <w:right w:w="28" w:type="dxa"/>
            </w:tcMar>
            <w:vAlign w:val="center"/>
          </w:tcPr>
          <w:p w14:paraId="2B5C8F73">
            <w:pPr>
              <w:spacing w:line="0" w:lineRule="atLeast"/>
              <w:jc w:val="center"/>
              <w:rPr>
                <w:rFonts w:hAnsi="宋体" w:cs="宋体"/>
                <w:color w:val="000000"/>
                <w:spacing w:val="-10"/>
                <w:sz w:val="21"/>
                <w:szCs w:val="21"/>
              </w:rPr>
            </w:pPr>
            <w:r>
              <w:rPr>
                <w:rFonts w:hint="eastAsia" w:hAnsi="宋体" w:cs="宋体"/>
                <w:color w:val="000000"/>
                <w:spacing w:val="-10"/>
                <w:sz w:val="21"/>
                <w:szCs w:val="21"/>
              </w:rPr>
              <w:t>序号</w:t>
            </w:r>
          </w:p>
        </w:tc>
        <w:tc>
          <w:tcPr>
            <w:tcW w:w="937" w:type="dxa"/>
            <w:tcMar>
              <w:left w:w="28" w:type="dxa"/>
              <w:right w:w="28" w:type="dxa"/>
            </w:tcMar>
            <w:vAlign w:val="center"/>
          </w:tcPr>
          <w:p w14:paraId="36A43841">
            <w:pPr>
              <w:spacing w:line="0" w:lineRule="atLeast"/>
              <w:jc w:val="center"/>
              <w:rPr>
                <w:rFonts w:hAnsi="宋体" w:cs="宋体"/>
                <w:color w:val="000000"/>
                <w:spacing w:val="-10"/>
                <w:sz w:val="21"/>
                <w:szCs w:val="21"/>
              </w:rPr>
            </w:pPr>
            <w:r>
              <w:rPr>
                <w:rFonts w:hint="eastAsia" w:hAnsi="宋体" w:cs="宋体"/>
                <w:color w:val="000000"/>
                <w:spacing w:val="-10"/>
                <w:sz w:val="21"/>
                <w:szCs w:val="21"/>
              </w:rPr>
              <w:t>防治措施</w:t>
            </w:r>
          </w:p>
        </w:tc>
        <w:tc>
          <w:tcPr>
            <w:tcW w:w="6300" w:type="dxa"/>
            <w:tcMar>
              <w:left w:w="28" w:type="dxa"/>
              <w:right w:w="28" w:type="dxa"/>
            </w:tcMar>
            <w:vAlign w:val="center"/>
          </w:tcPr>
          <w:p w14:paraId="39EE6F96">
            <w:pPr>
              <w:spacing w:line="0" w:lineRule="atLeast"/>
              <w:jc w:val="center"/>
              <w:rPr>
                <w:rFonts w:hAnsi="宋体" w:cs="宋体"/>
                <w:color w:val="000000"/>
                <w:spacing w:val="-10"/>
                <w:sz w:val="21"/>
                <w:szCs w:val="21"/>
              </w:rPr>
            </w:pPr>
            <w:r>
              <w:rPr>
                <w:rFonts w:hint="eastAsia" w:hAnsi="宋体" w:cs="宋体"/>
                <w:color w:val="000000"/>
                <w:spacing w:val="-10"/>
                <w:sz w:val="21"/>
                <w:szCs w:val="21"/>
              </w:rPr>
              <w:t>具体要求</w:t>
            </w:r>
          </w:p>
        </w:tc>
        <w:tc>
          <w:tcPr>
            <w:tcW w:w="1393" w:type="dxa"/>
            <w:tcMar>
              <w:left w:w="28" w:type="dxa"/>
              <w:right w:w="28" w:type="dxa"/>
            </w:tcMar>
            <w:vAlign w:val="center"/>
          </w:tcPr>
          <w:p w14:paraId="3B50861A">
            <w:pPr>
              <w:spacing w:line="0" w:lineRule="atLeast"/>
              <w:jc w:val="center"/>
              <w:rPr>
                <w:rFonts w:hAnsi="宋体" w:cs="宋体"/>
                <w:color w:val="000000"/>
                <w:spacing w:val="-10"/>
                <w:sz w:val="21"/>
                <w:szCs w:val="21"/>
              </w:rPr>
            </w:pPr>
            <w:r>
              <w:rPr>
                <w:rFonts w:hint="eastAsia" w:hAnsi="宋体" w:cs="宋体"/>
                <w:color w:val="000000"/>
                <w:spacing w:val="-10"/>
                <w:sz w:val="21"/>
                <w:szCs w:val="21"/>
              </w:rPr>
              <w:t>依据</w:t>
            </w:r>
          </w:p>
        </w:tc>
      </w:tr>
      <w:tr w14:paraId="42A0E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tcMar>
              <w:left w:w="28" w:type="dxa"/>
              <w:right w:w="28" w:type="dxa"/>
            </w:tcMar>
            <w:vAlign w:val="center"/>
          </w:tcPr>
          <w:p w14:paraId="285C55C3">
            <w:pPr>
              <w:spacing w:line="0" w:lineRule="atLeast"/>
              <w:jc w:val="center"/>
              <w:rPr>
                <w:rFonts w:hAnsi="宋体" w:cs="宋体"/>
                <w:color w:val="000000"/>
                <w:spacing w:val="-10"/>
                <w:sz w:val="21"/>
                <w:szCs w:val="21"/>
              </w:rPr>
            </w:pPr>
            <w:r>
              <w:rPr>
                <w:rFonts w:hAnsi="宋体" w:cs="宋体"/>
                <w:color w:val="000000"/>
                <w:spacing w:val="-10"/>
                <w:sz w:val="21"/>
                <w:szCs w:val="21"/>
              </w:rPr>
              <w:t>3</w:t>
            </w:r>
          </w:p>
        </w:tc>
        <w:tc>
          <w:tcPr>
            <w:tcW w:w="937" w:type="dxa"/>
            <w:tcMar>
              <w:left w:w="28" w:type="dxa"/>
              <w:right w:w="28" w:type="dxa"/>
            </w:tcMar>
            <w:vAlign w:val="center"/>
          </w:tcPr>
          <w:p w14:paraId="55A2FD7C">
            <w:pPr>
              <w:spacing w:line="0" w:lineRule="atLeast"/>
              <w:jc w:val="center"/>
              <w:rPr>
                <w:rFonts w:hAnsi="宋体" w:cs="宋体"/>
                <w:color w:val="000000"/>
                <w:spacing w:val="-10"/>
                <w:sz w:val="21"/>
                <w:szCs w:val="21"/>
              </w:rPr>
            </w:pPr>
            <w:r>
              <w:rPr>
                <w:rFonts w:hint="eastAsia" w:hAnsi="宋体" w:cs="宋体"/>
                <w:color w:val="000000"/>
                <w:spacing w:val="-10"/>
                <w:sz w:val="21"/>
                <w:szCs w:val="21"/>
              </w:rPr>
              <w:t>物料运输车辆密闭措施</w:t>
            </w:r>
          </w:p>
        </w:tc>
        <w:tc>
          <w:tcPr>
            <w:tcW w:w="6300" w:type="dxa"/>
            <w:tcMar>
              <w:left w:w="28" w:type="dxa"/>
              <w:right w:w="28" w:type="dxa"/>
            </w:tcMar>
            <w:vAlign w:val="center"/>
          </w:tcPr>
          <w:p w14:paraId="2F9A1366">
            <w:pPr>
              <w:spacing w:line="0" w:lineRule="atLeast"/>
              <w:rPr>
                <w:rFonts w:hAnsi="宋体" w:cs="宋体"/>
                <w:color w:val="000000"/>
                <w:spacing w:val="-10"/>
                <w:sz w:val="21"/>
                <w:szCs w:val="21"/>
              </w:rPr>
            </w:pPr>
            <w:r>
              <w:rPr>
                <w:rFonts w:hint="eastAsia" w:hAnsi="宋体" w:cs="宋体"/>
                <w:color w:val="000000"/>
                <w:spacing w:val="-10"/>
                <w:sz w:val="21"/>
                <w:szCs w:val="21"/>
              </w:rPr>
              <w:t>①进出工地的物料、渣土、垃圾运输车辆，应尽可能采用密闭车斗，并保证物料不遗撒外漏。若无密闭车斗，物料、垃圾、渣土的装载高度不得超过车辆槽帮上沿，车斗应用苫布遮盖严实；</w:t>
            </w:r>
          </w:p>
          <w:p w14:paraId="5D28A7E6">
            <w:pPr>
              <w:spacing w:line="0" w:lineRule="atLeast"/>
              <w:rPr>
                <w:rFonts w:hAnsi="宋体" w:cs="宋体"/>
                <w:color w:val="000000"/>
                <w:spacing w:val="-10"/>
                <w:sz w:val="21"/>
                <w:szCs w:val="21"/>
              </w:rPr>
            </w:pPr>
            <w:r>
              <w:rPr>
                <w:rFonts w:hint="eastAsia" w:hAnsi="宋体" w:cs="宋体"/>
                <w:color w:val="000000"/>
                <w:spacing w:val="-10"/>
                <w:sz w:val="21"/>
                <w:szCs w:val="21"/>
              </w:rPr>
              <w:t>②装卸和运输渣土、砂石、建筑垃圾等易产生扬尘污染物料的，应当采取完全密闭措施</w:t>
            </w:r>
          </w:p>
        </w:tc>
        <w:tc>
          <w:tcPr>
            <w:tcW w:w="1393" w:type="dxa"/>
            <w:vMerge w:val="restart"/>
            <w:tcMar>
              <w:left w:w="28" w:type="dxa"/>
              <w:right w:w="28" w:type="dxa"/>
            </w:tcMar>
            <w:vAlign w:val="center"/>
          </w:tcPr>
          <w:p w14:paraId="28FE5B5E">
            <w:pPr>
              <w:spacing w:line="0" w:lineRule="atLeast"/>
              <w:jc w:val="center"/>
              <w:rPr>
                <w:rFonts w:hAnsi="宋体" w:cs="宋体"/>
                <w:color w:val="000000"/>
                <w:spacing w:val="-10"/>
                <w:sz w:val="21"/>
                <w:szCs w:val="21"/>
              </w:rPr>
            </w:pPr>
            <w:r>
              <w:rPr>
                <w:rFonts w:hint="eastAsia" w:hAnsi="宋体" w:cs="宋体"/>
                <w:color w:val="000000"/>
                <w:spacing w:val="-10"/>
                <w:sz w:val="21"/>
                <w:szCs w:val="21"/>
              </w:rPr>
              <w:t>《建筑工程施工现场扬尘污染防治标准》</w:t>
            </w:r>
          </w:p>
        </w:tc>
      </w:tr>
      <w:tr w14:paraId="482FE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vMerge w:val="restart"/>
            <w:tcMar>
              <w:left w:w="28" w:type="dxa"/>
              <w:right w:w="28" w:type="dxa"/>
            </w:tcMar>
            <w:vAlign w:val="center"/>
          </w:tcPr>
          <w:p w14:paraId="6DC1199C">
            <w:pPr>
              <w:spacing w:line="0" w:lineRule="atLeast"/>
              <w:jc w:val="center"/>
              <w:rPr>
                <w:rFonts w:hAnsi="宋体" w:cs="宋体"/>
                <w:color w:val="000000"/>
                <w:spacing w:val="-10"/>
                <w:sz w:val="21"/>
                <w:szCs w:val="21"/>
              </w:rPr>
            </w:pPr>
            <w:r>
              <w:rPr>
                <w:rFonts w:hAnsi="宋体" w:cs="宋体"/>
                <w:color w:val="000000"/>
                <w:spacing w:val="-10"/>
                <w:sz w:val="21"/>
                <w:szCs w:val="21"/>
              </w:rPr>
              <w:t>4</w:t>
            </w:r>
          </w:p>
        </w:tc>
        <w:tc>
          <w:tcPr>
            <w:tcW w:w="937" w:type="dxa"/>
            <w:vMerge w:val="restart"/>
            <w:tcMar>
              <w:left w:w="28" w:type="dxa"/>
              <w:right w:w="28" w:type="dxa"/>
            </w:tcMar>
            <w:vAlign w:val="center"/>
          </w:tcPr>
          <w:p w14:paraId="60F1AEA9">
            <w:pPr>
              <w:spacing w:line="0" w:lineRule="atLeast"/>
              <w:jc w:val="center"/>
              <w:rPr>
                <w:rFonts w:hAnsi="宋体" w:cs="宋体"/>
                <w:color w:val="000000"/>
                <w:spacing w:val="-10"/>
                <w:sz w:val="21"/>
                <w:szCs w:val="21"/>
              </w:rPr>
            </w:pPr>
            <w:r>
              <w:rPr>
                <w:rFonts w:hint="eastAsia" w:hAnsi="宋体" w:cs="宋体"/>
                <w:color w:val="000000"/>
                <w:spacing w:val="-10"/>
                <w:sz w:val="21"/>
                <w:szCs w:val="21"/>
              </w:rPr>
              <w:t>洒水抑尘措施</w:t>
            </w:r>
          </w:p>
        </w:tc>
        <w:tc>
          <w:tcPr>
            <w:tcW w:w="6300" w:type="dxa"/>
            <w:tcMar>
              <w:left w:w="28" w:type="dxa"/>
              <w:right w:w="28" w:type="dxa"/>
            </w:tcMar>
            <w:vAlign w:val="center"/>
          </w:tcPr>
          <w:p w14:paraId="70EDC192">
            <w:pPr>
              <w:spacing w:line="0" w:lineRule="atLeast"/>
              <w:rPr>
                <w:rFonts w:hAnsi="宋体" w:cs="宋体"/>
                <w:color w:val="000000"/>
                <w:spacing w:val="-10"/>
                <w:sz w:val="21"/>
                <w:szCs w:val="21"/>
              </w:rPr>
            </w:pPr>
            <w:r>
              <w:rPr>
                <w:rFonts w:hint="eastAsia" w:hAnsi="宋体" w:cs="宋体"/>
                <w:color w:val="000000"/>
                <w:spacing w:val="-10"/>
                <w:sz w:val="21"/>
                <w:szCs w:val="21"/>
              </w:rPr>
              <w:t>遇到干燥、易起尘的土方工程作业时，应辅以洒水压尘，尽量缩短起尘操作时间，遇到四级及四级以上大风天气，应停止土方作业，同时作业处覆以防尘网</w:t>
            </w:r>
          </w:p>
        </w:tc>
        <w:tc>
          <w:tcPr>
            <w:tcW w:w="1393" w:type="dxa"/>
            <w:vMerge w:val="continue"/>
            <w:tcMar>
              <w:left w:w="28" w:type="dxa"/>
              <w:right w:w="28" w:type="dxa"/>
            </w:tcMar>
            <w:vAlign w:val="center"/>
          </w:tcPr>
          <w:p w14:paraId="200FDB6E">
            <w:pPr>
              <w:spacing w:line="0" w:lineRule="atLeast"/>
              <w:jc w:val="center"/>
              <w:rPr>
                <w:rFonts w:hAnsi="宋体" w:cs="宋体"/>
                <w:color w:val="000000"/>
                <w:spacing w:val="-10"/>
                <w:sz w:val="21"/>
                <w:szCs w:val="21"/>
              </w:rPr>
            </w:pPr>
          </w:p>
        </w:tc>
      </w:tr>
      <w:tr w14:paraId="2E6BA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vMerge w:val="continue"/>
            <w:tcMar>
              <w:left w:w="28" w:type="dxa"/>
              <w:right w:w="28" w:type="dxa"/>
            </w:tcMar>
            <w:vAlign w:val="center"/>
          </w:tcPr>
          <w:p w14:paraId="48BE14D6">
            <w:pPr>
              <w:spacing w:line="0" w:lineRule="atLeast"/>
              <w:jc w:val="left"/>
              <w:rPr>
                <w:rFonts w:hAnsi="宋体" w:cs="宋体"/>
                <w:color w:val="000000"/>
                <w:spacing w:val="-10"/>
                <w:sz w:val="21"/>
                <w:szCs w:val="21"/>
              </w:rPr>
            </w:pPr>
          </w:p>
        </w:tc>
        <w:tc>
          <w:tcPr>
            <w:tcW w:w="937" w:type="dxa"/>
            <w:vMerge w:val="continue"/>
            <w:tcMar>
              <w:left w:w="28" w:type="dxa"/>
              <w:right w:w="28" w:type="dxa"/>
            </w:tcMar>
            <w:vAlign w:val="center"/>
          </w:tcPr>
          <w:p w14:paraId="06BC36CB">
            <w:pPr>
              <w:spacing w:line="0" w:lineRule="atLeast"/>
              <w:jc w:val="left"/>
              <w:rPr>
                <w:rFonts w:hAnsi="宋体" w:cs="宋体"/>
                <w:color w:val="000000"/>
                <w:spacing w:val="-10"/>
                <w:sz w:val="21"/>
                <w:szCs w:val="21"/>
              </w:rPr>
            </w:pPr>
          </w:p>
        </w:tc>
        <w:tc>
          <w:tcPr>
            <w:tcW w:w="6300" w:type="dxa"/>
            <w:tcMar>
              <w:left w:w="28" w:type="dxa"/>
              <w:right w:w="28" w:type="dxa"/>
            </w:tcMar>
            <w:vAlign w:val="center"/>
          </w:tcPr>
          <w:p w14:paraId="1E772F96">
            <w:pPr>
              <w:spacing w:line="0" w:lineRule="atLeast"/>
              <w:rPr>
                <w:rFonts w:hAnsi="宋体" w:cs="宋体"/>
                <w:color w:val="000000"/>
                <w:spacing w:val="-10"/>
                <w:sz w:val="21"/>
                <w:szCs w:val="21"/>
              </w:rPr>
            </w:pPr>
            <w:r>
              <w:rPr>
                <w:rFonts w:hint="eastAsia" w:hAnsi="宋体" w:cs="宋体"/>
                <w:color w:val="000000"/>
                <w:spacing w:val="-10"/>
                <w:sz w:val="21"/>
                <w:szCs w:val="21"/>
              </w:rPr>
              <w:t>施工现场必须建立洒水清扫抑尘制度，配备洒水设备。非冰冻期每天洒水不少于</w:t>
            </w:r>
            <w:r>
              <w:rPr>
                <w:rFonts w:hAnsi="宋体" w:cs="宋体"/>
                <w:color w:val="000000"/>
                <w:spacing w:val="-10"/>
                <w:sz w:val="21"/>
                <w:szCs w:val="21"/>
              </w:rPr>
              <w:t>2</w:t>
            </w:r>
            <w:r>
              <w:rPr>
                <w:rFonts w:hint="eastAsia" w:hAnsi="宋体" w:cs="宋体"/>
                <w:color w:val="000000"/>
                <w:spacing w:val="-10"/>
                <w:sz w:val="21"/>
                <w:szCs w:val="21"/>
              </w:rPr>
              <w:t>次，并有专人负责。重污染天气时相应增加洒水频次</w:t>
            </w:r>
          </w:p>
        </w:tc>
        <w:tc>
          <w:tcPr>
            <w:tcW w:w="1393" w:type="dxa"/>
            <w:vMerge w:val="continue"/>
            <w:tcMar>
              <w:left w:w="28" w:type="dxa"/>
              <w:right w:w="28" w:type="dxa"/>
            </w:tcMar>
            <w:vAlign w:val="center"/>
          </w:tcPr>
          <w:p w14:paraId="612FBA17">
            <w:pPr>
              <w:spacing w:line="0" w:lineRule="atLeast"/>
              <w:jc w:val="center"/>
              <w:rPr>
                <w:rFonts w:hAnsi="宋体" w:cs="宋体"/>
                <w:color w:val="000000"/>
                <w:spacing w:val="-10"/>
                <w:sz w:val="21"/>
                <w:szCs w:val="21"/>
              </w:rPr>
            </w:pPr>
          </w:p>
        </w:tc>
      </w:tr>
      <w:tr w14:paraId="3D240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vMerge w:val="restart"/>
            <w:tcMar>
              <w:left w:w="28" w:type="dxa"/>
              <w:right w:w="28" w:type="dxa"/>
            </w:tcMar>
            <w:vAlign w:val="center"/>
          </w:tcPr>
          <w:p w14:paraId="2B122223">
            <w:pPr>
              <w:spacing w:line="0" w:lineRule="atLeast"/>
              <w:jc w:val="center"/>
              <w:rPr>
                <w:rFonts w:hAnsi="宋体" w:cs="宋体"/>
                <w:color w:val="000000"/>
                <w:spacing w:val="-10"/>
                <w:sz w:val="21"/>
                <w:szCs w:val="21"/>
              </w:rPr>
            </w:pPr>
            <w:r>
              <w:rPr>
                <w:rFonts w:hAnsi="宋体" w:cs="宋体"/>
                <w:color w:val="000000"/>
                <w:spacing w:val="-10"/>
                <w:sz w:val="21"/>
                <w:szCs w:val="21"/>
              </w:rPr>
              <w:t>5</w:t>
            </w:r>
          </w:p>
        </w:tc>
        <w:tc>
          <w:tcPr>
            <w:tcW w:w="937" w:type="dxa"/>
            <w:vMerge w:val="restart"/>
            <w:tcMar>
              <w:left w:w="28" w:type="dxa"/>
              <w:right w:w="28" w:type="dxa"/>
            </w:tcMar>
            <w:vAlign w:val="center"/>
          </w:tcPr>
          <w:p w14:paraId="78CBB1F0">
            <w:pPr>
              <w:spacing w:line="0" w:lineRule="atLeast"/>
              <w:jc w:val="center"/>
              <w:rPr>
                <w:rFonts w:hAnsi="宋体" w:cs="宋体"/>
                <w:color w:val="000000"/>
                <w:spacing w:val="-10"/>
                <w:sz w:val="21"/>
                <w:szCs w:val="21"/>
              </w:rPr>
            </w:pPr>
            <w:r>
              <w:rPr>
                <w:rFonts w:hint="eastAsia" w:hAnsi="宋体" w:cs="宋体"/>
                <w:color w:val="000000"/>
                <w:spacing w:val="-10"/>
                <w:sz w:val="21"/>
                <w:szCs w:val="21"/>
              </w:rPr>
              <w:t>重污染天气应急</w:t>
            </w:r>
          </w:p>
          <w:p w14:paraId="1B51B45F">
            <w:pPr>
              <w:spacing w:line="0" w:lineRule="atLeast"/>
              <w:jc w:val="center"/>
              <w:rPr>
                <w:rFonts w:hAnsi="宋体" w:cs="宋体"/>
                <w:color w:val="000000"/>
                <w:spacing w:val="-10"/>
                <w:sz w:val="21"/>
                <w:szCs w:val="21"/>
              </w:rPr>
            </w:pPr>
            <w:r>
              <w:rPr>
                <w:rFonts w:hint="eastAsia" w:hAnsi="宋体" w:cs="宋体"/>
                <w:color w:val="000000"/>
                <w:spacing w:val="-10"/>
                <w:sz w:val="21"/>
                <w:szCs w:val="21"/>
              </w:rPr>
              <w:t>预案</w:t>
            </w:r>
          </w:p>
        </w:tc>
        <w:tc>
          <w:tcPr>
            <w:tcW w:w="6300" w:type="dxa"/>
            <w:tcMar>
              <w:left w:w="28" w:type="dxa"/>
              <w:right w:w="28" w:type="dxa"/>
            </w:tcMar>
            <w:vAlign w:val="center"/>
          </w:tcPr>
          <w:p w14:paraId="167B2C81">
            <w:pPr>
              <w:spacing w:line="0" w:lineRule="atLeast"/>
              <w:jc w:val="left"/>
              <w:rPr>
                <w:rFonts w:hAnsi="宋体" w:cs="宋体"/>
                <w:color w:val="000000"/>
                <w:spacing w:val="-10"/>
                <w:sz w:val="21"/>
                <w:szCs w:val="21"/>
              </w:rPr>
            </w:pPr>
            <w:r>
              <w:rPr>
                <w:rFonts w:hint="eastAsia" w:hAnsi="宋体" w:cs="宋体"/>
                <w:color w:val="000000"/>
                <w:spacing w:val="-10"/>
                <w:sz w:val="21"/>
                <w:szCs w:val="21"/>
              </w:rPr>
              <w:t>Ⅲ级（黄色）预警：生态环境部门加大对燃煤锅炉、工业企业、施工场地、机动车排放等重点大气污染源的执法检查频次；禁止建筑垃圾、渣土、砂石等散装物料运输车辆上路</w:t>
            </w:r>
          </w:p>
        </w:tc>
        <w:tc>
          <w:tcPr>
            <w:tcW w:w="1393" w:type="dxa"/>
            <w:vMerge w:val="restart"/>
            <w:tcMar>
              <w:left w:w="28" w:type="dxa"/>
              <w:right w:w="28" w:type="dxa"/>
            </w:tcMar>
            <w:vAlign w:val="center"/>
          </w:tcPr>
          <w:p w14:paraId="0964ECBB">
            <w:pPr>
              <w:spacing w:line="0" w:lineRule="atLeast"/>
              <w:jc w:val="center"/>
              <w:rPr>
                <w:rFonts w:hint="eastAsia" w:hAnsi="宋体" w:cs="Calibri"/>
                <w:color w:val="000000"/>
                <w:spacing w:val="-10"/>
                <w:sz w:val="21"/>
                <w:szCs w:val="21"/>
              </w:rPr>
            </w:pPr>
            <w:r>
              <w:rPr>
                <w:rFonts w:hint="eastAsia" w:hAnsi="宋体" w:cs="Calibri"/>
                <w:color w:val="000000"/>
                <w:spacing w:val="-10"/>
                <w:sz w:val="21"/>
                <w:szCs w:val="21"/>
              </w:rPr>
              <w:t>《新疆维吾尔自治区重污染天气应急预案（修订版）》（新政办发〔</w:t>
            </w:r>
            <w:r>
              <w:rPr>
                <w:rFonts w:hAnsi="宋体" w:cs="Calibri"/>
                <w:color w:val="000000"/>
                <w:spacing w:val="-10"/>
                <w:sz w:val="21"/>
                <w:szCs w:val="21"/>
              </w:rPr>
              <w:t>2019</w:t>
            </w:r>
            <w:r>
              <w:rPr>
                <w:rFonts w:hint="eastAsia" w:hAnsi="宋体" w:cs="Calibri"/>
                <w:color w:val="000000"/>
                <w:spacing w:val="-10"/>
                <w:sz w:val="21"/>
                <w:szCs w:val="21"/>
              </w:rPr>
              <w:t>〕</w:t>
            </w:r>
            <w:r>
              <w:rPr>
                <w:rFonts w:hAnsi="宋体" w:cs="Calibri"/>
                <w:color w:val="000000"/>
                <w:spacing w:val="-10"/>
                <w:sz w:val="21"/>
                <w:szCs w:val="21"/>
              </w:rPr>
              <w:t>96</w:t>
            </w:r>
            <w:r>
              <w:rPr>
                <w:rFonts w:hint="eastAsia" w:hAnsi="宋体" w:cs="Calibri"/>
                <w:color w:val="000000"/>
                <w:spacing w:val="-10"/>
                <w:sz w:val="21"/>
                <w:szCs w:val="21"/>
              </w:rPr>
              <w:t>号）</w:t>
            </w:r>
          </w:p>
        </w:tc>
      </w:tr>
      <w:tr w14:paraId="1ECE24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vMerge w:val="continue"/>
            <w:tcMar>
              <w:left w:w="28" w:type="dxa"/>
              <w:right w:w="28" w:type="dxa"/>
            </w:tcMar>
            <w:vAlign w:val="center"/>
          </w:tcPr>
          <w:p w14:paraId="0D359EC7">
            <w:pPr>
              <w:spacing w:line="0" w:lineRule="atLeast"/>
              <w:jc w:val="left"/>
              <w:rPr>
                <w:rFonts w:hAnsi="宋体" w:cs="宋体"/>
                <w:color w:val="000000"/>
                <w:spacing w:val="-10"/>
                <w:sz w:val="21"/>
                <w:szCs w:val="21"/>
              </w:rPr>
            </w:pPr>
          </w:p>
        </w:tc>
        <w:tc>
          <w:tcPr>
            <w:tcW w:w="937" w:type="dxa"/>
            <w:vMerge w:val="continue"/>
            <w:tcMar>
              <w:left w:w="28" w:type="dxa"/>
              <w:right w:w="28" w:type="dxa"/>
            </w:tcMar>
            <w:vAlign w:val="center"/>
          </w:tcPr>
          <w:p w14:paraId="2CFF613F">
            <w:pPr>
              <w:spacing w:line="0" w:lineRule="atLeast"/>
              <w:jc w:val="left"/>
              <w:rPr>
                <w:rFonts w:hAnsi="宋体" w:cs="宋体"/>
                <w:color w:val="000000"/>
                <w:spacing w:val="-10"/>
                <w:sz w:val="21"/>
                <w:szCs w:val="21"/>
              </w:rPr>
            </w:pPr>
          </w:p>
        </w:tc>
        <w:tc>
          <w:tcPr>
            <w:tcW w:w="6300" w:type="dxa"/>
            <w:tcMar>
              <w:left w:w="28" w:type="dxa"/>
              <w:right w:w="28" w:type="dxa"/>
            </w:tcMar>
            <w:vAlign w:val="center"/>
          </w:tcPr>
          <w:p w14:paraId="014D045E">
            <w:pPr>
              <w:spacing w:line="0" w:lineRule="atLeast"/>
              <w:jc w:val="left"/>
              <w:rPr>
                <w:rFonts w:hAnsi="宋体" w:cs="宋体"/>
                <w:color w:val="000000"/>
                <w:spacing w:val="-10"/>
                <w:sz w:val="21"/>
                <w:szCs w:val="21"/>
              </w:rPr>
            </w:pPr>
            <w:r>
              <w:rPr>
                <w:rFonts w:hint="eastAsia" w:hAnsi="宋体" w:cs="宋体"/>
                <w:color w:val="000000"/>
                <w:spacing w:val="-10"/>
                <w:sz w:val="21"/>
                <w:szCs w:val="21"/>
              </w:rPr>
              <w:t>Ⅱ级（橙色）预警：生态环境部门加大对燃煤锅炉、工业企业、施工场地、机动车排放等重点大气污染源的执法检查频次；禁止建筑垃圾、渣土、砂石等散装物料运输车辆上路</w:t>
            </w:r>
          </w:p>
        </w:tc>
        <w:tc>
          <w:tcPr>
            <w:tcW w:w="1393" w:type="dxa"/>
            <w:vMerge w:val="continue"/>
            <w:tcMar>
              <w:left w:w="28" w:type="dxa"/>
              <w:right w:w="28" w:type="dxa"/>
            </w:tcMar>
            <w:vAlign w:val="center"/>
          </w:tcPr>
          <w:p w14:paraId="4C104E94">
            <w:pPr>
              <w:spacing w:line="0" w:lineRule="atLeast"/>
              <w:jc w:val="left"/>
              <w:rPr>
                <w:rFonts w:hAnsi="宋体" w:cs="Calibri"/>
                <w:color w:val="000000"/>
                <w:spacing w:val="-10"/>
                <w:sz w:val="21"/>
                <w:szCs w:val="21"/>
              </w:rPr>
            </w:pPr>
          </w:p>
        </w:tc>
      </w:tr>
      <w:tr w14:paraId="74F5A2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dxa"/>
            <w:vMerge w:val="continue"/>
            <w:tcMar>
              <w:left w:w="28" w:type="dxa"/>
              <w:right w:w="28" w:type="dxa"/>
            </w:tcMar>
            <w:vAlign w:val="center"/>
          </w:tcPr>
          <w:p w14:paraId="66AC977C">
            <w:pPr>
              <w:spacing w:line="0" w:lineRule="atLeast"/>
              <w:jc w:val="left"/>
              <w:rPr>
                <w:rFonts w:hAnsi="宋体" w:cs="宋体"/>
                <w:color w:val="000000"/>
                <w:spacing w:val="-10"/>
                <w:sz w:val="21"/>
                <w:szCs w:val="21"/>
              </w:rPr>
            </w:pPr>
          </w:p>
        </w:tc>
        <w:tc>
          <w:tcPr>
            <w:tcW w:w="937" w:type="dxa"/>
            <w:vMerge w:val="continue"/>
            <w:tcMar>
              <w:left w:w="28" w:type="dxa"/>
              <w:right w:w="28" w:type="dxa"/>
            </w:tcMar>
            <w:vAlign w:val="center"/>
          </w:tcPr>
          <w:p w14:paraId="23256EDC">
            <w:pPr>
              <w:spacing w:line="0" w:lineRule="atLeast"/>
              <w:jc w:val="left"/>
              <w:rPr>
                <w:rFonts w:hAnsi="宋体" w:cs="宋体"/>
                <w:color w:val="000000"/>
                <w:spacing w:val="-10"/>
                <w:sz w:val="21"/>
                <w:szCs w:val="21"/>
              </w:rPr>
            </w:pPr>
          </w:p>
        </w:tc>
        <w:tc>
          <w:tcPr>
            <w:tcW w:w="6300" w:type="dxa"/>
            <w:tcMar>
              <w:left w:w="28" w:type="dxa"/>
              <w:right w:w="28" w:type="dxa"/>
            </w:tcMar>
            <w:vAlign w:val="center"/>
          </w:tcPr>
          <w:p w14:paraId="330AD844">
            <w:pPr>
              <w:spacing w:line="0" w:lineRule="atLeast"/>
              <w:jc w:val="left"/>
              <w:rPr>
                <w:rFonts w:hAnsi="宋体" w:cs="宋体"/>
                <w:color w:val="000000"/>
                <w:spacing w:val="-10"/>
                <w:sz w:val="21"/>
                <w:szCs w:val="21"/>
              </w:rPr>
            </w:pPr>
            <w:r>
              <w:rPr>
                <w:rFonts w:hint="eastAsia" w:hAnsi="宋体" w:cs="宋体"/>
                <w:color w:val="000000"/>
                <w:spacing w:val="-10"/>
                <w:sz w:val="21"/>
                <w:szCs w:val="21"/>
              </w:rPr>
              <w:t>Ⅰ级（红色）预警：生态环境部门加大对燃煤锅炉、工业企业、施工场地、机动车排放等重点大气污染源的执法检查频次；禁止建筑垃圾、渣土、砂石等散装物料运输车辆上路</w:t>
            </w:r>
          </w:p>
        </w:tc>
        <w:tc>
          <w:tcPr>
            <w:tcW w:w="1393" w:type="dxa"/>
            <w:vMerge w:val="continue"/>
            <w:tcMar>
              <w:left w:w="28" w:type="dxa"/>
              <w:right w:w="28" w:type="dxa"/>
            </w:tcMar>
            <w:vAlign w:val="center"/>
          </w:tcPr>
          <w:p w14:paraId="662163DC">
            <w:pPr>
              <w:spacing w:line="0" w:lineRule="atLeast"/>
              <w:jc w:val="left"/>
              <w:rPr>
                <w:rFonts w:hAnsi="宋体" w:cs="Calibri"/>
                <w:color w:val="000000"/>
                <w:spacing w:val="-10"/>
                <w:sz w:val="21"/>
                <w:szCs w:val="21"/>
              </w:rPr>
            </w:pPr>
          </w:p>
        </w:tc>
      </w:tr>
    </w:tbl>
    <w:p w14:paraId="5C64F859">
      <w:pPr>
        <w:spacing w:before="240" w:line="490" w:lineRule="exact"/>
        <w:ind w:firstLine="526" w:firstLineChars="200"/>
        <w:rPr>
          <w:rFonts w:hint="eastAsia"/>
          <w:color w:val="000000"/>
          <w:szCs w:val="24"/>
        </w:rPr>
      </w:pPr>
      <w:r>
        <w:rPr>
          <w:rFonts w:hint="eastAsia"/>
          <w:color w:val="000000"/>
          <w:szCs w:val="24"/>
        </w:rPr>
        <w:t>（1）</w:t>
      </w:r>
      <w:r>
        <w:rPr>
          <w:rFonts w:hint="eastAsia" w:hAnsi="宋体" w:cs="宋体"/>
          <w:color w:val="000000"/>
          <w:szCs w:val="24"/>
          <w:lang w:val="zh-TW"/>
        </w:rPr>
        <w:t>在管线作业带内施工作业，</w:t>
      </w:r>
      <w:r>
        <w:rPr>
          <w:rFonts w:hint="eastAsia" w:hAnsi="宋体" w:cs="宋体"/>
          <w:color w:val="000000"/>
          <w:szCs w:val="24"/>
        </w:rPr>
        <w:t>施工现场定时洒水抑尘、控制运输车辆行驶速度、控制车辆装载量并采取密闭或者遮盖措施、避免大风天作业等</w:t>
      </w:r>
      <w:r>
        <w:rPr>
          <w:rFonts w:hint="eastAsia"/>
          <w:color w:val="000000"/>
          <w:szCs w:val="24"/>
        </w:rPr>
        <w:t>；</w:t>
      </w:r>
    </w:p>
    <w:p w14:paraId="565284F6">
      <w:pPr>
        <w:spacing w:line="490" w:lineRule="exact"/>
        <w:ind w:firstLine="526" w:firstLineChars="200"/>
        <w:rPr>
          <w:rFonts w:hAnsi="宋体" w:cs="宋体"/>
          <w:color w:val="000000"/>
          <w:szCs w:val="24"/>
        </w:rPr>
      </w:pPr>
      <w:r>
        <w:rPr>
          <w:rFonts w:hint="eastAsia"/>
          <w:color w:val="000000"/>
          <w:szCs w:val="24"/>
        </w:rPr>
        <w:t>（2）</w:t>
      </w:r>
      <w:r>
        <w:rPr>
          <w:rFonts w:hint="eastAsia" w:hAnsi="宋体" w:cs="宋体"/>
          <w:color w:val="000000"/>
          <w:szCs w:val="24"/>
        </w:rPr>
        <w:t>加强施工管理，尽可能缩短施工周期。</w:t>
      </w:r>
    </w:p>
    <w:p w14:paraId="2C26E266">
      <w:pPr>
        <w:spacing w:line="490" w:lineRule="exact"/>
        <w:ind w:firstLine="526" w:firstLineChars="200"/>
        <w:rPr>
          <w:rFonts w:hAnsi="宋体" w:cs="宋体"/>
          <w:color w:val="000000"/>
          <w:szCs w:val="24"/>
        </w:rPr>
      </w:pPr>
      <w:r>
        <w:rPr>
          <w:rFonts w:hint="eastAsia" w:hAnsi="宋体" w:cs="宋体"/>
          <w:color w:val="000000"/>
          <w:szCs w:val="24"/>
        </w:rPr>
        <w:t>（3）施工结束后尽快对施工场地进行恢复平整，减少风蚀量。</w:t>
      </w:r>
    </w:p>
    <w:p w14:paraId="3CA9E495">
      <w:pPr>
        <w:spacing w:line="490" w:lineRule="exact"/>
        <w:ind w:firstLine="526" w:firstLineChars="200"/>
        <w:rPr>
          <w:rFonts w:hAnsi="宋体"/>
          <w:color w:val="000000"/>
          <w:szCs w:val="24"/>
        </w:rPr>
      </w:pPr>
      <w:r>
        <w:rPr>
          <w:rFonts w:hint="eastAsia" w:hAnsi="宋体" w:cs="宋体"/>
          <w:color w:val="000000"/>
          <w:szCs w:val="24"/>
        </w:rPr>
        <w:t>以上扬尘防治措施，简单可行，具有可操作性，施工扬尘影响能够减缓到可以接受的程度，以上抑尘措施是可行的。</w:t>
      </w:r>
    </w:p>
    <w:p w14:paraId="7FC62EE1">
      <w:pPr>
        <w:spacing w:line="490" w:lineRule="exact"/>
        <w:rPr>
          <w:rFonts w:hAnsi="宋体" w:cs="宋体"/>
          <w:color w:val="000000"/>
          <w:szCs w:val="24"/>
        </w:rPr>
      </w:pPr>
      <w:r>
        <w:rPr>
          <w:rFonts w:hint="eastAsia" w:hAnsi="宋体" w:cs="宋体"/>
          <w:color w:val="000000"/>
          <w:szCs w:val="24"/>
        </w:rPr>
        <w:t>6.5.1.2</w:t>
      </w:r>
      <w:r>
        <w:rPr>
          <w:rFonts w:hint="eastAsia" w:hAnsi="宋体" w:cs="宋体"/>
          <w:color w:val="000000"/>
          <w:szCs w:val="24"/>
          <w:lang w:bidi="ar"/>
        </w:rPr>
        <w:t>焊接烟气、机械设备和车辆废气</w:t>
      </w:r>
    </w:p>
    <w:p w14:paraId="2DA83192">
      <w:pPr>
        <w:spacing w:line="490" w:lineRule="exact"/>
        <w:ind w:firstLine="526" w:firstLineChars="200"/>
        <w:rPr>
          <w:rFonts w:hint="eastAsia" w:hAnsi="宋体" w:cs="宋体"/>
          <w:color w:val="000000"/>
          <w:szCs w:val="24"/>
        </w:rPr>
      </w:pPr>
      <w:r>
        <w:rPr>
          <w:rFonts w:hint="eastAsia" w:hAnsi="宋体" w:cs="宋体"/>
          <w:color w:val="000000"/>
          <w:szCs w:val="24"/>
          <w:lang w:bidi="ar"/>
        </w:rPr>
        <w:t>施工前期加强设备和运输车辆的检修和维护，保证设备正常稳定运行，燃用合格的燃料，设备和车辆不超负荷运行，焊接作业时使用无毒低尘焊条，从而从源头减少设备和车辆废气及焊接烟气对环境的影响，</w:t>
      </w:r>
      <w:r>
        <w:rPr>
          <w:rFonts w:hint="eastAsia" w:hAnsi="宋体" w:cs="宋体"/>
          <w:color w:val="000000"/>
          <w:szCs w:val="24"/>
        </w:rPr>
        <w:t>措施是可行的。</w:t>
      </w:r>
    </w:p>
    <w:p w14:paraId="0384FA71">
      <w:pPr>
        <w:autoSpaceDE w:val="0"/>
        <w:autoSpaceDN w:val="0"/>
        <w:adjustRightInd w:val="0"/>
        <w:spacing w:line="490" w:lineRule="exact"/>
        <w:outlineLvl w:val="2"/>
        <w:rPr>
          <w:rFonts w:hint="eastAsia" w:hAnsi="宋体" w:cs="宋体"/>
          <w:color w:val="000000"/>
          <w:szCs w:val="24"/>
        </w:rPr>
      </w:pPr>
      <w:r>
        <w:rPr>
          <w:rFonts w:hint="eastAsia" w:hAnsi="宋体" w:cs="宋体"/>
          <w:color w:val="000000"/>
          <w:szCs w:val="24"/>
        </w:rPr>
        <w:t>6.5.2 运营期大气环境保护措施</w:t>
      </w:r>
    </w:p>
    <w:p w14:paraId="68740B80">
      <w:pPr>
        <w:spacing w:line="490" w:lineRule="exact"/>
        <w:ind w:firstLine="526" w:firstLineChars="200"/>
        <w:rPr>
          <w:rFonts w:hint="eastAsia" w:hAnsi="宋体" w:cs="宋体"/>
          <w:color w:val="000000"/>
          <w:szCs w:val="24"/>
        </w:rPr>
      </w:pPr>
      <w:r>
        <w:rPr>
          <w:rFonts w:hint="eastAsia" w:hAnsi="宋体" w:cs="宋体"/>
          <w:color w:val="000000"/>
          <w:szCs w:val="24"/>
        </w:rPr>
        <w:t>拟建工程运营期无废气产生</w:t>
      </w:r>
      <w:r>
        <w:rPr>
          <w:rFonts w:hint="eastAsia"/>
          <w:color w:val="000000"/>
          <w:szCs w:val="24"/>
        </w:rPr>
        <w:t>。</w:t>
      </w:r>
    </w:p>
    <w:p w14:paraId="0BC7DA18">
      <w:pPr>
        <w:autoSpaceDE w:val="0"/>
        <w:autoSpaceDN w:val="0"/>
        <w:adjustRightInd w:val="0"/>
        <w:spacing w:line="490" w:lineRule="exact"/>
        <w:outlineLvl w:val="2"/>
        <w:rPr>
          <w:rFonts w:hint="eastAsia" w:hAnsi="宋体" w:cs="宋体"/>
          <w:color w:val="000000"/>
          <w:szCs w:val="24"/>
        </w:rPr>
      </w:pPr>
      <w:r>
        <w:rPr>
          <w:rFonts w:hint="eastAsia" w:hAnsi="宋体" w:cs="宋体"/>
          <w:color w:val="000000"/>
          <w:szCs w:val="24"/>
        </w:rPr>
        <w:t>6.5.3 退役期大气环境保护措施</w:t>
      </w:r>
    </w:p>
    <w:p w14:paraId="2B3D74B6">
      <w:pPr>
        <w:pStyle w:val="34"/>
        <w:spacing w:line="490" w:lineRule="exact"/>
        <w:ind w:firstLine="526" w:firstLineChars="200"/>
        <w:rPr>
          <w:rFonts w:ascii="宋体" w:hAnsi="宋体"/>
          <w:b w:val="0"/>
          <w:color w:val="000000"/>
          <w:szCs w:val="24"/>
        </w:rPr>
      </w:pPr>
      <w:r>
        <w:rPr>
          <w:rFonts w:ascii="宋体" w:hAnsi="宋体"/>
          <w:b w:val="0"/>
          <w:color w:val="000000"/>
          <w:szCs w:val="24"/>
        </w:rPr>
        <w:t>拟建工程退役期无废气产生。</w:t>
      </w:r>
    </w:p>
    <w:p w14:paraId="6A888989">
      <w:pPr>
        <w:spacing w:line="480" w:lineRule="exact"/>
        <w:outlineLvl w:val="1"/>
        <w:rPr>
          <w:rFonts w:hint="eastAsia" w:ascii="黑体" w:hAnsi="黑体" w:eastAsia="黑体" w:cs="黑体"/>
          <w:color w:val="000000"/>
          <w:sz w:val="28"/>
          <w:szCs w:val="28"/>
          <w:lang w:bidi="ar"/>
        </w:rPr>
      </w:pPr>
      <w:bookmarkStart w:id="264" w:name="_Toc198040349"/>
      <w:bookmarkStart w:id="265" w:name="_Toc208474697"/>
      <w:bookmarkStart w:id="266" w:name="_Toc198040205"/>
      <w:bookmarkStart w:id="267" w:name="_Toc230178813"/>
      <w:r>
        <w:rPr>
          <w:rFonts w:hint="eastAsia" w:ascii="黑体" w:hAnsi="黑体" w:eastAsia="黑体" w:cs="黑体"/>
          <w:color w:val="000000"/>
          <w:sz w:val="28"/>
          <w:szCs w:val="28"/>
          <w:lang w:bidi="ar"/>
        </w:rPr>
        <w:t>6.6 声环境保护措施可行性论证</w:t>
      </w:r>
      <w:bookmarkEnd w:id="264"/>
      <w:bookmarkEnd w:id="265"/>
      <w:bookmarkEnd w:id="266"/>
      <w:bookmarkEnd w:id="267"/>
    </w:p>
    <w:p w14:paraId="2287C0EB">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6.6.1 施工期声环境保护措施</w:t>
      </w:r>
    </w:p>
    <w:p w14:paraId="48729991">
      <w:pPr>
        <w:spacing w:line="480" w:lineRule="exact"/>
        <w:ind w:firstLine="526" w:firstLineChars="200"/>
        <w:rPr>
          <w:rFonts w:hint="eastAsia" w:hAnsi="宋体" w:cs="宋体"/>
          <w:color w:val="000000"/>
        </w:rPr>
      </w:pPr>
      <w:r>
        <w:rPr>
          <w:rFonts w:hint="eastAsia" w:hAnsi="宋体" w:cs="宋体"/>
          <w:color w:val="000000"/>
        </w:rPr>
        <w:t>（1）合理安排施工</w:t>
      </w:r>
    </w:p>
    <w:p w14:paraId="0A895687">
      <w:pPr>
        <w:spacing w:line="480" w:lineRule="exact"/>
        <w:ind w:firstLine="526" w:firstLineChars="200"/>
        <w:rPr>
          <w:rFonts w:hint="eastAsia" w:hAnsi="宋体" w:cs="宋体"/>
          <w:color w:val="000000"/>
          <w:kern w:val="0"/>
          <w:szCs w:val="24"/>
        </w:rPr>
      </w:pPr>
      <w:r>
        <w:rPr>
          <w:rFonts w:hint="eastAsia" w:hAnsi="宋体" w:cs="宋体"/>
          <w:color w:val="000000"/>
        </w:rPr>
        <w:t>①施工运输车辆加强车辆维护，</w:t>
      </w:r>
      <w:r>
        <w:rPr>
          <w:rFonts w:hAnsi="宋体" w:cs="宋体"/>
          <w:color w:val="000000"/>
          <w:lang w:val="zh-TW"/>
        </w:rPr>
        <w:t>合理安排运输路线</w:t>
      </w:r>
      <w:r>
        <w:rPr>
          <w:rFonts w:hint="eastAsia" w:hAnsi="宋体" w:cs="宋体"/>
          <w:color w:val="000000"/>
          <w:lang w:val="zh-TW"/>
        </w:rPr>
        <w:t>，</w:t>
      </w:r>
      <w:r>
        <w:rPr>
          <w:rFonts w:hint="eastAsia" w:hAnsi="宋体" w:cs="宋体"/>
          <w:color w:val="000000"/>
        </w:rPr>
        <w:t>来减轻噪声对周围声环境的影响。合理安排施工时间，避免强噪声设备集中施工。</w:t>
      </w:r>
    </w:p>
    <w:p w14:paraId="647343C2">
      <w:pPr>
        <w:spacing w:line="480" w:lineRule="exact"/>
        <w:ind w:firstLine="526" w:firstLineChars="200"/>
        <w:rPr>
          <w:rFonts w:hint="eastAsia" w:hAnsi="宋体" w:cs="宋体"/>
          <w:color w:val="000000"/>
        </w:rPr>
      </w:pPr>
      <w:r>
        <w:rPr>
          <w:rFonts w:hint="eastAsia" w:hAnsi="宋体" w:cs="宋体"/>
          <w:color w:val="000000"/>
        </w:rPr>
        <w:t>②合理布置施工现场，避免在同一地点安排大量施工机械，以防止局部声级过高；</w:t>
      </w:r>
    </w:p>
    <w:p w14:paraId="3495AC02">
      <w:pPr>
        <w:spacing w:line="480" w:lineRule="exact"/>
        <w:ind w:firstLine="526" w:firstLineChars="200"/>
        <w:rPr>
          <w:rFonts w:hint="eastAsia" w:hAnsi="宋体" w:cs="宋体"/>
          <w:color w:val="000000"/>
        </w:rPr>
      </w:pPr>
      <w:r>
        <w:rPr>
          <w:rFonts w:hint="eastAsia" w:hAnsi="宋体" w:cs="宋体"/>
          <w:color w:val="000000"/>
        </w:rPr>
        <w:t>③尽量使用对讲机等现代通信设备，按规程操作机械设备，减少人为噪声；</w:t>
      </w:r>
    </w:p>
    <w:p w14:paraId="06392B37">
      <w:pPr>
        <w:spacing w:line="480" w:lineRule="exact"/>
        <w:ind w:firstLine="526" w:firstLineChars="200"/>
        <w:rPr>
          <w:rFonts w:hint="eastAsia" w:hAnsi="宋体" w:cs="宋体"/>
          <w:color w:val="000000"/>
        </w:rPr>
      </w:pPr>
      <w:r>
        <w:rPr>
          <w:rFonts w:hint="eastAsia" w:hAnsi="宋体" w:cs="宋体"/>
          <w:color w:val="000000"/>
        </w:rPr>
        <w:t>④机械噪声采用基础减振、距离衰减的降噪措施。</w:t>
      </w:r>
    </w:p>
    <w:p w14:paraId="18D494B9">
      <w:pPr>
        <w:spacing w:line="480" w:lineRule="exact"/>
        <w:ind w:firstLine="526" w:firstLineChars="200"/>
        <w:rPr>
          <w:rFonts w:hint="eastAsia" w:hAnsi="宋体" w:cs="宋体"/>
          <w:color w:val="000000"/>
        </w:rPr>
      </w:pPr>
      <w:r>
        <w:rPr>
          <w:rFonts w:hint="eastAsia" w:hAnsi="宋体" w:cs="宋体"/>
          <w:color w:val="000000"/>
        </w:rPr>
        <w:t>（2）采取噪声控制措施</w:t>
      </w:r>
    </w:p>
    <w:p w14:paraId="0B93943B">
      <w:pPr>
        <w:pStyle w:val="45"/>
        <w:widowControl w:val="0"/>
        <w:spacing w:beforeAutospacing="0" w:afterAutospacing="0" w:line="480" w:lineRule="exact"/>
        <w:ind w:firstLine="506" w:firstLineChars="200"/>
        <w:jc w:val="both"/>
        <w:rPr>
          <w:rFonts w:hint="eastAsia"/>
          <w:color w:val="000000"/>
          <w:kern w:val="2"/>
        </w:rPr>
      </w:pPr>
      <w:r>
        <w:rPr>
          <w:rFonts w:hint="eastAsia"/>
          <w:color w:val="000000"/>
        </w:rPr>
        <w:t>对施工设备做好减振基础，减少噪声传播，合理安排施工时间，倡导科学管理和文明施工；加强施工机械的保养维护，使其处于良好的运行状态。</w:t>
      </w:r>
    </w:p>
    <w:p w14:paraId="7150FF3D">
      <w:pPr>
        <w:pStyle w:val="34"/>
        <w:spacing w:line="480" w:lineRule="exact"/>
        <w:ind w:firstLine="526" w:firstLineChars="200"/>
        <w:rPr>
          <w:rFonts w:ascii="宋体" w:hAnsi="宋体"/>
          <w:b w:val="0"/>
          <w:color w:val="000000"/>
          <w:szCs w:val="24"/>
        </w:rPr>
      </w:pPr>
      <w:r>
        <w:rPr>
          <w:rFonts w:hAnsi="宋体" w:cs="宋体"/>
          <w:b w:val="0"/>
          <w:color w:val="000000"/>
          <w:szCs w:val="24"/>
        </w:rPr>
        <w:t>类比塔中Ⅰ号气田Ⅲ区现有管线施工采取的噪声防治措施，</w:t>
      </w:r>
      <w:r>
        <w:rPr>
          <w:rFonts w:hAnsi="宋体"/>
          <w:b w:val="0"/>
          <w:color w:val="000000"/>
          <w:szCs w:val="24"/>
        </w:rPr>
        <w:t>拟建工程</w:t>
      </w:r>
      <w:r>
        <w:rPr>
          <w:rFonts w:hAnsi="宋体" w:cs="宋体"/>
          <w:b w:val="0"/>
          <w:color w:val="000000"/>
          <w:szCs w:val="24"/>
        </w:rPr>
        <w:t>采取的噪声防治措施可行</w:t>
      </w:r>
      <w:r>
        <w:rPr>
          <w:rFonts w:ascii="宋体" w:hAnsi="宋体"/>
          <w:b w:val="0"/>
          <w:color w:val="000000"/>
          <w:szCs w:val="24"/>
        </w:rPr>
        <w:t>。</w:t>
      </w:r>
    </w:p>
    <w:p w14:paraId="656CC646">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6.6.2 运营期声环境保护措施</w:t>
      </w:r>
    </w:p>
    <w:p w14:paraId="6C8BD884">
      <w:pPr>
        <w:pStyle w:val="34"/>
        <w:spacing w:line="480" w:lineRule="exact"/>
        <w:ind w:firstLine="526" w:firstLineChars="200"/>
        <w:rPr>
          <w:rFonts w:ascii="宋体" w:hAnsi="宋体" w:cs="宋体"/>
          <w:b w:val="0"/>
          <w:bCs/>
          <w:color w:val="000000"/>
          <w:szCs w:val="24"/>
        </w:rPr>
      </w:pPr>
      <w:r>
        <w:rPr>
          <w:rFonts w:hAnsi="宋体" w:cs="宋体"/>
          <w:b w:val="0"/>
          <w:bCs/>
          <w:color w:val="000000"/>
          <w:szCs w:val="24"/>
        </w:rPr>
        <w:t>拟建工程运营期无噪声产生</w:t>
      </w:r>
      <w:r>
        <w:rPr>
          <w:rFonts w:ascii="宋体" w:hAnsi="宋体" w:cs="宋体"/>
          <w:b w:val="0"/>
          <w:bCs/>
          <w:color w:val="000000"/>
          <w:szCs w:val="24"/>
        </w:rPr>
        <w:t>。</w:t>
      </w:r>
    </w:p>
    <w:p w14:paraId="0DE1F71E">
      <w:pPr>
        <w:autoSpaceDE w:val="0"/>
        <w:autoSpaceDN w:val="0"/>
        <w:adjustRightInd w:val="0"/>
        <w:spacing w:line="480" w:lineRule="exact"/>
        <w:outlineLvl w:val="2"/>
        <w:rPr>
          <w:rFonts w:hint="eastAsia" w:hAnsi="宋体" w:cs="宋体"/>
          <w:color w:val="000000"/>
          <w:szCs w:val="24"/>
        </w:rPr>
      </w:pPr>
      <w:r>
        <w:rPr>
          <w:rFonts w:hint="eastAsia" w:hAnsi="宋体" w:cs="宋体"/>
          <w:bCs/>
          <w:color w:val="000000"/>
          <w:szCs w:val="24"/>
        </w:rPr>
        <w:t xml:space="preserve">6.6.3 </w:t>
      </w:r>
      <w:r>
        <w:rPr>
          <w:rFonts w:hint="eastAsia" w:hAnsi="宋体" w:cs="宋体"/>
          <w:color w:val="000000"/>
          <w:szCs w:val="24"/>
        </w:rPr>
        <w:t>退役期声环境保护措施</w:t>
      </w:r>
    </w:p>
    <w:p w14:paraId="189D3148">
      <w:pPr>
        <w:pStyle w:val="34"/>
        <w:spacing w:line="480" w:lineRule="exact"/>
        <w:ind w:firstLine="526" w:firstLineChars="200"/>
        <w:rPr>
          <w:rFonts w:ascii="宋体" w:hAnsi="宋体"/>
          <w:b w:val="0"/>
          <w:color w:val="000000"/>
          <w:szCs w:val="24"/>
        </w:rPr>
      </w:pPr>
      <w:r>
        <w:rPr>
          <w:rFonts w:ascii="宋体" w:hAnsi="宋体"/>
          <w:b w:val="0"/>
          <w:color w:val="000000"/>
          <w:szCs w:val="24"/>
        </w:rPr>
        <w:t>拟建工程退役期无噪声产生。</w:t>
      </w:r>
    </w:p>
    <w:p w14:paraId="78F46B3D">
      <w:pPr>
        <w:spacing w:line="480" w:lineRule="exact"/>
        <w:outlineLvl w:val="1"/>
        <w:rPr>
          <w:rFonts w:hint="eastAsia" w:ascii="黑体" w:hAnsi="黑体" w:eastAsia="黑体" w:cs="黑体"/>
          <w:color w:val="000000"/>
          <w:sz w:val="28"/>
          <w:szCs w:val="28"/>
          <w:lang w:bidi="ar"/>
        </w:rPr>
      </w:pPr>
      <w:bookmarkStart w:id="268" w:name="_Toc198040206"/>
      <w:bookmarkStart w:id="269" w:name="_Toc198040350"/>
      <w:bookmarkStart w:id="270" w:name="_Toc208474698"/>
      <w:bookmarkStart w:id="271" w:name="_Toc230178814"/>
      <w:r>
        <w:rPr>
          <w:rFonts w:hint="eastAsia" w:ascii="黑体" w:hAnsi="黑体" w:eastAsia="黑体" w:cs="黑体"/>
          <w:color w:val="000000"/>
          <w:sz w:val="28"/>
          <w:szCs w:val="28"/>
          <w:lang w:bidi="ar"/>
        </w:rPr>
        <w:t>6.7 固体废物处理措施可行性论证</w:t>
      </w:r>
      <w:bookmarkEnd w:id="268"/>
      <w:bookmarkEnd w:id="269"/>
      <w:bookmarkEnd w:id="270"/>
      <w:bookmarkEnd w:id="271"/>
    </w:p>
    <w:p w14:paraId="064D351F">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6.7.1 施工期固体废物污染防治措施</w:t>
      </w:r>
    </w:p>
    <w:p w14:paraId="479B181B">
      <w:pPr>
        <w:spacing w:line="480" w:lineRule="exact"/>
        <w:ind w:firstLine="526" w:firstLineChars="200"/>
        <w:rPr>
          <w:rFonts w:hint="eastAsia" w:hAnsi="宋体" w:cs="宋体"/>
          <w:color w:val="000000"/>
          <w:szCs w:val="24"/>
        </w:rPr>
      </w:pPr>
      <w:r>
        <w:rPr>
          <w:rFonts w:hint="eastAsia" w:hAnsi="宋体" w:cs="宋体"/>
          <w:color w:val="000000"/>
          <w:szCs w:val="24"/>
        </w:rPr>
        <w:t>①工程土方施工应对挖方单侧堆放，用于管沟回填作业，多余土方用于场地平整，严禁弃土产生；</w:t>
      </w:r>
    </w:p>
    <w:p w14:paraId="58073D95">
      <w:pPr>
        <w:spacing w:line="480" w:lineRule="exact"/>
        <w:ind w:firstLine="526" w:firstLineChars="200"/>
        <w:rPr>
          <w:rFonts w:hint="eastAsia" w:hAnsi="宋体" w:cs="宋体"/>
          <w:color w:val="000000"/>
          <w:szCs w:val="24"/>
        </w:rPr>
      </w:pPr>
      <w:r>
        <w:rPr>
          <w:rFonts w:hint="eastAsia" w:hAnsi="宋体" w:cs="宋体"/>
          <w:color w:val="000000"/>
          <w:szCs w:val="24"/>
        </w:rPr>
        <w:t>②施工单位应指派专人负责施工固体废物的收集及转运工作，不得随意丢弃；</w:t>
      </w:r>
    </w:p>
    <w:p w14:paraId="0E236742">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③提倡文明施工，严禁施工人员产生的生活垃圾随地乱扔，当天施工结束后随身带走，施工现场不遗留。</w:t>
      </w:r>
    </w:p>
    <w:p w14:paraId="4CEAA00A">
      <w:pPr>
        <w:pStyle w:val="45"/>
        <w:widowControl w:val="0"/>
        <w:spacing w:beforeAutospacing="0" w:afterAutospacing="0" w:line="480" w:lineRule="exact"/>
        <w:ind w:firstLine="506" w:firstLineChars="200"/>
        <w:jc w:val="both"/>
        <w:rPr>
          <w:color w:val="000000"/>
          <w:kern w:val="2"/>
        </w:rPr>
      </w:pPr>
      <w:r>
        <w:rPr>
          <w:rFonts w:hint="eastAsia"/>
          <w:color w:val="000000"/>
          <w:kern w:val="2"/>
        </w:rPr>
        <w:t>④现有管线清管废渣、废防渗膜桶装收集后送有资质的单位接收处置。</w:t>
      </w:r>
    </w:p>
    <w:p w14:paraId="1D6A16C2">
      <w:pPr>
        <w:spacing w:line="480" w:lineRule="exact"/>
        <w:ind w:firstLine="526" w:firstLineChars="200"/>
        <w:rPr>
          <w:rFonts w:hAnsi="宋体"/>
          <w:color w:val="000000"/>
          <w:szCs w:val="24"/>
        </w:rPr>
      </w:pPr>
      <w:r>
        <w:rPr>
          <w:rFonts w:hint="eastAsia" w:hAnsi="宋体" w:cs="宋体"/>
          <w:color w:val="000000"/>
          <w:szCs w:val="24"/>
        </w:rPr>
        <w:t>综上，拟建工程施工期产生的固体废物均得到综合利用或妥善处置。</w:t>
      </w:r>
      <w:r>
        <w:rPr>
          <w:rFonts w:hAnsi="宋体"/>
          <w:color w:val="000000"/>
          <w:szCs w:val="24"/>
        </w:rPr>
        <w:t>类比塔中Ⅰ号气田Ⅲ区同类项目采取的固体废物处理措施，拟建工程采取的固体废物处理可行。</w:t>
      </w:r>
    </w:p>
    <w:p w14:paraId="364FF1F3">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6.7.2 运营期固体废物污染防治措施</w:t>
      </w:r>
    </w:p>
    <w:p w14:paraId="5F08B6E3">
      <w:pPr>
        <w:pStyle w:val="34"/>
        <w:spacing w:line="480" w:lineRule="exact"/>
        <w:ind w:firstLine="526" w:firstLineChars="200"/>
        <w:rPr>
          <w:rFonts w:ascii="宋体" w:hAnsi="宋体" w:cs="宋体"/>
          <w:b w:val="0"/>
          <w:color w:val="000000"/>
          <w:szCs w:val="24"/>
        </w:rPr>
      </w:pPr>
      <w:r>
        <w:rPr>
          <w:rFonts w:hAnsi="宋体" w:cs="宋体"/>
          <w:b w:val="0"/>
          <w:bCs/>
          <w:color w:val="000000"/>
          <w:szCs w:val="24"/>
        </w:rPr>
        <w:t>拟建工程运营期无固废产生</w:t>
      </w:r>
      <w:r>
        <w:rPr>
          <w:rFonts w:ascii="宋体" w:hAnsi="宋体" w:cs="宋体"/>
          <w:b w:val="0"/>
          <w:color w:val="000000"/>
          <w:szCs w:val="24"/>
        </w:rPr>
        <w:t>。</w:t>
      </w:r>
    </w:p>
    <w:p w14:paraId="050A672C">
      <w:pPr>
        <w:autoSpaceDE w:val="0"/>
        <w:autoSpaceDN w:val="0"/>
        <w:adjustRightInd w:val="0"/>
        <w:spacing w:line="480" w:lineRule="exact"/>
        <w:outlineLvl w:val="2"/>
        <w:rPr>
          <w:rFonts w:hint="eastAsia" w:hAnsi="宋体" w:cs="宋体"/>
          <w:color w:val="000000"/>
          <w:szCs w:val="24"/>
        </w:rPr>
      </w:pPr>
      <w:r>
        <w:rPr>
          <w:rFonts w:hint="eastAsia" w:hAnsi="宋体" w:cs="宋体"/>
          <w:color w:val="000000"/>
          <w:szCs w:val="24"/>
        </w:rPr>
        <w:t>6.7.3 退役期固体废物污染防治措施</w:t>
      </w:r>
    </w:p>
    <w:p w14:paraId="36A0CF02">
      <w:pPr>
        <w:pStyle w:val="94"/>
        <w:kinsoku/>
        <w:wordWrap/>
        <w:overflowPunct/>
        <w:snapToGrid/>
        <w:spacing w:after="0" w:line="480" w:lineRule="exact"/>
        <w:ind w:firstLine="526" w:firstLineChars="200"/>
        <w:jc w:val="both"/>
        <w:rPr>
          <w:rFonts w:hint="eastAsia"/>
          <w:color w:val="000000"/>
          <w:szCs w:val="24"/>
        </w:rPr>
      </w:pPr>
      <w:r>
        <w:rPr>
          <w:rFonts w:hint="eastAsia" w:hAnsi="宋体"/>
          <w:color w:val="000000"/>
          <w:szCs w:val="24"/>
        </w:rPr>
        <w:t>拟建项目退役期固体废物主要为废弃管线，</w:t>
      </w:r>
      <w:r>
        <w:rPr>
          <w:rFonts w:hint="eastAsia" w:hAnsi="宋体" w:cs="宋体"/>
          <w:color w:val="000000"/>
          <w:szCs w:val="24"/>
        </w:rPr>
        <w:t>废弃埋地管线维持现状，避免因开挖管线对区域生态环境造成二次破坏，管线内物质应清空干净，并按要求进行清洗，确保管线内无残留采出液，管线两端使用盲板封堵；</w:t>
      </w:r>
      <w:r>
        <w:rPr>
          <w:rFonts w:hint="eastAsia" w:hAnsi="宋体" w:cs="宋体"/>
          <w:color w:val="000000"/>
        </w:rPr>
        <w:t>地上管线清洗干净后进行分段拆卸，拆卸后的管线拉运至库房存放，以备后续使用</w:t>
      </w:r>
      <w:r>
        <w:rPr>
          <w:rFonts w:hint="eastAsia" w:hAnsi="宋体" w:cs="宋体"/>
          <w:color w:val="000000"/>
          <w:kern w:val="2"/>
          <w:szCs w:val="24"/>
        </w:rPr>
        <w:t>。</w:t>
      </w:r>
    </w:p>
    <w:p w14:paraId="0D977DC0">
      <w:pPr>
        <w:autoSpaceDE w:val="0"/>
        <w:autoSpaceDN w:val="0"/>
        <w:adjustRightInd w:val="0"/>
        <w:spacing w:line="480" w:lineRule="exact"/>
        <w:ind w:firstLine="526" w:firstLineChars="200"/>
        <w:rPr>
          <w:rFonts w:hint="eastAsia" w:hAnsi="宋体" w:cs="黑体"/>
          <w:color w:val="000000"/>
          <w:szCs w:val="24"/>
        </w:rPr>
      </w:pPr>
      <w:r>
        <w:rPr>
          <w:rFonts w:hint="eastAsia" w:hAnsi="宋体" w:cs="宋体"/>
          <w:color w:val="000000"/>
          <w:kern w:val="21"/>
          <w:szCs w:val="24"/>
        </w:rPr>
        <w:t>类比塔中Ⅰ号气田Ⅲ区现有退役井采取的固体废物处置措施，拟建工程</w:t>
      </w:r>
      <w:r>
        <w:rPr>
          <w:rFonts w:hint="eastAsia" w:hAnsi="宋体" w:cs="宋体"/>
          <w:color w:val="000000"/>
          <w:szCs w:val="24"/>
        </w:rPr>
        <w:t>退役期</w:t>
      </w:r>
      <w:r>
        <w:rPr>
          <w:rFonts w:hint="eastAsia" w:hAnsi="宋体" w:cs="宋体"/>
          <w:color w:val="000000"/>
          <w:kern w:val="21"/>
          <w:szCs w:val="24"/>
        </w:rPr>
        <w:t>采取的</w:t>
      </w:r>
      <w:r>
        <w:rPr>
          <w:rFonts w:hint="eastAsia" w:hAnsi="宋体" w:cs="宋体"/>
          <w:color w:val="000000"/>
          <w:szCs w:val="24"/>
        </w:rPr>
        <w:t>固体废物处置措施</w:t>
      </w:r>
      <w:r>
        <w:rPr>
          <w:rFonts w:hint="eastAsia" w:hAnsi="宋体" w:cs="宋体"/>
          <w:color w:val="000000"/>
          <w:kern w:val="21"/>
          <w:szCs w:val="24"/>
        </w:rPr>
        <w:t>可行</w:t>
      </w:r>
      <w:r>
        <w:rPr>
          <w:rFonts w:hint="eastAsia" w:hAnsi="宋体"/>
          <w:color w:val="000000"/>
          <w:szCs w:val="24"/>
        </w:rPr>
        <w:t>。</w:t>
      </w:r>
    </w:p>
    <w:p w14:paraId="79B792BE">
      <w:pPr>
        <w:spacing w:line="480" w:lineRule="exact"/>
        <w:rPr>
          <w:rFonts w:hAnsi="宋体"/>
          <w:color w:val="000000"/>
          <w:szCs w:val="24"/>
        </w:rPr>
      </w:pPr>
      <w:r>
        <w:rPr>
          <w:rFonts w:hint="eastAsia" w:hAnsi="宋体"/>
          <w:color w:val="000000"/>
          <w:szCs w:val="24"/>
        </w:rPr>
        <w:br w:type="page"/>
      </w:r>
    </w:p>
    <w:p w14:paraId="79CA640C">
      <w:pPr>
        <w:tabs>
          <w:tab w:val="left" w:pos="2718"/>
        </w:tabs>
        <w:spacing w:line="480" w:lineRule="exact"/>
        <w:outlineLvl w:val="0"/>
        <w:rPr>
          <w:rFonts w:ascii="黑体" w:hAnsi="黑体" w:eastAsia="黑体"/>
          <w:color w:val="000000"/>
          <w:sz w:val="32"/>
          <w:szCs w:val="32"/>
        </w:rPr>
      </w:pPr>
      <w:bookmarkStart w:id="272" w:name="_Toc9480"/>
      <w:bookmarkStart w:id="273" w:name="_Toc198040211"/>
      <w:bookmarkStart w:id="274" w:name="_Toc208474703"/>
      <w:bookmarkStart w:id="275" w:name="_Toc230178815"/>
      <w:bookmarkStart w:id="276" w:name="_Toc198040355"/>
      <w:r>
        <w:rPr>
          <w:rFonts w:hint="eastAsia" w:ascii="黑体" w:hAnsi="黑体" w:eastAsia="黑体"/>
          <w:color w:val="000000"/>
          <w:sz w:val="32"/>
          <w:szCs w:val="32"/>
        </w:rPr>
        <w:t>7 环境影响经济损益分析</w:t>
      </w:r>
      <w:bookmarkEnd w:id="272"/>
      <w:bookmarkEnd w:id="273"/>
      <w:bookmarkEnd w:id="274"/>
      <w:bookmarkEnd w:id="275"/>
      <w:bookmarkEnd w:id="276"/>
    </w:p>
    <w:p w14:paraId="46A4FFC8">
      <w:pPr>
        <w:adjustRightInd w:val="0"/>
        <w:spacing w:line="480" w:lineRule="exact"/>
        <w:ind w:firstLine="526" w:firstLineChars="200"/>
        <w:textAlignment w:val="baseline"/>
        <w:rPr>
          <w:rFonts w:hAnsi="宋体"/>
          <w:color w:val="000000"/>
          <w:szCs w:val="24"/>
        </w:rPr>
      </w:pPr>
      <w:r>
        <w:rPr>
          <w:rFonts w:hAnsi="宋体"/>
          <w:color w:val="000000"/>
          <w:szCs w:val="24"/>
        </w:rPr>
        <w:t>项目的开发建设</w:t>
      </w:r>
      <w:r>
        <w:rPr>
          <w:rFonts w:hint="eastAsia" w:hAnsi="宋体"/>
          <w:color w:val="000000"/>
          <w:szCs w:val="24"/>
        </w:rPr>
        <w:t>，</w:t>
      </w:r>
      <w:r>
        <w:rPr>
          <w:rFonts w:hAnsi="宋体"/>
          <w:color w:val="000000"/>
          <w:szCs w:val="24"/>
        </w:rPr>
        <w:t>除对国民经济的发展起着促进作用外</w:t>
      </w:r>
      <w:r>
        <w:rPr>
          <w:rFonts w:hint="eastAsia" w:hAnsi="宋体"/>
          <w:color w:val="000000"/>
          <w:szCs w:val="24"/>
        </w:rPr>
        <w:t>，</w:t>
      </w:r>
      <w:r>
        <w:rPr>
          <w:rFonts w:hAnsi="宋体"/>
          <w:color w:val="000000"/>
          <w:szCs w:val="24"/>
        </w:rPr>
        <w:t>同时也在一定程度上影响着项目地区环境的变化。进行环境影响经济损益分析的目的在于分析建设项目的社会、经济和环境损益</w:t>
      </w:r>
      <w:r>
        <w:rPr>
          <w:rFonts w:hint="eastAsia" w:hAnsi="宋体"/>
          <w:color w:val="000000"/>
          <w:szCs w:val="24"/>
        </w:rPr>
        <w:t>，</w:t>
      </w:r>
      <w:r>
        <w:rPr>
          <w:rFonts w:hAnsi="宋体"/>
          <w:color w:val="000000"/>
          <w:szCs w:val="24"/>
        </w:rPr>
        <w:t>评价建设项目环境保护投资的合理性以及环境保护投资的效益</w:t>
      </w:r>
      <w:r>
        <w:rPr>
          <w:rFonts w:hint="eastAsia" w:hAnsi="宋体"/>
          <w:color w:val="000000"/>
          <w:szCs w:val="24"/>
        </w:rPr>
        <w:t>，</w:t>
      </w:r>
      <w:r>
        <w:rPr>
          <w:rFonts w:hAnsi="宋体"/>
          <w:color w:val="000000"/>
          <w:szCs w:val="24"/>
        </w:rPr>
        <w:t>促进项目建设的社会、经济和环境效益的协调统一和可持续发展。</w:t>
      </w:r>
    </w:p>
    <w:p w14:paraId="5448377C">
      <w:pPr>
        <w:spacing w:line="480" w:lineRule="exact"/>
        <w:outlineLvl w:val="1"/>
        <w:rPr>
          <w:rFonts w:ascii="黑体" w:hAnsi="黑体" w:eastAsia="黑体" w:cs="黑体"/>
          <w:color w:val="000000"/>
          <w:sz w:val="28"/>
          <w:szCs w:val="28"/>
          <w:lang w:bidi="ar"/>
        </w:rPr>
      </w:pPr>
      <w:bookmarkStart w:id="277" w:name="_Toc208474704"/>
      <w:bookmarkStart w:id="278" w:name="_Toc198040212"/>
      <w:bookmarkStart w:id="279" w:name="_Toc198040356"/>
      <w:bookmarkStart w:id="280" w:name="_Toc230178816"/>
      <w:r>
        <w:rPr>
          <w:rFonts w:hint="eastAsia" w:ascii="黑体" w:hAnsi="黑体" w:eastAsia="黑体" w:cs="黑体"/>
          <w:color w:val="000000"/>
          <w:sz w:val="28"/>
          <w:szCs w:val="28"/>
          <w:lang w:bidi="ar"/>
        </w:rPr>
        <w:t>7.1 环境效益分析</w:t>
      </w:r>
      <w:bookmarkEnd w:id="277"/>
      <w:bookmarkEnd w:id="278"/>
      <w:bookmarkEnd w:id="279"/>
      <w:bookmarkEnd w:id="280"/>
    </w:p>
    <w:p w14:paraId="09FC257D">
      <w:pPr>
        <w:adjustRightInd w:val="0"/>
        <w:spacing w:line="480" w:lineRule="exact"/>
        <w:ind w:firstLine="526" w:firstLineChars="200"/>
        <w:rPr>
          <w:rFonts w:hAnsi="宋体" w:cs="宋体"/>
          <w:color w:val="000000"/>
          <w:szCs w:val="24"/>
        </w:rPr>
      </w:pPr>
      <w:r>
        <w:rPr>
          <w:rFonts w:hint="eastAsia" w:hAnsi="宋体"/>
          <w:color w:val="000000"/>
          <w:szCs w:val="24"/>
        </w:rPr>
        <w:t>拟建</w:t>
      </w:r>
      <w:r>
        <w:rPr>
          <w:rFonts w:hint="eastAsia" w:hAnsi="宋体" w:cs="宋体"/>
          <w:color w:val="000000"/>
          <w:szCs w:val="24"/>
        </w:rPr>
        <w:t>工程在设计中充分考虑了环境保护的要求，严格执行各项环境保护标准。同时还针对在生产运行过程中产生的“三废”，从实际出发采取多种相应的治理措施。由此看来，</w:t>
      </w:r>
      <w:r>
        <w:rPr>
          <w:rFonts w:hint="eastAsia" w:hAnsi="宋体"/>
          <w:color w:val="000000"/>
          <w:szCs w:val="24"/>
        </w:rPr>
        <w:t>拟建</w:t>
      </w:r>
      <w:r>
        <w:rPr>
          <w:rFonts w:hint="eastAsia" w:hAnsi="宋体" w:cs="宋体"/>
          <w:color w:val="000000"/>
          <w:szCs w:val="24"/>
        </w:rPr>
        <w:t>工程采取的环保措施保护了环境，但未产生明显的经济效益。</w:t>
      </w:r>
    </w:p>
    <w:p w14:paraId="54749699">
      <w:pPr>
        <w:spacing w:line="480" w:lineRule="exact"/>
        <w:outlineLvl w:val="2"/>
        <w:rPr>
          <w:rFonts w:hAnsi="宋体"/>
          <w:color w:val="000000"/>
          <w:szCs w:val="24"/>
        </w:rPr>
      </w:pPr>
      <w:r>
        <w:rPr>
          <w:rFonts w:hint="eastAsia" w:hAnsi="宋体"/>
          <w:color w:val="000000"/>
          <w:szCs w:val="24"/>
        </w:rPr>
        <w:t>7.1.1 环保措施的环境效益</w:t>
      </w:r>
    </w:p>
    <w:p w14:paraId="7982828E">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（1）废气</w:t>
      </w:r>
    </w:p>
    <w:p w14:paraId="6AF192CB">
      <w:pPr>
        <w:adjustRightInd w:val="0"/>
        <w:spacing w:line="480" w:lineRule="exact"/>
        <w:ind w:firstLine="526" w:firstLineChars="200"/>
        <w:rPr>
          <w:rFonts w:hAnsi="宋体" w:cs="宋体"/>
          <w:color w:val="000000"/>
          <w:szCs w:val="24"/>
        </w:rPr>
      </w:pPr>
      <w:r>
        <w:rPr>
          <w:rFonts w:hint="eastAsia" w:hAnsi="宋体"/>
          <w:color w:val="000000"/>
          <w:szCs w:val="24"/>
        </w:rPr>
        <w:t>拟建工程</w:t>
      </w:r>
      <w:r>
        <w:rPr>
          <w:rFonts w:hint="eastAsia" w:hAnsi="宋体" w:cs="宋体"/>
          <w:color w:val="000000"/>
        </w:rPr>
        <w:t>运营期无废气产生</w:t>
      </w:r>
      <w:r>
        <w:rPr>
          <w:rFonts w:hint="eastAsia" w:hAnsi="宋体" w:cs="宋体"/>
          <w:color w:val="000000"/>
          <w:szCs w:val="24"/>
        </w:rPr>
        <w:t>。</w:t>
      </w:r>
    </w:p>
    <w:p w14:paraId="1CDAF10B">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（2）废水</w:t>
      </w:r>
    </w:p>
    <w:p w14:paraId="73FD3D0A">
      <w:pPr>
        <w:adjustRightInd w:val="0"/>
        <w:spacing w:line="480" w:lineRule="exact"/>
        <w:ind w:firstLine="526" w:firstLineChars="200"/>
        <w:rPr>
          <w:rFonts w:hint="eastAsia" w:hAnsi="宋体" w:cs="宋体"/>
          <w:color w:val="000000"/>
          <w:szCs w:val="24"/>
        </w:rPr>
      </w:pPr>
      <w:r>
        <w:rPr>
          <w:rFonts w:hint="eastAsia" w:hAnsi="宋体"/>
          <w:color w:val="000000"/>
          <w:szCs w:val="24"/>
        </w:rPr>
        <w:t>拟建</w:t>
      </w:r>
      <w:r>
        <w:rPr>
          <w:rFonts w:hint="eastAsia" w:hAnsi="宋体" w:cs="宋体"/>
          <w:color w:val="000000"/>
          <w:szCs w:val="24"/>
        </w:rPr>
        <w:t>工程</w:t>
      </w:r>
      <w:r>
        <w:rPr>
          <w:rFonts w:hint="eastAsia" w:hAnsi="宋体" w:cs="宋体"/>
          <w:color w:val="000000"/>
        </w:rPr>
        <w:t>运营期无废水产生</w:t>
      </w:r>
      <w:r>
        <w:rPr>
          <w:rFonts w:hint="eastAsia" w:hAnsi="宋体" w:cs="宋体"/>
          <w:color w:val="000000"/>
          <w:szCs w:val="24"/>
        </w:rPr>
        <w:t>。</w:t>
      </w:r>
    </w:p>
    <w:p w14:paraId="471B7EFD">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（3）固体废弃物</w:t>
      </w:r>
    </w:p>
    <w:p w14:paraId="0633DC47">
      <w:pPr>
        <w:adjustRightInd w:val="0"/>
        <w:spacing w:line="480" w:lineRule="exact"/>
        <w:ind w:firstLine="526" w:firstLineChars="200"/>
        <w:rPr>
          <w:rFonts w:hint="eastAsia" w:hAnsi="宋体" w:cs="宋体"/>
          <w:color w:val="000000"/>
          <w:szCs w:val="24"/>
        </w:rPr>
      </w:pPr>
      <w:r>
        <w:rPr>
          <w:rFonts w:hint="eastAsia" w:hAnsi="宋体"/>
          <w:color w:val="000000"/>
          <w:szCs w:val="24"/>
        </w:rPr>
        <w:t>拟建</w:t>
      </w:r>
      <w:r>
        <w:rPr>
          <w:rFonts w:hint="eastAsia" w:hAnsi="宋体" w:cs="宋体"/>
          <w:color w:val="000000"/>
          <w:szCs w:val="24"/>
        </w:rPr>
        <w:t>工程</w:t>
      </w:r>
      <w:r>
        <w:rPr>
          <w:rFonts w:hint="eastAsia" w:hAnsi="宋体"/>
          <w:color w:val="000000"/>
          <w:szCs w:val="24"/>
        </w:rPr>
        <w:t>运营期</w:t>
      </w:r>
      <w:r>
        <w:rPr>
          <w:rFonts w:hint="eastAsia" w:hAnsi="宋体" w:cs="宋体"/>
          <w:color w:val="000000"/>
        </w:rPr>
        <w:t>无固废产生</w:t>
      </w:r>
      <w:r>
        <w:rPr>
          <w:rFonts w:hint="eastAsia" w:hAnsi="宋体"/>
          <w:color w:val="000000"/>
          <w:szCs w:val="24"/>
        </w:rPr>
        <w:t>。</w:t>
      </w:r>
    </w:p>
    <w:p w14:paraId="5ABF16FF">
      <w:pPr>
        <w:adjustRightInd w:val="0"/>
        <w:spacing w:line="490" w:lineRule="exact"/>
        <w:ind w:firstLine="526" w:firstLineChars="200"/>
        <w:rPr>
          <w:rFonts w:hint="eastAsia" w:hAnsi="宋体" w:cs="宋体"/>
          <w:color w:val="000000"/>
          <w:szCs w:val="24"/>
        </w:rPr>
      </w:pPr>
      <w:r>
        <w:rPr>
          <w:rFonts w:hint="eastAsia" w:hAnsi="宋体" w:cs="宋体"/>
          <w:color w:val="000000"/>
          <w:szCs w:val="24"/>
        </w:rPr>
        <w:t>（4）噪声</w:t>
      </w:r>
    </w:p>
    <w:p w14:paraId="1F07A2A2">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拟建工程</w:t>
      </w:r>
      <w:r>
        <w:rPr>
          <w:rFonts w:hint="eastAsia" w:hAnsi="宋体" w:cs="宋体"/>
          <w:color w:val="000000"/>
        </w:rPr>
        <w:t>运营期无噪声产生</w:t>
      </w:r>
      <w:r>
        <w:rPr>
          <w:rFonts w:hint="eastAsia" w:hAnsi="宋体" w:cs="宋体"/>
          <w:color w:val="000000"/>
          <w:szCs w:val="24"/>
        </w:rPr>
        <w:t>。</w:t>
      </w:r>
    </w:p>
    <w:p w14:paraId="0A091C25">
      <w:pPr>
        <w:adjustRightInd w:val="0"/>
        <w:spacing w:line="480" w:lineRule="exact"/>
        <w:ind w:firstLine="526" w:firstLineChars="200"/>
        <w:rPr>
          <w:rFonts w:hint="eastAsia" w:hAnsi="宋体" w:cs="宋体"/>
          <w:color w:val="000000"/>
          <w:szCs w:val="24"/>
        </w:rPr>
      </w:pPr>
      <w:r>
        <w:rPr>
          <w:rFonts w:hint="eastAsia" w:hAnsi="宋体" w:cs="宋体"/>
          <w:color w:val="000000"/>
          <w:szCs w:val="24"/>
        </w:rPr>
        <w:t>（5）生态保护措施</w:t>
      </w:r>
    </w:p>
    <w:p w14:paraId="2233BBC9">
      <w:pPr>
        <w:adjustRightInd w:val="0"/>
        <w:spacing w:line="480" w:lineRule="exact"/>
        <w:ind w:firstLine="522" w:firstLineChars="200"/>
        <w:rPr>
          <w:rFonts w:hint="eastAsia" w:hAnsi="宋体" w:cs="宋体"/>
          <w:color w:val="000000"/>
          <w:szCs w:val="24"/>
        </w:rPr>
      </w:pPr>
      <w:r>
        <w:rPr>
          <w:rFonts w:hint="eastAsia" w:hAnsi="宋体" w:cs="宋体"/>
          <w:color w:val="000000"/>
          <w:spacing w:val="4"/>
          <w:szCs w:val="24"/>
        </w:rPr>
        <w:t>在施工期间，采取严格控制地表扰动范围，</w:t>
      </w:r>
      <w:r>
        <w:rPr>
          <w:rFonts w:hint="eastAsia" w:hAnsi="宋体" w:cs="宋体"/>
          <w:color w:val="000000"/>
          <w:szCs w:val="24"/>
        </w:rPr>
        <w:t>严格控制施工作业带，</w:t>
      </w:r>
      <w:r>
        <w:rPr>
          <w:rFonts w:hint="eastAsia" w:hAnsi="宋体" w:cs="宋体"/>
          <w:color w:val="000000"/>
          <w:szCs w:val="24"/>
          <w:lang w:val="en-GB"/>
        </w:rPr>
        <w:t>采用拉设彩条方式限定运输车辆行驶范围</w:t>
      </w:r>
      <w:r>
        <w:rPr>
          <w:rFonts w:hint="eastAsia"/>
          <w:color w:val="000000"/>
          <w:szCs w:val="24"/>
        </w:rPr>
        <w:t>，减少水土流失</w:t>
      </w:r>
      <w:r>
        <w:rPr>
          <w:rFonts w:hint="eastAsia" w:hAnsi="宋体" w:cs="宋体"/>
          <w:color w:val="000000"/>
          <w:szCs w:val="24"/>
        </w:rPr>
        <w:t>。</w:t>
      </w:r>
    </w:p>
    <w:p w14:paraId="20E114FE">
      <w:pPr>
        <w:adjustRightInd w:val="0"/>
        <w:spacing w:line="480" w:lineRule="exact"/>
        <w:ind w:firstLine="526" w:firstLineChars="200"/>
        <w:rPr>
          <w:rFonts w:hAnsi="宋体" w:cs="宋体"/>
          <w:color w:val="000000"/>
          <w:szCs w:val="24"/>
        </w:rPr>
      </w:pPr>
      <w:r>
        <w:rPr>
          <w:rFonts w:hint="eastAsia" w:hAnsi="宋体"/>
          <w:color w:val="000000"/>
          <w:szCs w:val="24"/>
        </w:rPr>
        <w:t>拟建</w:t>
      </w:r>
      <w:r>
        <w:rPr>
          <w:rFonts w:hint="eastAsia" w:hAnsi="宋体" w:cs="宋体"/>
          <w:color w:val="000000"/>
          <w:szCs w:val="24"/>
        </w:rPr>
        <w:t>工程各项环保措施通过充分有效地实施，可以使污染物的排放在生产过程中得到有效地控制。</w:t>
      </w:r>
      <w:r>
        <w:rPr>
          <w:rFonts w:hint="eastAsia" w:hAnsi="宋体"/>
          <w:color w:val="000000"/>
          <w:szCs w:val="24"/>
        </w:rPr>
        <w:t>拟建</w:t>
      </w:r>
      <w:r>
        <w:rPr>
          <w:rFonts w:hint="eastAsia" w:hAnsi="宋体" w:cs="宋体"/>
          <w:color w:val="000000"/>
          <w:szCs w:val="24"/>
        </w:rPr>
        <w:t>工程选用先进、成熟、可靠、具有节能和环保效果的技术，使各种污染物在排放前得以尽可能大地削减。在生产过程中充分、有效地利用了资源，减少各种资源的损失，大大减低其对周围环境的影响。</w:t>
      </w:r>
    </w:p>
    <w:p w14:paraId="6F92C85E">
      <w:pPr>
        <w:spacing w:line="480" w:lineRule="exact"/>
        <w:outlineLvl w:val="2"/>
        <w:rPr>
          <w:rFonts w:hAnsi="宋体" w:cs="宋体"/>
          <w:color w:val="000000"/>
          <w:szCs w:val="24"/>
        </w:rPr>
      </w:pPr>
      <w:r>
        <w:rPr>
          <w:rFonts w:hint="eastAsia" w:hAnsi="宋体"/>
          <w:color w:val="000000"/>
          <w:szCs w:val="24"/>
        </w:rPr>
        <w:t>7.1.2 环境损失分析</w:t>
      </w:r>
    </w:p>
    <w:p w14:paraId="3832C75E">
      <w:pPr>
        <w:adjustRightInd w:val="0"/>
        <w:spacing w:line="480" w:lineRule="exact"/>
        <w:ind w:firstLine="526" w:firstLineChars="200"/>
        <w:rPr>
          <w:rFonts w:hint="eastAsia" w:hAnsi="宋体" w:cs="宋体"/>
          <w:color w:val="000000"/>
          <w:szCs w:val="24"/>
        </w:rPr>
      </w:pPr>
      <w:r>
        <w:rPr>
          <w:rFonts w:hint="eastAsia" w:hAnsi="宋体"/>
          <w:color w:val="000000"/>
          <w:szCs w:val="24"/>
        </w:rPr>
        <w:t>拟建</w:t>
      </w:r>
      <w:r>
        <w:rPr>
          <w:rFonts w:hint="eastAsia" w:hAnsi="宋体" w:cs="宋体"/>
          <w:color w:val="000000"/>
          <w:szCs w:val="24"/>
        </w:rPr>
        <w:t>工程在建设过程中，由于敷设管道等都需要占用一定量的土地，并因此带来一定的环境损失。环境损失包括直接损失和间接损失，直接损失指由于项目建设对土壤及其生境破坏所造成的环境经济损失，即土地资源破坏的经济损失。间接损失指由土地资源损失而引起的生态问题，如生物多样性及地表植物初级生产力下降等造成的环境经济损失。</w:t>
      </w:r>
    </w:p>
    <w:p w14:paraId="499B2F72">
      <w:pPr>
        <w:spacing w:line="480" w:lineRule="exact"/>
        <w:ind w:firstLine="526" w:firstLineChars="200"/>
        <w:rPr>
          <w:rFonts w:hint="eastAsia"/>
          <w:color w:val="000000"/>
          <w:szCs w:val="24"/>
        </w:rPr>
      </w:pPr>
      <w:r>
        <w:rPr>
          <w:rFonts w:hint="eastAsia"/>
          <w:color w:val="000000"/>
          <w:szCs w:val="24"/>
        </w:rPr>
        <w:t xml:space="preserve">施工期结束后，临时占地将被恢复，临时占地对土地资源和生态环境的破坏程度较小，时间较短。 </w:t>
      </w:r>
    </w:p>
    <w:p w14:paraId="256E834A">
      <w:pPr>
        <w:spacing w:line="480" w:lineRule="exact"/>
        <w:ind w:firstLine="526" w:firstLineChars="200"/>
        <w:rPr>
          <w:rFonts w:hint="eastAsia"/>
          <w:color w:val="000000"/>
          <w:szCs w:val="24"/>
        </w:rPr>
      </w:pPr>
      <w:r>
        <w:rPr>
          <w:rFonts w:hint="eastAsia"/>
          <w:color w:val="000000"/>
          <w:szCs w:val="24"/>
        </w:rPr>
        <w:t>根据生态影响评价分析，项目占地类型均为</w:t>
      </w:r>
      <w:r>
        <w:rPr>
          <w:rFonts w:hint="eastAsia" w:hAnsi="宋体" w:cs="宋体"/>
          <w:color w:val="000000"/>
          <w:szCs w:val="24"/>
        </w:rPr>
        <w:t>沙地</w:t>
      </w:r>
      <w:r>
        <w:rPr>
          <w:rFonts w:hint="eastAsia"/>
          <w:color w:val="000000"/>
          <w:szCs w:val="24"/>
        </w:rPr>
        <w:t xml:space="preserve">。拟建工程在开发建设过程中，不可避免地会产生一些污染物，这些污染物都会对油田周围的环境造成一定的影响，如果处理不当或者管理措施不到位，就可能会危害油田开发区域内的环境。 </w:t>
      </w:r>
    </w:p>
    <w:p w14:paraId="471F0007">
      <w:pPr>
        <w:spacing w:line="480" w:lineRule="exact"/>
        <w:ind w:firstLine="526" w:firstLineChars="200"/>
        <w:rPr>
          <w:rFonts w:hAnsi="宋体"/>
          <w:color w:val="000000"/>
          <w:szCs w:val="24"/>
        </w:rPr>
      </w:pPr>
      <w:r>
        <w:rPr>
          <w:rFonts w:hint="eastAsia"/>
          <w:color w:val="000000"/>
          <w:szCs w:val="24"/>
        </w:rPr>
        <w:t>项目的开发建设中对土地的占用产生一定程度的生态负效应。在数年内附之以有效的防护措施和生态修复措施，这种影响将会被局限在较小的范围内，不会呈现放大的效应</w:t>
      </w:r>
      <w:r>
        <w:rPr>
          <w:rFonts w:hint="eastAsia" w:hAnsi="宋体"/>
          <w:color w:val="000000"/>
          <w:szCs w:val="24"/>
        </w:rPr>
        <w:t xml:space="preserve">。 </w:t>
      </w:r>
    </w:p>
    <w:p w14:paraId="2A776AFC">
      <w:pPr>
        <w:spacing w:line="480" w:lineRule="exact"/>
        <w:outlineLvl w:val="2"/>
        <w:rPr>
          <w:rFonts w:hAnsi="宋体"/>
          <w:color w:val="000000"/>
          <w:szCs w:val="24"/>
        </w:rPr>
      </w:pPr>
      <w:r>
        <w:rPr>
          <w:rFonts w:hint="eastAsia" w:hAnsi="宋体"/>
          <w:color w:val="000000"/>
          <w:szCs w:val="24"/>
        </w:rPr>
        <w:t>8.1.3 环保措施的经济效益</w:t>
      </w:r>
    </w:p>
    <w:p w14:paraId="05016BA2">
      <w:pPr>
        <w:adjustRightInd w:val="0"/>
        <w:spacing w:line="480" w:lineRule="exact"/>
        <w:ind w:firstLine="526" w:firstLineChars="200"/>
        <w:rPr>
          <w:rFonts w:hAnsi="宋体" w:cs="宋体"/>
          <w:color w:val="000000"/>
          <w:szCs w:val="24"/>
        </w:rPr>
      </w:pPr>
      <w:r>
        <w:rPr>
          <w:rFonts w:hint="eastAsia" w:hAnsi="宋体"/>
          <w:color w:val="000000"/>
          <w:szCs w:val="24"/>
        </w:rPr>
        <w:t>拟建</w:t>
      </w:r>
      <w:r>
        <w:rPr>
          <w:rFonts w:hint="eastAsia" w:hAnsi="宋体" w:cs="宋体"/>
          <w:color w:val="000000"/>
          <w:szCs w:val="24"/>
        </w:rPr>
        <w:t>工程通过采用多种环保措施，具有重要的环境效益，但整体对经济效益影响较小。</w:t>
      </w:r>
    </w:p>
    <w:p w14:paraId="4BE64F71">
      <w:pPr>
        <w:spacing w:line="480" w:lineRule="exact"/>
        <w:outlineLvl w:val="1"/>
        <w:rPr>
          <w:rFonts w:ascii="黑体" w:hAnsi="黑体" w:eastAsia="黑体" w:cs="黑体"/>
          <w:color w:val="000000"/>
          <w:sz w:val="28"/>
          <w:szCs w:val="28"/>
          <w:lang w:bidi="ar"/>
        </w:rPr>
      </w:pPr>
      <w:bookmarkStart w:id="281" w:name="_Toc230178817"/>
      <w:bookmarkStart w:id="282" w:name="_Toc198040357"/>
      <w:bookmarkStart w:id="283" w:name="_Toc198040213"/>
      <w:bookmarkStart w:id="284" w:name="_Toc208474705"/>
      <w:bookmarkStart w:id="285" w:name="_Toc32028"/>
      <w:bookmarkStart w:id="286" w:name="_Toc67990134"/>
      <w:r>
        <w:rPr>
          <w:rFonts w:hint="eastAsia" w:ascii="黑体" w:hAnsi="黑体" w:eastAsia="黑体" w:cs="黑体"/>
          <w:color w:val="000000"/>
          <w:sz w:val="28"/>
          <w:szCs w:val="28"/>
          <w:lang w:bidi="ar"/>
        </w:rPr>
        <w:t>7.2 社会效益分析</w:t>
      </w:r>
      <w:bookmarkEnd w:id="281"/>
      <w:bookmarkEnd w:id="282"/>
      <w:bookmarkEnd w:id="283"/>
      <w:bookmarkEnd w:id="284"/>
      <w:bookmarkEnd w:id="285"/>
      <w:bookmarkEnd w:id="286"/>
    </w:p>
    <w:p w14:paraId="6C174923">
      <w:pPr>
        <w:adjustRightInd w:val="0"/>
        <w:spacing w:line="480" w:lineRule="exact"/>
        <w:ind w:firstLine="526" w:firstLineChars="200"/>
        <w:rPr>
          <w:rFonts w:hAnsi="宋体"/>
          <w:color w:val="000000"/>
          <w:szCs w:val="24"/>
        </w:rPr>
      </w:pPr>
      <w:r>
        <w:rPr>
          <w:rFonts w:hint="eastAsia" w:hAnsi="宋体"/>
          <w:color w:val="000000"/>
          <w:szCs w:val="24"/>
        </w:rPr>
        <w:t>拟建工程的实施可以支持国家的经济建设，缓解当前油气供应紧张、与时俱进的形势，同时，</w:t>
      </w:r>
      <w:r>
        <w:rPr>
          <w:rFonts w:hint="eastAsia" w:hAnsi="宋体" w:cs="宋体"/>
          <w:color w:val="000000"/>
          <w:szCs w:val="24"/>
        </w:rPr>
        <w:t>油气田</w:t>
      </w:r>
      <w:r>
        <w:rPr>
          <w:rFonts w:hAnsi="宋体"/>
          <w:color w:val="000000"/>
          <w:szCs w:val="24"/>
        </w:rPr>
        <w:t>开发对当地工业和经济的发展具有明显的促进作用</w:t>
      </w:r>
      <w:r>
        <w:rPr>
          <w:rFonts w:hint="eastAsia" w:hAnsi="宋体"/>
          <w:color w:val="000000"/>
          <w:szCs w:val="24"/>
        </w:rPr>
        <w:t>，</w:t>
      </w:r>
      <w:r>
        <w:rPr>
          <w:rFonts w:hAnsi="宋体"/>
          <w:color w:val="000000"/>
          <w:szCs w:val="24"/>
        </w:rPr>
        <w:t>能够带动一批相关工业、第三产业的发展</w:t>
      </w:r>
      <w:r>
        <w:rPr>
          <w:rFonts w:hint="eastAsia" w:hAnsi="宋体"/>
          <w:color w:val="000000"/>
          <w:szCs w:val="24"/>
        </w:rPr>
        <w:t>，</w:t>
      </w:r>
      <w:r>
        <w:rPr>
          <w:rFonts w:hAnsi="宋体"/>
          <w:color w:val="000000"/>
          <w:szCs w:val="24"/>
        </w:rPr>
        <w:t>给当地经济发展注入新的活力</w:t>
      </w:r>
      <w:r>
        <w:rPr>
          <w:rFonts w:hint="eastAsia" w:hAnsi="宋体"/>
          <w:color w:val="000000"/>
          <w:szCs w:val="24"/>
        </w:rPr>
        <w:t>。拟建工程的实施还补充和加快了油田基础设施的建设。</w:t>
      </w:r>
    </w:p>
    <w:p w14:paraId="561CB6CE">
      <w:pPr>
        <w:adjustRightInd w:val="0"/>
        <w:spacing w:line="480" w:lineRule="exact"/>
        <w:ind w:firstLine="526" w:firstLineChars="200"/>
        <w:rPr>
          <w:rFonts w:hAnsi="宋体"/>
          <w:color w:val="000000"/>
          <w:szCs w:val="24"/>
        </w:rPr>
      </w:pPr>
      <w:r>
        <w:rPr>
          <w:rFonts w:hint="eastAsia" w:hAnsi="宋体"/>
          <w:color w:val="000000"/>
          <w:szCs w:val="24"/>
        </w:rPr>
        <w:t>因此拟建工程具有良好的社会效益。</w:t>
      </w:r>
    </w:p>
    <w:p w14:paraId="37CCF9F9">
      <w:pPr>
        <w:spacing w:line="480" w:lineRule="exact"/>
        <w:outlineLvl w:val="1"/>
        <w:rPr>
          <w:rFonts w:ascii="黑体" w:hAnsi="黑体" w:eastAsia="黑体" w:cs="黑体"/>
          <w:color w:val="000000"/>
          <w:sz w:val="28"/>
          <w:szCs w:val="28"/>
          <w:lang w:bidi="ar"/>
        </w:rPr>
      </w:pPr>
      <w:bookmarkStart w:id="287" w:name="_Toc6772"/>
      <w:bookmarkStart w:id="288" w:name="_Toc67990135"/>
      <w:bookmarkStart w:id="289" w:name="_Toc208474706"/>
      <w:bookmarkStart w:id="290" w:name="_Toc230178818"/>
      <w:bookmarkStart w:id="291" w:name="_Toc198040214"/>
      <w:bookmarkStart w:id="292" w:name="_Toc198040358"/>
      <w:r>
        <w:rPr>
          <w:rFonts w:hint="eastAsia" w:ascii="黑体" w:hAnsi="黑体" w:eastAsia="黑体" w:cs="黑体"/>
          <w:color w:val="000000"/>
          <w:sz w:val="28"/>
          <w:szCs w:val="28"/>
          <w:lang w:bidi="ar"/>
        </w:rPr>
        <w:t xml:space="preserve">7.3 </w:t>
      </w:r>
      <w:bookmarkEnd w:id="287"/>
      <w:bookmarkEnd w:id="288"/>
      <w:r>
        <w:rPr>
          <w:rFonts w:hint="eastAsia" w:ascii="黑体" w:hAnsi="黑体" w:eastAsia="黑体" w:cs="黑体"/>
          <w:color w:val="000000"/>
          <w:sz w:val="28"/>
          <w:szCs w:val="28"/>
          <w:lang w:bidi="ar"/>
        </w:rPr>
        <w:t>综合效益分析</w:t>
      </w:r>
      <w:bookmarkEnd w:id="289"/>
      <w:bookmarkEnd w:id="290"/>
      <w:bookmarkEnd w:id="291"/>
      <w:bookmarkEnd w:id="292"/>
    </w:p>
    <w:p w14:paraId="7C55C0D7">
      <w:pPr>
        <w:spacing w:line="480" w:lineRule="exact"/>
        <w:ind w:firstLine="526" w:firstLineChars="200"/>
        <w:rPr>
          <w:rFonts w:hint="eastAsia" w:hAnsi="宋体"/>
          <w:color w:val="000000"/>
          <w:szCs w:val="24"/>
        </w:rPr>
      </w:pPr>
      <w:bookmarkStart w:id="293" w:name="_Toc2116"/>
      <w:bookmarkStart w:id="294" w:name="_Toc67990136"/>
      <w:r>
        <w:rPr>
          <w:rFonts w:hint="eastAsia" w:hAnsi="宋体" w:cs="宋体"/>
          <w:color w:val="000000"/>
          <w:kern w:val="0"/>
          <w:szCs w:val="24"/>
          <w:lang w:bidi="ar"/>
        </w:rPr>
        <w:t>拟建工程通过一定的环保投资，采取技术上可行、经济上合理的环保措施，对其生产过程中产生的</w:t>
      </w:r>
      <w:r>
        <w:rPr>
          <w:rFonts w:hint="eastAsia" w:hAnsi="宋体"/>
          <w:color w:val="000000"/>
          <w:kern w:val="0"/>
          <w:szCs w:val="24"/>
          <w:lang w:bidi="ar"/>
        </w:rPr>
        <w:t>“</w:t>
      </w:r>
      <w:r>
        <w:rPr>
          <w:rFonts w:hint="eastAsia" w:hAnsi="宋体" w:cs="宋体"/>
          <w:color w:val="000000"/>
          <w:kern w:val="0"/>
          <w:szCs w:val="24"/>
          <w:lang w:bidi="ar"/>
        </w:rPr>
        <w:t>三废</w:t>
      </w:r>
      <w:r>
        <w:rPr>
          <w:rFonts w:hint="eastAsia" w:hAnsi="宋体"/>
          <w:color w:val="000000"/>
          <w:kern w:val="0"/>
          <w:szCs w:val="24"/>
          <w:lang w:bidi="ar"/>
        </w:rPr>
        <w:t>”</w:t>
      </w:r>
      <w:r>
        <w:rPr>
          <w:rFonts w:hint="eastAsia" w:hAnsi="宋体" w:cs="宋体"/>
          <w:color w:val="000000"/>
          <w:kern w:val="0"/>
          <w:szCs w:val="24"/>
          <w:lang w:bidi="ar"/>
        </w:rPr>
        <w:t>进行了综合治理或妥善处置，这些措施的实施既取得了一定的经济效益，又减少了项目对环境造成的污染，达到了削减污染物排放和保护环境的目的，其环境保护效果显著。</w:t>
      </w:r>
    </w:p>
    <w:p w14:paraId="552E5B29">
      <w:pPr>
        <w:spacing w:line="480" w:lineRule="exact"/>
        <w:outlineLvl w:val="1"/>
        <w:rPr>
          <w:rFonts w:ascii="黑体" w:hAnsi="黑体" w:eastAsia="黑体" w:cs="黑体"/>
          <w:color w:val="000000"/>
          <w:sz w:val="28"/>
          <w:szCs w:val="28"/>
          <w:lang w:bidi="ar"/>
        </w:rPr>
      </w:pPr>
      <w:bookmarkStart w:id="295" w:name="_Toc198040359"/>
      <w:bookmarkStart w:id="296" w:name="_Toc198040215"/>
      <w:bookmarkStart w:id="297" w:name="_Toc230178819"/>
      <w:bookmarkStart w:id="298" w:name="_Toc208474707"/>
      <w:r>
        <w:rPr>
          <w:rFonts w:hint="eastAsia" w:ascii="黑体" w:hAnsi="黑体" w:eastAsia="黑体" w:cs="黑体"/>
          <w:color w:val="000000"/>
          <w:sz w:val="28"/>
          <w:szCs w:val="28"/>
          <w:lang w:bidi="ar"/>
        </w:rPr>
        <w:t>7.4 环境经济损益分析结论</w:t>
      </w:r>
      <w:bookmarkEnd w:id="293"/>
      <w:bookmarkEnd w:id="294"/>
      <w:bookmarkEnd w:id="295"/>
      <w:bookmarkEnd w:id="296"/>
      <w:bookmarkEnd w:id="297"/>
      <w:bookmarkEnd w:id="298"/>
    </w:p>
    <w:p w14:paraId="66CFF23E">
      <w:pPr>
        <w:adjustRightInd w:val="0"/>
        <w:spacing w:line="480" w:lineRule="exact"/>
        <w:ind w:firstLine="526" w:firstLineChars="200"/>
        <w:rPr>
          <w:rFonts w:hAnsi="宋体" w:cs="宋体"/>
          <w:color w:val="000000"/>
          <w:szCs w:val="24"/>
        </w:rPr>
      </w:pPr>
      <w:r>
        <w:rPr>
          <w:rFonts w:hint="eastAsia" w:hAnsi="宋体"/>
          <w:color w:val="000000"/>
          <w:szCs w:val="24"/>
        </w:rPr>
        <w:t>拟建</w:t>
      </w:r>
      <w:r>
        <w:rPr>
          <w:rFonts w:hint="eastAsia" w:hAnsi="宋体" w:cs="宋体"/>
          <w:color w:val="000000"/>
          <w:szCs w:val="24"/>
        </w:rPr>
        <w:t>工程经分析具有良好的环境效益和社会效益。</w:t>
      </w:r>
    </w:p>
    <w:p w14:paraId="0255DAAC">
      <w:pPr>
        <w:adjustRightInd w:val="0"/>
        <w:spacing w:line="480" w:lineRule="exact"/>
        <w:ind w:firstLine="526" w:firstLineChars="200"/>
        <w:rPr>
          <w:rFonts w:hAnsi="宋体" w:cs="宋体"/>
          <w:color w:val="000000"/>
          <w:szCs w:val="24"/>
        </w:rPr>
      </w:pPr>
      <w:r>
        <w:rPr>
          <w:rFonts w:hint="eastAsia" w:hAnsi="宋体" w:cs="宋体"/>
          <w:color w:val="000000"/>
          <w:szCs w:val="24"/>
        </w:rPr>
        <w:t>在建设过程中，由于管线施工需要占用一定量的土地，并因此带来一定的环境损失。因而在油气开采过程中，需要投入必要的资金用于污染防治和恢复地貌等，实施相应的环保措施后，可以起到保护环境的效果。</w:t>
      </w:r>
    </w:p>
    <w:p w14:paraId="7F134CCA">
      <w:pPr>
        <w:adjustRightInd w:val="0"/>
        <w:spacing w:line="480" w:lineRule="exact"/>
        <w:rPr>
          <w:rFonts w:hAnsi="宋体" w:cs="宋体"/>
          <w:color w:val="000000"/>
          <w:szCs w:val="24"/>
        </w:rPr>
      </w:pPr>
      <w:r>
        <w:rPr>
          <w:rFonts w:hAnsi="宋体" w:cs="宋体"/>
          <w:color w:val="000000"/>
          <w:szCs w:val="24"/>
        </w:rPr>
        <w:br w:type="page"/>
      </w:r>
    </w:p>
    <w:p w14:paraId="067E3605">
      <w:pPr>
        <w:tabs>
          <w:tab w:val="left" w:pos="2718"/>
        </w:tabs>
        <w:spacing w:line="480" w:lineRule="exact"/>
        <w:outlineLvl w:val="0"/>
        <w:rPr>
          <w:rFonts w:ascii="黑体" w:hAnsi="黑体" w:eastAsia="黑体"/>
          <w:color w:val="000000"/>
          <w:sz w:val="32"/>
          <w:szCs w:val="32"/>
        </w:rPr>
      </w:pPr>
      <w:bookmarkStart w:id="299" w:name="_Toc198040216"/>
      <w:bookmarkStart w:id="300" w:name="_Toc24502"/>
      <w:bookmarkStart w:id="301" w:name="_Toc198040360"/>
      <w:bookmarkStart w:id="302" w:name="_Toc208474708"/>
      <w:bookmarkStart w:id="303" w:name="_Toc230178820"/>
      <w:bookmarkStart w:id="304" w:name="_Toc67990137"/>
      <w:r>
        <w:rPr>
          <w:rFonts w:hint="eastAsia" w:ascii="黑体" w:hAnsi="黑体" w:eastAsia="黑体"/>
          <w:color w:val="000000"/>
          <w:sz w:val="32"/>
          <w:szCs w:val="32"/>
        </w:rPr>
        <w:t>8 环境管理与监测计划</w:t>
      </w:r>
      <w:bookmarkEnd w:id="299"/>
      <w:bookmarkEnd w:id="300"/>
      <w:bookmarkEnd w:id="301"/>
      <w:bookmarkEnd w:id="302"/>
      <w:bookmarkEnd w:id="303"/>
      <w:bookmarkEnd w:id="304"/>
    </w:p>
    <w:p w14:paraId="20E7A50B">
      <w:pPr>
        <w:spacing w:line="480" w:lineRule="exact"/>
        <w:outlineLvl w:val="1"/>
        <w:rPr>
          <w:rFonts w:ascii="黑体" w:hAnsi="黑体" w:eastAsia="黑体" w:cs="黑体"/>
          <w:color w:val="000000"/>
          <w:sz w:val="28"/>
          <w:szCs w:val="28"/>
          <w:lang w:bidi="ar"/>
        </w:rPr>
      </w:pPr>
      <w:bookmarkStart w:id="305" w:name="_Toc208474709"/>
      <w:bookmarkStart w:id="306" w:name="_Toc230178821"/>
      <w:bookmarkStart w:id="307" w:name="_Toc67990138"/>
      <w:bookmarkStart w:id="308" w:name="_Toc24425"/>
      <w:bookmarkStart w:id="309" w:name="_Toc198040361"/>
      <w:bookmarkStart w:id="310" w:name="_Toc198040217"/>
      <w:r>
        <w:rPr>
          <w:rFonts w:hint="eastAsia" w:ascii="黑体" w:hAnsi="黑体" w:eastAsia="黑体" w:cs="黑体"/>
          <w:color w:val="000000"/>
          <w:sz w:val="28"/>
          <w:szCs w:val="28"/>
          <w:lang w:bidi="ar"/>
        </w:rPr>
        <w:t>8.1 环境管理</w:t>
      </w:r>
      <w:bookmarkEnd w:id="305"/>
      <w:bookmarkEnd w:id="306"/>
      <w:bookmarkEnd w:id="307"/>
      <w:bookmarkEnd w:id="308"/>
      <w:bookmarkEnd w:id="309"/>
      <w:bookmarkEnd w:id="310"/>
    </w:p>
    <w:p w14:paraId="3B543110">
      <w:pPr>
        <w:spacing w:line="480" w:lineRule="exact"/>
        <w:ind w:firstLine="526" w:firstLineChars="200"/>
        <w:rPr>
          <w:rFonts w:hAnsi="宋体"/>
          <w:color w:val="000000"/>
          <w:szCs w:val="24"/>
        </w:rPr>
      </w:pPr>
      <w:r>
        <w:rPr>
          <w:rFonts w:hint="eastAsia" w:hAnsi="宋体"/>
          <w:color w:val="000000"/>
          <w:szCs w:val="24"/>
        </w:rPr>
        <w:t>管理是对人类生产、生活和社会活动实行控制性的影响，使外界事物按照人们的决策和计划方向进行和发展。随着我国环保法规的完善及严格执法，环境污染问题将极大地影响着企业的生存与发展。因此，环境管理应作为企业管理工作中的重要组成部分，企业应积极并主动地预防和治理，提高全体职工的环境意识，避免因管理不善而造成的环境污染风险。</w:t>
      </w:r>
    </w:p>
    <w:p w14:paraId="7C30D09C">
      <w:pPr>
        <w:spacing w:line="480" w:lineRule="exact"/>
        <w:outlineLvl w:val="2"/>
        <w:rPr>
          <w:rFonts w:hAnsi="宋体"/>
          <w:color w:val="000000"/>
          <w:szCs w:val="24"/>
        </w:rPr>
      </w:pPr>
      <w:r>
        <w:rPr>
          <w:rFonts w:hint="eastAsia" w:hAnsi="宋体"/>
          <w:color w:val="000000"/>
          <w:szCs w:val="24"/>
        </w:rPr>
        <w:t>8.1.1 管理机构及职责</w:t>
      </w:r>
    </w:p>
    <w:p w14:paraId="4AF7FE0B">
      <w:pPr>
        <w:spacing w:line="480" w:lineRule="exact"/>
        <w:outlineLvl w:val="3"/>
        <w:rPr>
          <w:rFonts w:hAnsi="宋体"/>
          <w:color w:val="000000"/>
          <w:szCs w:val="24"/>
        </w:rPr>
      </w:pPr>
      <w:r>
        <w:rPr>
          <w:rFonts w:hint="eastAsia" w:hAnsi="宋体"/>
          <w:color w:val="000000"/>
          <w:szCs w:val="24"/>
        </w:rPr>
        <w:t>8.1.1.1 环境管理机构</w:t>
      </w:r>
    </w:p>
    <w:p w14:paraId="517FD81F">
      <w:pPr>
        <w:spacing w:line="480" w:lineRule="exact"/>
        <w:ind w:firstLine="526" w:firstLineChars="200"/>
        <w:rPr>
          <w:rFonts w:hAnsi="宋体"/>
          <w:color w:val="000000"/>
          <w:szCs w:val="24"/>
        </w:rPr>
      </w:pPr>
      <w:r>
        <w:rPr>
          <w:rFonts w:hint="eastAsia" w:hAnsi="宋体"/>
          <w:color w:val="000000"/>
          <w:szCs w:val="24"/>
        </w:rPr>
        <w:t>拟建工程日常环境管理工作纳入塔中采油气管理区现有QHSE管理体系。塔里木油田分公司建立了三级环境保护管理机构，形成了管理网络，油田分公司QHSE委员会及其办公室为一级管理职能机构，各单位QHSE委员会及其办公室为二级管理职能机构，基层单位QHSE小组及办公室为三级管理机构。油田所属各单位及一切进入塔里木油田公司市场作业与服务的单位，必须建立健全环境保护管理职能机构，设置专（兼）职环保工作人员，有效开展工作。企业各单位及下属各基层单位的行政正职分别是本企业、单位、基层单位环境保护第一负责人，负责建立其QHSE委员会及办公室，领导环境保护工作。</w:t>
      </w:r>
    </w:p>
    <w:p w14:paraId="1EE8306D">
      <w:pPr>
        <w:spacing w:line="480" w:lineRule="exact"/>
        <w:outlineLvl w:val="3"/>
        <w:rPr>
          <w:rFonts w:hAnsi="宋体"/>
          <w:color w:val="000000"/>
          <w:szCs w:val="24"/>
        </w:rPr>
      </w:pPr>
      <w:r>
        <w:rPr>
          <w:rFonts w:hint="eastAsia" w:hAnsi="宋体"/>
          <w:color w:val="000000"/>
          <w:szCs w:val="24"/>
        </w:rPr>
        <w:t>8.1.1.2 环境管理制度</w:t>
      </w:r>
    </w:p>
    <w:p w14:paraId="1451ECBE">
      <w:pPr>
        <w:spacing w:line="480" w:lineRule="exact"/>
        <w:ind w:firstLine="526" w:firstLineChars="200"/>
        <w:rPr>
          <w:rFonts w:hAnsi="宋体"/>
          <w:color w:val="000000"/>
          <w:szCs w:val="24"/>
        </w:rPr>
      </w:pPr>
      <w:r>
        <w:rPr>
          <w:rFonts w:hint="eastAsia" w:hAnsi="宋体"/>
          <w:color w:val="000000"/>
          <w:szCs w:val="24"/>
        </w:rPr>
        <w:t>按照油田公司QHSE管理制度体系建设要求，建立了塔中采油气管理区QHSE制度管理体系，并将各项环境管理制度作为QHSE制度管理体系重要建设内容，制定了建设项目“三同时”管理、污染防治设施运行管理、污染源监测管理、排污口标识标牌规范管理、危险废物全过程管理等环境管理制度，基本建立了源头预防、事中管理、事后考核的环境管理制度体系。</w:t>
      </w:r>
    </w:p>
    <w:p w14:paraId="66333182">
      <w:pPr>
        <w:spacing w:line="480" w:lineRule="exact"/>
        <w:outlineLvl w:val="3"/>
        <w:rPr>
          <w:rFonts w:hAnsi="宋体"/>
          <w:color w:val="000000"/>
          <w:szCs w:val="24"/>
        </w:rPr>
      </w:pPr>
      <w:r>
        <w:rPr>
          <w:rFonts w:hint="eastAsia" w:hAnsi="宋体"/>
          <w:color w:val="000000"/>
          <w:szCs w:val="24"/>
        </w:rPr>
        <w:t>8.1.1.3 环境管理职责</w:t>
      </w:r>
    </w:p>
    <w:p w14:paraId="61DA594E">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塔中采油气管理区QHSE委员会办公室（质量健康安全环保部）是环境保护的归口管理部门，主要职责是：</w:t>
      </w:r>
    </w:p>
    <w:p w14:paraId="48143D69">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（1）贯彻落实国家、地方、集团公司、油田公司环境保护相关法律法规、制度、标准和规划，制定环境保护规章制度；</w:t>
      </w:r>
    </w:p>
    <w:p w14:paraId="3D5D3547">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（2）分解落实油田公司下达的环境保护目标和指标，监督各单位环境保护目标和指标完成情况并进行考核；</w:t>
      </w:r>
    </w:p>
    <w:p w14:paraId="5144C124">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（3）监督、检查采油气管理区生产运行、建设项目施工、试修井作业过程中环保管理情况；</w:t>
      </w:r>
    </w:p>
    <w:p w14:paraId="24CA747D">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（4）组织环保隐患排查与治理，组织制定突发环境事件应急预案，参与环境事件应急演练、应急处置、事件调查；</w:t>
      </w:r>
    </w:p>
    <w:p w14:paraId="69DE6760">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（5）组织开展环境风险评估、环境隐患排查与治理；</w:t>
      </w:r>
    </w:p>
    <w:p w14:paraId="6F822EB5">
      <w:pPr>
        <w:spacing w:line="480" w:lineRule="exact"/>
        <w:ind w:firstLine="526" w:firstLineChars="200"/>
        <w:rPr>
          <w:rFonts w:hint="eastAsia" w:hAnsi="宋体" w:cs="宋体"/>
          <w:snapToGrid w:val="0"/>
          <w:color w:val="000000"/>
          <w:kern w:val="0"/>
          <w:szCs w:val="24"/>
        </w:rPr>
      </w:pPr>
      <w:r>
        <w:rPr>
          <w:rFonts w:hint="eastAsia" w:hAnsi="宋体" w:cs="宋体"/>
          <w:snapToGrid w:val="0"/>
          <w:color w:val="000000"/>
          <w:kern w:val="0"/>
          <w:szCs w:val="24"/>
        </w:rPr>
        <w:t>（6）组织开展排污许可办理、污染源普查、环境信息统计工作；</w:t>
      </w:r>
    </w:p>
    <w:p w14:paraId="5938E267">
      <w:pPr>
        <w:spacing w:line="480" w:lineRule="exact"/>
        <w:ind w:firstLine="526" w:firstLineChars="200"/>
        <w:rPr>
          <w:rFonts w:hAnsi="宋体"/>
          <w:color w:val="000000"/>
          <w:szCs w:val="24"/>
        </w:rPr>
      </w:pPr>
      <w:r>
        <w:rPr>
          <w:rFonts w:hint="eastAsia" w:hAnsi="宋体" w:cs="宋体"/>
          <w:snapToGrid w:val="0"/>
          <w:color w:val="000000"/>
          <w:kern w:val="0"/>
          <w:szCs w:val="24"/>
        </w:rPr>
        <w:t>（7）组织开展建设项目环境影响评价、竣工环境保护验收。</w:t>
      </w:r>
    </w:p>
    <w:p w14:paraId="71163A5C">
      <w:pPr>
        <w:spacing w:line="480" w:lineRule="exact"/>
        <w:outlineLvl w:val="2"/>
        <w:rPr>
          <w:rFonts w:hint="eastAsia" w:hAnsi="宋体"/>
          <w:color w:val="000000"/>
          <w:szCs w:val="24"/>
        </w:rPr>
      </w:pPr>
      <w:r>
        <w:rPr>
          <w:rFonts w:hint="eastAsia" w:hAnsi="宋体"/>
          <w:color w:val="000000"/>
          <w:szCs w:val="24"/>
        </w:rPr>
        <w:t>8.1.2施工期的环境管理任务</w:t>
      </w:r>
    </w:p>
    <w:p w14:paraId="27C369CF">
      <w:pPr>
        <w:spacing w:line="480" w:lineRule="exact"/>
        <w:ind w:firstLine="526" w:firstLineChars="200"/>
        <w:rPr>
          <w:rFonts w:hint="eastAsia" w:hAnsi="宋体"/>
          <w:color w:val="000000"/>
          <w:szCs w:val="24"/>
        </w:rPr>
      </w:pPr>
      <w:r>
        <w:rPr>
          <w:rFonts w:hint="eastAsia" w:hAnsi="宋体"/>
          <w:color w:val="000000"/>
          <w:szCs w:val="24"/>
        </w:rPr>
        <w:t>（1）建立和实施施工作业队伍的QHSE管理体系。</w:t>
      </w:r>
    </w:p>
    <w:p w14:paraId="287A4D08">
      <w:pPr>
        <w:spacing w:line="480" w:lineRule="exact"/>
        <w:ind w:firstLine="526" w:firstLineChars="200"/>
        <w:rPr>
          <w:rFonts w:hint="eastAsia" w:hAnsi="宋体"/>
          <w:color w:val="000000"/>
          <w:szCs w:val="24"/>
        </w:rPr>
      </w:pPr>
      <w:r>
        <w:rPr>
          <w:rFonts w:hint="eastAsia" w:hAnsi="宋体"/>
          <w:color w:val="000000"/>
          <w:szCs w:val="24"/>
        </w:rPr>
        <w:t>（2）工程建设单位应将项目建设计划表呈报环境管理部门，以便对工程建设全过程进行环境保护措施和环境保护工程的监督和检查。</w:t>
      </w:r>
    </w:p>
    <w:p w14:paraId="4F255469">
      <w:pPr>
        <w:spacing w:line="480" w:lineRule="exact"/>
        <w:ind w:firstLine="526" w:firstLineChars="200"/>
        <w:rPr>
          <w:rFonts w:hint="eastAsia" w:hAnsi="宋体"/>
          <w:color w:val="000000"/>
          <w:szCs w:val="24"/>
        </w:rPr>
      </w:pPr>
      <w:r>
        <w:rPr>
          <w:rFonts w:hint="eastAsia" w:hAnsi="宋体"/>
          <w:color w:val="000000"/>
          <w:szCs w:val="24"/>
        </w:rPr>
        <w:t>（3）实施施工作业环境监理制度，以确保施工作业对生态造成的破坏降到最低限度。</w:t>
      </w:r>
    </w:p>
    <w:p w14:paraId="4100000F">
      <w:pPr>
        <w:spacing w:line="480" w:lineRule="exact"/>
        <w:ind w:firstLine="526" w:firstLineChars="200"/>
        <w:rPr>
          <w:rFonts w:hAnsi="宋体"/>
          <w:snapToGrid w:val="0"/>
          <w:color w:val="000000"/>
          <w:kern w:val="0"/>
          <w:szCs w:val="24"/>
        </w:rPr>
      </w:pPr>
      <w:r>
        <w:rPr>
          <w:rFonts w:hint="eastAsia" w:hAnsi="宋体"/>
          <w:color w:val="000000"/>
          <w:szCs w:val="24"/>
        </w:rPr>
        <w:t>（4）工程建设结束后，会同当地环保主管部门共同参与检查验收。</w:t>
      </w:r>
    </w:p>
    <w:p w14:paraId="34716220">
      <w:pPr>
        <w:spacing w:line="480" w:lineRule="exact"/>
        <w:outlineLvl w:val="2"/>
        <w:rPr>
          <w:rFonts w:hint="eastAsia" w:hAnsi="宋体"/>
          <w:color w:val="000000"/>
          <w:szCs w:val="24"/>
        </w:rPr>
      </w:pPr>
      <w:r>
        <w:rPr>
          <w:rFonts w:hint="eastAsia" w:hAnsi="宋体"/>
          <w:color w:val="000000"/>
          <w:szCs w:val="24"/>
        </w:rPr>
        <w:t>8.1.3运营期的环境管理任务</w:t>
      </w:r>
    </w:p>
    <w:p w14:paraId="53499451">
      <w:pPr>
        <w:spacing w:line="480" w:lineRule="exact"/>
        <w:ind w:firstLine="526" w:firstLineChars="200"/>
        <w:rPr>
          <w:rFonts w:hint="eastAsia" w:hAnsi="宋体"/>
          <w:color w:val="000000"/>
          <w:szCs w:val="24"/>
        </w:rPr>
      </w:pPr>
      <w:r>
        <w:rPr>
          <w:rFonts w:hint="eastAsia" w:hAnsi="宋体"/>
          <w:color w:val="000000"/>
          <w:szCs w:val="24"/>
        </w:rPr>
        <w:t>（1）拟建工程运行期的QHSE管理体系纳入</w:t>
      </w:r>
      <w:r>
        <w:rPr>
          <w:rFonts w:hint="eastAsia" w:hAnsi="宋体" w:cs="宋体"/>
          <w:snapToGrid w:val="0"/>
          <w:color w:val="000000"/>
          <w:kern w:val="0"/>
          <w:szCs w:val="24"/>
        </w:rPr>
        <w:t>塔中采油气管理区</w:t>
      </w:r>
      <w:r>
        <w:rPr>
          <w:rFonts w:hint="eastAsia" w:hAnsi="宋体"/>
          <w:color w:val="000000"/>
          <w:szCs w:val="24"/>
        </w:rPr>
        <w:t>QHSE系统统一管理。</w:t>
      </w:r>
    </w:p>
    <w:p w14:paraId="3D038388">
      <w:pPr>
        <w:spacing w:line="480" w:lineRule="exact"/>
        <w:ind w:firstLine="526" w:firstLineChars="200"/>
        <w:rPr>
          <w:rFonts w:hint="eastAsia" w:hAnsi="宋体"/>
          <w:color w:val="000000"/>
          <w:szCs w:val="24"/>
        </w:rPr>
      </w:pPr>
      <w:r>
        <w:rPr>
          <w:rFonts w:hint="eastAsia" w:hAnsi="宋体"/>
          <w:color w:val="000000"/>
          <w:szCs w:val="24"/>
        </w:rPr>
        <w:t>（2）协助进行环境保护设施的竣工验收工作，贯彻执行国家、地方及上级部门有关环境保护方针、政策、法律法规。</w:t>
      </w:r>
    </w:p>
    <w:p w14:paraId="1EBBCA47">
      <w:pPr>
        <w:spacing w:line="480" w:lineRule="exact"/>
        <w:ind w:firstLine="526" w:firstLineChars="200"/>
        <w:rPr>
          <w:rFonts w:hint="eastAsia" w:hAnsi="宋体"/>
          <w:color w:val="000000"/>
          <w:szCs w:val="24"/>
        </w:rPr>
      </w:pPr>
      <w:r>
        <w:rPr>
          <w:rFonts w:hint="eastAsia" w:hAnsi="宋体"/>
          <w:color w:val="000000"/>
          <w:szCs w:val="24"/>
        </w:rPr>
        <w:t>（3）负责集输管线的日常环境保护管理工作及定期进行环保安全检查，如生态恢复、环境监测等。</w:t>
      </w:r>
    </w:p>
    <w:p w14:paraId="0B862183">
      <w:pPr>
        <w:spacing w:line="480" w:lineRule="exact"/>
        <w:ind w:firstLine="526" w:firstLineChars="200"/>
        <w:rPr>
          <w:rFonts w:hint="eastAsia" w:hAnsi="宋体"/>
          <w:color w:val="000000"/>
          <w:szCs w:val="24"/>
        </w:rPr>
      </w:pPr>
      <w:r>
        <w:rPr>
          <w:rFonts w:hint="eastAsia" w:hAnsi="宋体"/>
          <w:color w:val="000000"/>
          <w:szCs w:val="24"/>
        </w:rPr>
        <w:t>（4）编制各种突发事故的应急计划。</w:t>
      </w:r>
    </w:p>
    <w:p w14:paraId="7503B378">
      <w:pPr>
        <w:spacing w:line="480" w:lineRule="exact"/>
        <w:ind w:firstLine="526" w:firstLineChars="200"/>
        <w:rPr>
          <w:rFonts w:hint="eastAsia" w:hAnsi="宋体"/>
          <w:color w:val="000000"/>
          <w:szCs w:val="24"/>
        </w:rPr>
      </w:pPr>
      <w:r>
        <w:rPr>
          <w:rFonts w:hint="eastAsia" w:hAnsi="宋体"/>
          <w:color w:val="000000"/>
          <w:szCs w:val="24"/>
        </w:rPr>
        <w:t>（5）组织开展环境保护宣传教育、技术和经验交流活动，推广先进技术和科研成果，对全体员工组织开展环境保护培训。</w:t>
      </w:r>
    </w:p>
    <w:p w14:paraId="2CA99AFE">
      <w:pPr>
        <w:spacing w:line="500" w:lineRule="exact"/>
        <w:ind w:firstLine="526" w:firstLineChars="200"/>
        <w:rPr>
          <w:rFonts w:hint="eastAsia" w:hAnsi="宋体"/>
          <w:color w:val="000000"/>
          <w:szCs w:val="24"/>
        </w:rPr>
      </w:pPr>
      <w:r>
        <w:rPr>
          <w:rFonts w:hint="eastAsia" w:hAnsi="宋体"/>
          <w:color w:val="000000"/>
          <w:szCs w:val="24"/>
        </w:rPr>
        <w:t>（6）强化基础工作，建立完整、规范、准确的环境基础资料，环境统计报表和环境保护技术档案。</w:t>
      </w:r>
    </w:p>
    <w:p w14:paraId="785C3969">
      <w:pPr>
        <w:adjustRightInd w:val="0"/>
        <w:spacing w:line="500" w:lineRule="exact"/>
        <w:ind w:firstLine="526" w:firstLineChars="200"/>
        <w:rPr>
          <w:rFonts w:hint="eastAsia" w:hAnsi="宋体" w:cs="宋体"/>
          <w:color w:val="000000"/>
          <w:szCs w:val="24"/>
        </w:rPr>
      </w:pPr>
      <w:r>
        <w:rPr>
          <w:rFonts w:hint="eastAsia" w:hAnsi="宋体"/>
          <w:color w:val="000000"/>
          <w:szCs w:val="24"/>
        </w:rPr>
        <w:t>（7）参加调查、分析、处理环境污染事故，并负责统计上报事故的基本情况及处理结果，协同有关部门制定防治污染事故的措施，并监督实施。</w:t>
      </w:r>
    </w:p>
    <w:p w14:paraId="023E4A93">
      <w:pPr>
        <w:spacing w:line="500" w:lineRule="exact"/>
        <w:outlineLvl w:val="2"/>
        <w:rPr>
          <w:rFonts w:hint="eastAsia" w:hAnsi="宋体"/>
          <w:color w:val="000000"/>
          <w:szCs w:val="24"/>
        </w:rPr>
      </w:pPr>
      <w:r>
        <w:rPr>
          <w:rFonts w:hint="eastAsia" w:hAnsi="宋体"/>
          <w:color w:val="000000"/>
          <w:szCs w:val="24"/>
        </w:rPr>
        <w:t>8.1.4 退役期的环境管理任务</w:t>
      </w:r>
    </w:p>
    <w:p w14:paraId="63A733E2">
      <w:pPr>
        <w:adjustRightInd w:val="0"/>
        <w:spacing w:line="500" w:lineRule="exact"/>
        <w:ind w:firstLine="526" w:firstLineChars="200"/>
        <w:rPr>
          <w:rFonts w:hint="eastAsia" w:hAnsi="宋体" w:cs="宋体"/>
          <w:color w:val="000000"/>
          <w:szCs w:val="24"/>
        </w:rPr>
      </w:pPr>
      <w:r>
        <w:rPr>
          <w:rFonts w:hint="eastAsia" w:hAnsi="宋体" w:cs="宋体"/>
          <w:color w:val="000000"/>
          <w:szCs w:val="24"/>
        </w:rPr>
        <w:t>根据油田开发规律，一般生产设施设备在投产运行一定周期后，不可避免地面临停产、设备报废等过程，为了解决开发后期可能引发的环境问题，必须 对报废设施采取安全、环境友好的处置方式。对于报废管线应及时回收，并采取措施不得造成管线内含油物质的外溢污染。永久建筑在开发结束停用后进行拆除，设备收回，恢复原地貌。</w:t>
      </w:r>
    </w:p>
    <w:p w14:paraId="3BBB16F5">
      <w:pPr>
        <w:adjustRightInd w:val="0"/>
        <w:spacing w:line="500" w:lineRule="exact"/>
        <w:outlineLvl w:val="2"/>
        <w:rPr>
          <w:rFonts w:hAnsi="宋体" w:cs="宋体"/>
          <w:color w:val="000000"/>
          <w:szCs w:val="24"/>
        </w:rPr>
      </w:pPr>
      <w:r>
        <w:rPr>
          <w:rFonts w:hint="eastAsia" w:hAnsi="宋体" w:cs="宋体"/>
          <w:color w:val="000000"/>
          <w:szCs w:val="24"/>
        </w:rPr>
        <w:t>8</w:t>
      </w:r>
      <w:r>
        <w:rPr>
          <w:rFonts w:hAnsi="宋体" w:cs="宋体"/>
          <w:color w:val="000000"/>
          <w:szCs w:val="24"/>
        </w:rPr>
        <w:t>.1.</w:t>
      </w:r>
      <w:r>
        <w:rPr>
          <w:rFonts w:hint="eastAsia" w:hAnsi="宋体" w:cs="宋体"/>
          <w:color w:val="000000"/>
          <w:szCs w:val="24"/>
        </w:rPr>
        <w:t>5环境管理计划</w:t>
      </w:r>
    </w:p>
    <w:p w14:paraId="582A68B5">
      <w:pPr>
        <w:pStyle w:val="23"/>
        <w:spacing w:line="500" w:lineRule="exact"/>
        <w:ind w:firstLine="526" w:firstLineChars="200"/>
        <w:rPr>
          <w:rFonts w:hint="eastAsia" w:hAnsi="宋体" w:cs="宋体"/>
          <w:color w:val="000000"/>
          <w:sz w:val="24"/>
          <w:szCs w:val="24"/>
        </w:rPr>
      </w:pPr>
      <w:r>
        <w:rPr>
          <w:rFonts w:hint="eastAsia" w:hAnsi="宋体" w:cs="宋体"/>
          <w:color w:val="000000"/>
          <w:sz w:val="24"/>
          <w:szCs w:val="24"/>
        </w:rPr>
        <w:t>为了最大限度地减轻施工期作业活动对沿线生态环境的不利影响，减少运营期事故的发生，确保管道安全运行，建立科学有效的环境管理体制，落实各项环保和安全措施显得尤为重要。根据</w:t>
      </w:r>
      <w:r>
        <w:rPr>
          <w:rFonts w:hAnsi="宋体" w:cs="宋体"/>
          <w:color w:val="000000"/>
          <w:sz w:val="24"/>
          <w:szCs w:val="24"/>
        </w:rPr>
        <w:t>QHSE</w:t>
      </w:r>
      <w:r>
        <w:rPr>
          <w:rFonts w:hint="eastAsia" w:hAnsi="宋体" w:cs="宋体"/>
          <w:color w:val="000000"/>
          <w:sz w:val="24"/>
          <w:szCs w:val="24"/>
        </w:rPr>
        <w:t>管理体系及清洁生产的要求，结合区域环境特征，分施工期和运营期提出拟建工程的环境管理计划。各个阶段环境管理</w:t>
      </w:r>
      <w:r>
        <w:rPr>
          <w:rFonts w:hAnsi="宋体" w:cs="宋体"/>
          <w:color w:val="000000"/>
          <w:sz w:val="24"/>
          <w:szCs w:val="24"/>
        </w:rPr>
        <w:t>/</w:t>
      </w:r>
      <w:r>
        <w:rPr>
          <w:rFonts w:hint="eastAsia" w:hAnsi="宋体" w:cs="宋体"/>
          <w:color w:val="000000"/>
          <w:sz w:val="24"/>
          <w:szCs w:val="24"/>
        </w:rPr>
        <w:t>监理的内容、实施部门及监督机构见表8</w:t>
      </w:r>
      <w:r>
        <w:rPr>
          <w:rFonts w:hAnsi="宋体" w:cs="宋体"/>
          <w:color w:val="000000"/>
          <w:sz w:val="24"/>
          <w:szCs w:val="24"/>
        </w:rPr>
        <w:t>.1-1</w:t>
      </w:r>
      <w:r>
        <w:rPr>
          <w:rFonts w:hint="eastAsia" w:hAnsi="宋体" w:cs="宋体"/>
          <w:color w:val="000000"/>
          <w:sz w:val="24"/>
          <w:szCs w:val="24"/>
        </w:rPr>
        <w:t>。</w:t>
      </w:r>
    </w:p>
    <w:p w14:paraId="4BE1F321">
      <w:pPr>
        <w:spacing w:line="500" w:lineRule="exact"/>
        <w:ind w:firstLine="526" w:firstLineChars="200"/>
        <w:rPr>
          <w:rFonts w:ascii="黑体" w:hAnsi="黑体" w:eastAsia="黑体"/>
          <w:color w:val="000000"/>
          <w:szCs w:val="24"/>
        </w:rPr>
      </w:pPr>
      <w:r>
        <w:rPr>
          <w:rFonts w:hint="eastAsia" w:ascii="黑体" w:hAnsi="黑体" w:eastAsia="黑体" w:cs="宋体"/>
          <w:color w:val="000000"/>
          <w:szCs w:val="24"/>
        </w:rPr>
        <w:t>表8</w:t>
      </w:r>
      <w:r>
        <w:rPr>
          <w:rFonts w:ascii="黑体" w:hAnsi="黑体" w:eastAsia="黑体" w:cs="宋体"/>
          <w:color w:val="000000"/>
          <w:szCs w:val="24"/>
        </w:rPr>
        <w:t>.1-1</w:t>
      </w:r>
      <w:r>
        <w:rPr>
          <w:rFonts w:ascii="黑体" w:hAnsi="黑体" w:eastAsia="黑体"/>
          <w:color w:val="000000"/>
          <w:szCs w:val="24"/>
        </w:rPr>
        <w:t xml:space="preserve">        </w:t>
      </w:r>
      <w:r>
        <w:rPr>
          <w:rFonts w:hint="eastAsia" w:ascii="黑体" w:hAnsi="黑体" w:eastAsia="黑体"/>
          <w:color w:val="000000"/>
          <w:szCs w:val="24"/>
        </w:rPr>
        <w:t>拟建工程环境管理和监督计划</w:t>
      </w:r>
    </w:p>
    <w:tbl>
      <w:tblPr>
        <w:tblStyle w:val="48"/>
        <w:tblW w:w="500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34"/>
        <w:gridCol w:w="442"/>
        <w:gridCol w:w="1140"/>
        <w:gridCol w:w="5280"/>
        <w:gridCol w:w="839"/>
        <w:gridCol w:w="882"/>
      </w:tblGrid>
      <w:tr w14:paraId="30E240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41" w:type="pct"/>
            <w:tcMar>
              <w:left w:w="28" w:type="dxa"/>
              <w:right w:w="28" w:type="dxa"/>
            </w:tcMar>
            <w:vAlign w:val="center"/>
          </w:tcPr>
          <w:p w14:paraId="506C6F4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阶</w:t>
            </w:r>
          </w:p>
          <w:p w14:paraId="3DAF041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段</w:t>
            </w:r>
          </w:p>
        </w:tc>
        <w:tc>
          <w:tcPr>
            <w:tcW w:w="877" w:type="pct"/>
            <w:gridSpan w:val="2"/>
            <w:tcMar>
              <w:left w:w="28" w:type="dxa"/>
              <w:right w:w="28" w:type="dxa"/>
            </w:tcMar>
            <w:vAlign w:val="center"/>
          </w:tcPr>
          <w:p w14:paraId="5ECF89E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影响因素</w:t>
            </w:r>
          </w:p>
        </w:tc>
        <w:tc>
          <w:tcPr>
            <w:tcW w:w="2928" w:type="pct"/>
            <w:tcMar>
              <w:left w:w="28" w:type="dxa"/>
              <w:right w:w="28" w:type="dxa"/>
            </w:tcMar>
            <w:vAlign w:val="center"/>
          </w:tcPr>
          <w:p w14:paraId="6BEEB7E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防治措施建议</w:t>
            </w:r>
          </w:p>
        </w:tc>
        <w:tc>
          <w:tcPr>
            <w:tcW w:w="465" w:type="pct"/>
            <w:tcMar>
              <w:left w:w="28" w:type="dxa"/>
              <w:right w:w="28" w:type="dxa"/>
            </w:tcMar>
            <w:vAlign w:val="center"/>
          </w:tcPr>
          <w:p w14:paraId="02B27E5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实施</w:t>
            </w:r>
          </w:p>
          <w:p w14:paraId="5CA37D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机构</w:t>
            </w:r>
          </w:p>
        </w:tc>
        <w:tc>
          <w:tcPr>
            <w:tcW w:w="489" w:type="pct"/>
            <w:tcMar>
              <w:left w:w="28" w:type="dxa"/>
              <w:right w:w="28" w:type="dxa"/>
            </w:tcMar>
            <w:vAlign w:val="center"/>
          </w:tcPr>
          <w:p w14:paraId="1070D2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监督管理机构</w:t>
            </w:r>
          </w:p>
        </w:tc>
      </w:tr>
      <w:tr w14:paraId="386FF3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91" w:hRule="atLeast"/>
          <w:jc w:val="center"/>
        </w:trPr>
        <w:tc>
          <w:tcPr>
            <w:tcW w:w="241" w:type="pct"/>
            <w:vMerge w:val="restart"/>
            <w:tcMar>
              <w:left w:w="28" w:type="dxa"/>
              <w:right w:w="28" w:type="dxa"/>
            </w:tcMar>
            <w:vAlign w:val="center"/>
          </w:tcPr>
          <w:p w14:paraId="4E0CD4C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c>
          <w:tcPr>
            <w:tcW w:w="245" w:type="pct"/>
            <w:vMerge w:val="restart"/>
            <w:tcMar>
              <w:left w:w="28" w:type="dxa"/>
              <w:right w:w="28" w:type="dxa"/>
            </w:tcMar>
            <w:vAlign w:val="center"/>
          </w:tcPr>
          <w:p w14:paraId="1133CC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生态保护</w:t>
            </w:r>
          </w:p>
        </w:tc>
        <w:tc>
          <w:tcPr>
            <w:tcW w:w="632" w:type="pct"/>
            <w:tcMar>
              <w:left w:w="28" w:type="dxa"/>
              <w:right w:w="28" w:type="dxa"/>
            </w:tcMar>
            <w:vAlign w:val="center"/>
          </w:tcPr>
          <w:p w14:paraId="56E3FEC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土地占用</w:t>
            </w:r>
          </w:p>
        </w:tc>
        <w:tc>
          <w:tcPr>
            <w:tcW w:w="2928" w:type="pct"/>
            <w:tcMar>
              <w:left w:w="28" w:type="dxa"/>
              <w:right w:w="28" w:type="dxa"/>
            </w:tcMar>
            <w:vAlign w:val="center"/>
          </w:tcPr>
          <w:p w14:paraId="6F774BB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严格控制施工占地面积，严格控制井位外围作业范围，施工现场严格管理，施工结束后尽快恢复临时性占用</w:t>
            </w:r>
          </w:p>
        </w:tc>
        <w:tc>
          <w:tcPr>
            <w:tcW w:w="465" w:type="pct"/>
            <w:vMerge w:val="restart"/>
            <w:tcMar>
              <w:left w:w="28" w:type="dxa"/>
              <w:right w:w="28" w:type="dxa"/>
            </w:tcMar>
            <w:vAlign w:val="center"/>
          </w:tcPr>
          <w:p w14:paraId="23D8728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施工单位、环境监理单位及建设单位</w:t>
            </w:r>
          </w:p>
        </w:tc>
        <w:tc>
          <w:tcPr>
            <w:tcW w:w="489" w:type="pct"/>
            <w:vMerge w:val="restart"/>
            <w:tcMar>
              <w:left w:w="28" w:type="dxa"/>
              <w:right w:w="28" w:type="dxa"/>
            </w:tcMar>
            <w:vAlign w:val="center"/>
          </w:tcPr>
          <w:p w14:paraId="3DDCE5D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建设单位环保部门及当地生态环境</w:t>
            </w:r>
          </w:p>
          <w:p w14:paraId="30E5DA5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主管部门</w:t>
            </w:r>
          </w:p>
        </w:tc>
      </w:tr>
      <w:tr w14:paraId="23DD31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41" w:type="pct"/>
            <w:vMerge w:val="continue"/>
            <w:tcMar>
              <w:left w:w="28" w:type="dxa"/>
              <w:right w:w="28" w:type="dxa"/>
            </w:tcMar>
            <w:vAlign w:val="center"/>
          </w:tcPr>
          <w:p w14:paraId="7793F706">
            <w:pPr>
              <w:spacing w:line="0" w:lineRule="atLeast"/>
              <w:jc w:val="center"/>
              <w:rPr>
                <w:rFonts w:hint="eastAsia" w:hAnsi="宋体" w:cs="宋体"/>
                <w:color w:val="000000"/>
                <w:spacing w:val="-10"/>
                <w:sz w:val="21"/>
                <w:szCs w:val="21"/>
              </w:rPr>
            </w:pPr>
          </w:p>
        </w:tc>
        <w:tc>
          <w:tcPr>
            <w:tcW w:w="245" w:type="pct"/>
            <w:vMerge w:val="continue"/>
            <w:tcMar>
              <w:left w:w="28" w:type="dxa"/>
              <w:right w:w="28" w:type="dxa"/>
            </w:tcMar>
            <w:vAlign w:val="center"/>
          </w:tcPr>
          <w:p w14:paraId="2B6370F0">
            <w:pPr>
              <w:spacing w:line="0" w:lineRule="atLeast"/>
              <w:jc w:val="center"/>
              <w:rPr>
                <w:rFonts w:hint="eastAsia" w:hAnsi="宋体" w:cs="宋体"/>
                <w:color w:val="000000"/>
                <w:spacing w:val="-10"/>
                <w:sz w:val="21"/>
                <w:szCs w:val="21"/>
              </w:rPr>
            </w:pPr>
          </w:p>
        </w:tc>
        <w:tc>
          <w:tcPr>
            <w:tcW w:w="632" w:type="pct"/>
            <w:tcMar>
              <w:left w:w="28" w:type="dxa"/>
              <w:right w:w="28" w:type="dxa"/>
            </w:tcMar>
            <w:vAlign w:val="center"/>
          </w:tcPr>
          <w:p w14:paraId="6E9CF93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动物</w:t>
            </w:r>
          </w:p>
        </w:tc>
        <w:tc>
          <w:tcPr>
            <w:tcW w:w="2928" w:type="pct"/>
            <w:tcMar>
              <w:left w:w="28" w:type="dxa"/>
              <w:right w:w="28" w:type="dxa"/>
            </w:tcMar>
            <w:vAlign w:val="center"/>
          </w:tcPr>
          <w:p w14:paraId="6059188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加强施工人员的管理，严禁对野生动物的捕猎等</w:t>
            </w:r>
          </w:p>
        </w:tc>
        <w:tc>
          <w:tcPr>
            <w:tcW w:w="465" w:type="pct"/>
            <w:vMerge w:val="continue"/>
            <w:tcMar>
              <w:left w:w="28" w:type="dxa"/>
              <w:right w:w="28" w:type="dxa"/>
            </w:tcMar>
            <w:vAlign w:val="center"/>
          </w:tcPr>
          <w:p w14:paraId="0672673D">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715F272E">
            <w:pPr>
              <w:spacing w:line="0" w:lineRule="atLeast"/>
              <w:jc w:val="center"/>
              <w:rPr>
                <w:rFonts w:hint="eastAsia" w:hAnsi="宋体" w:cs="宋体"/>
                <w:color w:val="000000"/>
                <w:spacing w:val="-10"/>
                <w:sz w:val="21"/>
                <w:szCs w:val="21"/>
              </w:rPr>
            </w:pPr>
          </w:p>
        </w:tc>
      </w:tr>
      <w:tr w14:paraId="2C8DC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91" w:hRule="atLeast"/>
          <w:jc w:val="center"/>
        </w:trPr>
        <w:tc>
          <w:tcPr>
            <w:tcW w:w="241" w:type="pct"/>
            <w:vMerge w:val="continue"/>
            <w:tcMar>
              <w:left w:w="28" w:type="dxa"/>
              <w:right w:w="28" w:type="dxa"/>
            </w:tcMar>
            <w:vAlign w:val="center"/>
          </w:tcPr>
          <w:p w14:paraId="0A97C437">
            <w:pPr>
              <w:spacing w:line="0" w:lineRule="atLeast"/>
              <w:jc w:val="center"/>
              <w:rPr>
                <w:rFonts w:hint="eastAsia" w:hAnsi="宋体" w:cs="宋体"/>
                <w:color w:val="000000"/>
                <w:spacing w:val="-10"/>
                <w:sz w:val="21"/>
                <w:szCs w:val="21"/>
              </w:rPr>
            </w:pPr>
          </w:p>
        </w:tc>
        <w:tc>
          <w:tcPr>
            <w:tcW w:w="245" w:type="pct"/>
            <w:vMerge w:val="continue"/>
            <w:tcMar>
              <w:left w:w="28" w:type="dxa"/>
              <w:right w:w="28" w:type="dxa"/>
            </w:tcMar>
            <w:vAlign w:val="center"/>
          </w:tcPr>
          <w:p w14:paraId="6C093F8F">
            <w:pPr>
              <w:spacing w:line="0" w:lineRule="atLeast"/>
              <w:jc w:val="center"/>
              <w:rPr>
                <w:rFonts w:hint="eastAsia" w:hAnsi="宋体" w:cs="宋体"/>
                <w:color w:val="000000"/>
                <w:spacing w:val="-10"/>
                <w:sz w:val="21"/>
                <w:szCs w:val="21"/>
              </w:rPr>
            </w:pPr>
          </w:p>
        </w:tc>
        <w:tc>
          <w:tcPr>
            <w:tcW w:w="632" w:type="pct"/>
            <w:tcMar>
              <w:left w:w="28" w:type="dxa"/>
              <w:right w:w="28" w:type="dxa"/>
            </w:tcMar>
            <w:vAlign w:val="center"/>
          </w:tcPr>
          <w:p w14:paraId="24D25EE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植被</w:t>
            </w:r>
          </w:p>
        </w:tc>
        <w:tc>
          <w:tcPr>
            <w:tcW w:w="2928" w:type="pct"/>
            <w:tcMar>
              <w:left w:w="28" w:type="dxa"/>
              <w:right w:w="28" w:type="dxa"/>
            </w:tcMar>
            <w:vAlign w:val="center"/>
          </w:tcPr>
          <w:p w14:paraId="4BAA8AD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临时占地及时清理；施工过程中严格规定车辆和各类工作人员的活动范围，使之限于在施工区范围内活动</w:t>
            </w:r>
          </w:p>
        </w:tc>
        <w:tc>
          <w:tcPr>
            <w:tcW w:w="465" w:type="pct"/>
            <w:vMerge w:val="continue"/>
            <w:tcMar>
              <w:left w:w="28" w:type="dxa"/>
              <w:right w:w="28" w:type="dxa"/>
            </w:tcMar>
            <w:vAlign w:val="center"/>
          </w:tcPr>
          <w:p w14:paraId="663931BC">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54A10F4E">
            <w:pPr>
              <w:spacing w:line="0" w:lineRule="atLeast"/>
              <w:jc w:val="center"/>
              <w:rPr>
                <w:rFonts w:hint="eastAsia" w:hAnsi="宋体" w:cs="宋体"/>
                <w:color w:val="000000"/>
                <w:spacing w:val="-10"/>
                <w:sz w:val="21"/>
                <w:szCs w:val="21"/>
              </w:rPr>
            </w:pPr>
          </w:p>
        </w:tc>
      </w:tr>
      <w:tr w14:paraId="0EE42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64" w:hRule="atLeast"/>
          <w:jc w:val="center"/>
        </w:trPr>
        <w:tc>
          <w:tcPr>
            <w:tcW w:w="241" w:type="pct"/>
            <w:vMerge w:val="continue"/>
            <w:tcMar>
              <w:left w:w="28" w:type="dxa"/>
              <w:right w:w="28" w:type="dxa"/>
            </w:tcMar>
            <w:vAlign w:val="center"/>
          </w:tcPr>
          <w:p w14:paraId="0655B85F">
            <w:pPr>
              <w:spacing w:line="0" w:lineRule="atLeast"/>
              <w:jc w:val="center"/>
              <w:rPr>
                <w:rFonts w:hint="eastAsia" w:hAnsi="宋体" w:cs="宋体"/>
                <w:color w:val="000000"/>
                <w:spacing w:val="-10"/>
                <w:sz w:val="21"/>
                <w:szCs w:val="21"/>
              </w:rPr>
            </w:pPr>
          </w:p>
        </w:tc>
        <w:tc>
          <w:tcPr>
            <w:tcW w:w="245" w:type="pct"/>
            <w:vMerge w:val="continue"/>
            <w:tcMar>
              <w:left w:w="28" w:type="dxa"/>
              <w:right w:w="28" w:type="dxa"/>
            </w:tcMar>
            <w:vAlign w:val="center"/>
          </w:tcPr>
          <w:p w14:paraId="7042C74B">
            <w:pPr>
              <w:spacing w:line="0" w:lineRule="atLeast"/>
              <w:jc w:val="center"/>
              <w:rPr>
                <w:rFonts w:hint="eastAsia" w:hAnsi="宋体" w:cs="宋体"/>
                <w:color w:val="000000"/>
                <w:spacing w:val="-10"/>
                <w:sz w:val="21"/>
                <w:szCs w:val="21"/>
              </w:rPr>
            </w:pPr>
          </w:p>
        </w:tc>
        <w:tc>
          <w:tcPr>
            <w:tcW w:w="632" w:type="pct"/>
            <w:tcMar>
              <w:left w:w="28" w:type="dxa"/>
              <w:right w:w="28" w:type="dxa"/>
            </w:tcMar>
            <w:vAlign w:val="center"/>
          </w:tcPr>
          <w:p w14:paraId="1DBC267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水土保持</w:t>
            </w:r>
          </w:p>
        </w:tc>
        <w:tc>
          <w:tcPr>
            <w:tcW w:w="2928" w:type="pct"/>
            <w:tcMar>
              <w:left w:w="28" w:type="dxa"/>
              <w:right w:w="28" w:type="dxa"/>
            </w:tcMar>
            <w:vAlign w:val="center"/>
          </w:tcPr>
          <w:p w14:paraId="0A20DAB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主体工程与水保措施同时施工，并加强临时防护措施，土石方按规范放置，做好防护措施等</w:t>
            </w:r>
          </w:p>
        </w:tc>
        <w:tc>
          <w:tcPr>
            <w:tcW w:w="465" w:type="pct"/>
            <w:vMerge w:val="continue"/>
            <w:tcMar>
              <w:left w:w="28" w:type="dxa"/>
              <w:right w:w="28" w:type="dxa"/>
            </w:tcMar>
            <w:vAlign w:val="center"/>
          </w:tcPr>
          <w:p w14:paraId="66424D49">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1DB8F413">
            <w:pPr>
              <w:spacing w:line="0" w:lineRule="atLeast"/>
              <w:jc w:val="center"/>
              <w:rPr>
                <w:rFonts w:hint="eastAsia" w:hAnsi="宋体" w:cs="宋体"/>
                <w:color w:val="000000"/>
                <w:spacing w:val="-10"/>
                <w:sz w:val="21"/>
                <w:szCs w:val="21"/>
              </w:rPr>
            </w:pPr>
          </w:p>
        </w:tc>
      </w:tr>
      <w:tr w14:paraId="1DA6B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34" w:hRule="atLeast"/>
          <w:jc w:val="center"/>
        </w:trPr>
        <w:tc>
          <w:tcPr>
            <w:tcW w:w="241" w:type="pct"/>
            <w:vMerge w:val="continue"/>
            <w:tcMar>
              <w:left w:w="28" w:type="dxa"/>
              <w:right w:w="28" w:type="dxa"/>
            </w:tcMar>
            <w:vAlign w:val="center"/>
          </w:tcPr>
          <w:p w14:paraId="0C8C3718">
            <w:pPr>
              <w:spacing w:line="0" w:lineRule="atLeast"/>
              <w:jc w:val="center"/>
              <w:rPr>
                <w:rFonts w:hint="eastAsia" w:hAnsi="宋体" w:cs="宋体"/>
                <w:color w:val="000000"/>
                <w:spacing w:val="-10"/>
                <w:sz w:val="21"/>
                <w:szCs w:val="21"/>
              </w:rPr>
            </w:pPr>
          </w:p>
        </w:tc>
        <w:tc>
          <w:tcPr>
            <w:tcW w:w="245" w:type="pct"/>
            <w:vMerge w:val="continue"/>
            <w:tcMar>
              <w:left w:w="28" w:type="dxa"/>
              <w:right w:w="28" w:type="dxa"/>
            </w:tcMar>
            <w:vAlign w:val="center"/>
          </w:tcPr>
          <w:p w14:paraId="1A65833B">
            <w:pPr>
              <w:spacing w:line="0" w:lineRule="atLeast"/>
              <w:jc w:val="center"/>
              <w:rPr>
                <w:rFonts w:hint="eastAsia" w:hAnsi="宋体" w:cs="宋体"/>
                <w:color w:val="000000"/>
                <w:spacing w:val="-10"/>
                <w:sz w:val="21"/>
                <w:szCs w:val="21"/>
              </w:rPr>
            </w:pPr>
          </w:p>
        </w:tc>
        <w:tc>
          <w:tcPr>
            <w:tcW w:w="632" w:type="pct"/>
            <w:tcMar>
              <w:left w:w="28" w:type="dxa"/>
              <w:right w:w="28" w:type="dxa"/>
            </w:tcMar>
            <w:vAlign w:val="center"/>
          </w:tcPr>
          <w:p w14:paraId="55431A9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防沙治沙</w:t>
            </w:r>
          </w:p>
        </w:tc>
        <w:tc>
          <w:tcPr>
            <w:tcW w:w="2928" w:type="pct"/>
            <w:tcMar>
              <w:left w:w="28" w:type="dxa"/>
              <w:right w:w="28" w:type="dxa"/>
            </w:tcMar>
            <w:vAlign w:val="center"/>
          </w:tcPr>
          <w:p w14:paraId="1763D93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主体工程与防沙治沙措施同时施工，并加强临时防护措施，做好防护措施等</w:t>
            </w:r>
          </w:p>
        </w:tc>
        <w:tc>
          <w:tcPr>
            <w:tcW w:w="465" w:type="pct"/>
            <w:vMerge w:val="continue"/>
            <w:tcMar>
              <w:left w:w="28" w:type="dxa"/>
              <w:right w:w="28" w:type="dxa"/>
            </w:tcMar>
            <w:vAlign w:val="center"/>
          </w:tcPr>
          <w:p w14:paraId="3E1CE7DE">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16853E3E">
            <w:pPr>
              <w:spacing w:line="0" w:lineRule="atLeast"/>
              <w:jc w:val="center"/>
              <w:rPr>
                <w:rFonts w:hint="eastAsia" w:hAnsi="宋体" w:cs="宋体"/>
                <w:color w:val="000000"/>
                <w:spacing w:val="-10"/>
                <w:sz w:val="21"/>
                <w:szCs w:val="21"/>
              </w:rPr>
            </w:pPr>
          </w:p>
        </w:tc>
      </w:tr>
      <w:tr w14:paraId="6802C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05" w:hRule="atLeast"/>
          <w:jc w:val="center"/>
        </w:trPr>
        <w:tc>
          <w:tcPr>
            <w:tcW w:w="241" w:type="pct"/>
            <w:vMerge w:val="continue"/>
            <w:tcMar>
              <w:left w:w="28" w:type="dxa"/>
              <w:right w:w="28" w:type="dxa"/>
            </w:tcMar>
            <w:vAlign w:val="center"/>
          </w:tcPr>
          <w:p w14:paraId="4E858FE3">
            <w:pPr>
              <w:spacing w:line="0" w:lineRule="atLeast"/>
              <w:jc w:val="center"/>
              <w:rPr>
                <w:rFonts w:hint="eastAsia" w:hAnsi="宋体" w:cs="宋体"/>
                <w:color w:val="000000"/>
                <w:spacing w:val="-10"/>
                <w:sz w:val="21"/>
                <w:szCs w:val="21"/>
              </w:rPr>
            </w:pPr>
          </w:p>
        </w:tc>
        <w:tc>
          <w:tcPr>
            <w:tcW w:w="245" w:type="pct"/>
            <w:vMerge w:val="restart"/>
            <w:tcMar>
              <w:left w:w="28" w:type="dxa"/>
              <w:right w:w="28" w:type="dxa"/>
            </w:tcMar>
            <w:vAlign w:val="center"/>
          </w:tcPr>
          <w:p w14:paraId="13CE74D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w:t>
            </w:r>
          </w:p>
        </w:tc>
        <w:tc>
          <w:tcPr>
            <w:tcW w:w="632" w:type="pct"/>
            <w:tcMar>
              <w:left w:w="28" w:type="dxa"/>
              <w:right w:w="28" w:type="dxa"/>
            </w:tcMar>
            <w:vAlign w:val="center"/>
          </w:tcPr>
          <w:p w14:paraId="0061678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施工扬尘</w:t>
            </w:r>
          </w:p>
        </w:tc>
        <w:tc>
          <w:tcPr>
            <w:tcW w:w="2928" w:type="pct"/>
            <w:tcMar>
              <w:left w:w="28" w:type="dxa"/>
              <w:right w:w="28" w:type="dxa"/>
            </w:tcMar>
            <w:vAlign w:val="center"/>
          </w:tcPr>
          <w:p w14:paraId="2D047F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避免大风天作业等；施工结束后尽快对施工场地进行恢复平整，减少风蚀量</w:t>
            </w:r>
          </w:p>
        </w:tc>
        <w:tc>
          <w:tcPr>
            <w:tcW w:w="465" w:type="pct"/>
            <w:vMerge w:val="continue"/>
            <w:tcMar>
              <w:left w:w="28" w:type="dxa"/>
              <w:right w:w="28" w:type="dxa"/>
            </w:tcMar>
            <w:vAlign w:val="center"/>
          </w:tcPr>
          <w:p w14:paraId="19D7F097">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7BAFB587">
            <w:pPr>
              <w:spacing w:line="0" w:lineRule="atLeast"/>
              <w:jc w:val="center"/>
              <w:rPr>
                <w:rFonts w:hint="eastAsia" w:hAnsi="宋体" w:cs="宋体"/>
                <w:color w:val="000000"/>
                <w:spacing w:val="-10"/>
                <w:sz w:val="21"/>
                <w:szCs w:val="21"/>
              </w:rPr>
            </w:pPr>
          </w:p>
        </w:tc>
      </w:tr>
      <w:tr w14:paraId="176EC1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21" w:hRule="atLeast"/>
          <w:jc w:val="center"/>
        </w:trPr>
        <w:tc>
          <w:tcPr>
            <w:tcW w:w="241" w:type="pct"/>
            <w:vMerge w:val="continue"/>
            <w:tcMar>
              <w:left w:w="28" w:type="dxa"/>
              <w:right w:w="28" w:type="dxa"/>
            </w:tcMar>
            <w:vAlign w:val="center"/>
          </w:tcPr>
          <w:p w14:paraId="20448EA4">
            <w:pPr>
              <w:spacing w:line="0" w:lineRule="atLeast"/>
              <w:jc w:val="center"/>
              <w:rPr>
                <w:rFonts w:hint="eastAsia" w:hAnsi="宋体" w:cs="宋体"/>
                <w:color w:val="000000"/>
                <w:spacing w:val="-10"/>
                <w:sz w:val="21"/>
                <w:szCs w:val="21"/>
              </w:rPr>
            </w:pPr>
          </w:p>
        </w:tc>
        <w:tc>
          <w:tcPr>
            <w:tcW w:w="245" w:type="pct"/>
            <w:vMerge w:val="continue"/>
            <w:tcMar>
              <w:left w:w="28" w:type="dxa"/>
              <w:right w:w="28" w:type="dxa"/>
            </w:tcMar>
            <w:vAlign w:val="center"/>
          </w:tcPr>
          <w:p w14:paraId="0D426BBC">
            <w:pPr>
              <w:spacing w:line="0" w:lineRule="atLeast"/>
              <w:jc w:val="center"/>
              <w:rPr>
                <w:rFonts w:hint="eastAsia" w:hAnsi="宋体" w:cs="宋体"/>
                <w:color w:val="000000"/>
                <w:spacing w:val="-10"/>
                <w:sz w:val="21"/>
                <w:szCs w:val="21"/>
              </w:rPr>
            </w:pPr>
          </w:p>
        </w:tc>
        <w:tc>
          <w:tcPr>
            <w:tcW w:w="632" w:type="pct"/>
            <w:tcMar>
              <w:left w:w="28" w:type="dxa"/>
              <w:right w:w="28" w:type="dxa"/>
            </w:tcMar>
            <w:vAlign w:val="center"/>
          </w:tcPr>
          <w:p w14:paraId="13E7322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废水</w:t>
            </w:r>
          </w:p>
        </w:tc>
        <w:tc>
          <w:tcPr>
            <w:tcW w:w="2928" w:type="pct"/>
            <w:tcMar>
              <w:left w:w="28" w:type="dxa"/>
              <w:right w:w="28" w:type="dxa"/>
            </w:tcMar>
            <w:vAlign w:val="center"/>
          </w:tcPr>
          <w:p w14:paraId="03FCBD8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试压结束后，试压废水用于洒水抑尘；施工人员生活污水依托塔三联合站公寓生活污水处理装置处理</w:t>
            </w:r>
          </w:p>
        </w:tc>
        <w:tc>
          <w:tcPr>
            <w:tcW w:w="465" w:type="pct"/>
            <w:vMerge w:val="continue"/>
            <w:tcMar>
              <w:left w:w="28" w:type="dxa"/>
              <w:right w:w="28" w:type="dxa"/>
            </w:tcMar>
            <w:vAlign w:val="center"/>
          </w:tcPr>
          <w:p w14:paraId="7354705D">
            <w:pPr>
              <w:spacing w:line="0" w:lineRule="atLeast"/>
              <w:jc w:val="center"/>
              <w:rPr>
                <w:rFonts w:hint="eastAsia" w:hAnsi="宋体" w:cs="宋体"/>
                <w:color w:val="000000"/>
                <w:spacing w:val="-10"/>
                <w:sz w:val="21"/>
                <w:szCs w:val="21"/>
              </w:rPr>
            </w:pPr>
          </w:p>
        </w:tc>
        <w:tc>
          <w:tcPr>
            <w:tcW w:w="489" w:type="pct"/>
            <w:vMerge w:val="continue"/>
            <w:tcMar>
              <w:left w:w="28" w:type="dxa"/>
              <w:right w:w="28" w:type="dxa"/>
            </w:tcMar>
            <w:vAlign w:val="center"/>
          </w:tcPr>
          <w:p w14:paraId="1707EA1C">
            <w:pPr>
              <w:spacing w:line="0" w:lineRule="atLeast"/>
              <w:jc w:val="center"/>
              <w:rPr>
                <w:rFonts w:hint="eastAsia" w:hAnsi="宋体" w:cs="宋体"/>
                <w:color w:val="000000"/>
                <w:spacing w:val="-10"/>
                <w:sz w:val="21"/>
                <w:szCs w:val="21"/>
              </w:rPr>
            </w:pPr>
          </w:p>
        </w:tc>
      </w:tr>
    </w:tbl>
    <w:p w14:paraId="1B0117FD">
      <w:pPr>
        <w:spacing w:line="480" w:lineRule="exact"/>
        <w:ind w:firstLine="526" w:firstLineChars="200"/>
        <w:rPr>
          <w:rFonts w:ascii="黑体" w:hAnsi="黑体" w:eastAsia="黑体"/>
          <w:color w:val="000000"/>
          <w:szCs w:val="24"/>
        </w:rPr>
      </w:pPr>
      <w:r>
        <w:rPr>
          <w:rFonts w:ascii="黑体" w:hAnsi="黑体" w:eastAsia="黑体" w:cs="宋体"/>
          <w:color w:val="000000"/>
          <w:szCs w:val="24"/>
        </w:rPr>
        <w:br w:type="page"/>
      </w:r>
      <w:r>
        <w:rPr>
          <w:rFonts w:hint="eastAsia" w:ascii="黑体" w:hAnsi="黑体" w:eastAsia="黑体" w:cs="宋体"/>
          <w:color w:val="000000"/>
          <w:szCs w:val="24"/>
        </w:rPr>
        <w:t>续表8</w:t>
      </w:r>
      <w:r>
        <w:rPr>
          <w:rFonts w:ascii="黑体" w:hAnsi="黑体" w:eastAsia="黑体" w:cs="宋体"/>
          <w:color w:val="000000"/>
          <w:szCs w:val="24"/>
        </w:rPr>
        <w:t>.1-1</w:t>
      </w:r>
      <w:r>
        <w:rPr>
          <w:rFonts w:ascii="黑体" w:hAnsi="黑体" w:eastAsia="黑体"/>
          <w:color w:val="000000"/>
          <w:szCs w:val="24"/>
        </w:rPr>
        <w:t xml:space="preserve">        </w:t>
      </w:r>
      <w:r>
        <w:rPr>
          <w:rFonts w:hint="eastAsia" w:ascii="黑体" w:hAnsi="黑体" w:eastAsia="黑体"/>
          <w:color w:val="000000"/>
          <w:szCs w:val="24"/>
        </w:rPr>
        <w:t>拟建工程环境管理和监督计划</w:t>
      </w:r>
    </w:p>
    <w:tbl>
      <w:tblPr>
        <w:tblStyle w:val="48"/>
        <w:tblW w:w="500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33"/>
        <w:gridCol w:w="438"/>
        <w:gridCol w:w="32"/>
        <w:gridCol w:w="1111"/>
        <w:gridCol w:w="5287"/>
        <w:gridCol w:w="839"/>
        <w:gridCol w:w="877"/>
      </w:tblGrid>
      <w:tr w14:paraId="5D550D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40" w:type="pct"/>
            <w:tcMar>
              <w:left w:w="28" w:type="dxa"/>
              <w:right w:w="28" w:type="dxa"/>
            </w:tcMar>
            <w:vAlign w:val="center"/>
          </w:tcPr>
          <w:p w14:paraId="601323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阶</w:t>
            </w:r>
          </w:p>
          <w:p w14:paraId="5FF59C4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段</w:t>
            </w:r>
          </w:p>
        </w:tc>
        <w:tc>
          <w:tcPr>
            <w:tcW w:w="877" w:type="pct"/>
            <w:gridSpan w:val="3"/>
            <w:tcMar>
              <w:left w:w="28" w:type="dxa"/>
              <w:right w:w="28" w:type="dxa"/>
            </w:tcMar>
            <w:vAlign w:val="center"/>
          </w:tcPr>
          <w:p w14:paraId="619179D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影响因素</w:t>
            </w:r>
          </w:p>
        </w:tc>
        <w:tc>
          <w:tcPr>
            <w:tcW w:w="2931" w:type="pct"/>
            <w:tcMar>
              <w:left w:w="28" w:type="dxa"/>
              <w:right w:w="28" w:type="dxa"/>
            </w:tcMar>
            <w:vAlign w:val="center"/>
          </w:tcPr>
          <w:p w14:paraId="5857F3A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防治措施建议</w:t>
            </w:r>
          </w:p>
        </w:tc>
        <w:tc>
          <w:tcPr>
            <w:tcW w:w="465" w:type="pct"/>
            <w:tcMar>
              <w:left w:w="28" w:type="dxa"/>
              <w:right w:w="28" w:type="dxa"/>
            </w:tcMar>
            <w:vAlign w:val="center"/>
          </w:tcPr>
          <w:p w14:paraId="58331E4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实施</w:t>
            </w:r>
          </w:p>
          <w:p w14:paraId="4C88808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机构</w:t>
            </w:r>
          </w:p>
        </w:tc>
        <w:tc>
          <w:tcPr>
            <w:tcW w:w="486" w:type="pct"/>
            <w:tcMar>
              <w:left w:w="28" w:type="dxa"/>
              <w:right w:w="28" w:type="dxa"/>
            </w:tcMar>
            <w:vAlign w:val="center"/>
          </w:tcPr>
          <w:p w14:paraId="72FD410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监督管理机构</w:t>
            </w:r>
          </w:p>
        </w:tc>
      </w:tr>
      <w:tr w14:paraId="0A5F00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31" w:hRule="atLeast"/>
          <w:jc w:val="center"/>
        </w:trPr>
        <w:tc>
          <w:tcPr>
            <w:tcW w:w="240" w:type="pct"/>
            <w:vMerge w:val="restart"/>
            <w:tcMar>
              <w:left w:w="28" w:type="dxa"/>
              <w:right w:w="28" w:type="dxa"/>
            </w:tcMar>
            <w:vAlign w:val="center"/>
          </w:tcPr>
          <w:p w14:paraId="76242AB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c>
          <w:tcPr>
            <w:tcW w:w="243" w:type="pct"/>
            <w:vMerge w:val="restart"/>
            <w:tcMar>
              <w:left w:w="28" w:type="dxa"/>
              <w:right w:w="28" w:type="dxa"/>
            </w:tcMar>
            <w:vAlign w:val="center"/>
          </w:tcPr>
          <w:p w14:paraId="12227E6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w:t>
            </w:r>
          </w:p>
        </w:tc>
        <w:tc>
          <w:tcPr>
            <w:tcW w:w="633" w:type="pct"/>
            <w:gridSpan w:val="2"/>
            <w:tcMar>
              <w:left w:w="28" w:type="dxa"/>
              <w:right w:w="28" w:type="dxa"/>
            </w:tcMar>
            <w:vAlign w:val="center"/>
          </w:tcPr>
          <w:p w14:paraId="2D4AD4A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固体废物</w:t>
            </w:r>
          </w:p>
        </w:tc>
        <w:tc>
          <w:tcPr>
            <w:tcW w:w="2931" w:type="pct"/>
            <w:tcMar>
              <w:left w:w="28" w:type="dxa"/>
              <w:right w:w="28" w:type="dxa"/>
            </w:tcMar>
            <w:vAlign w:val="center"/>
          </w:tcPr>
          <w:p w14:paraId="1CF8B1B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过程中产生的土方全部用于管沟回填；施工废料应首先考虑回收利用，不可回收利用部分收集后送至塔中固废填埋场填埋处置；清管废渣及废防渗膜桶装收集后由区域具有危废处置资质的公司接收处置；生活垃圾定期清运至塔中固废填埋场填埋处置</w:t>
            </w:r>
          </w:p>
        </w:tc>
        <w:tc>
          <w:tcPr>
            <w:tcW w:w="465" w:type="pct"/>
            <w:vMerge w:val="restart"/>
            <w:tcMar>
              <w:left w:w="28" w:type="dxa"/>
              <w:right w:w="28" w:type="dxa"/>
            </w:tcMar>
            <w:vAlign w:val="center"/>
          </w:tcPr>
          <w:p w14:paraId="748FAD5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施工单位、环境监理单位及建设单位</w:t>
            </w:r>
          </w:p>
        </w:tc>
        <w:tc>
          <w:tcPr>
            <w:tcW w:w="486" w:type="pct"/>
            <w:vMerge w:val="restart"/>
            <w:tcMar>
              <w:left w:w="28" w:type="dxa"/>
              <w:right w:w="28" w:type="dxa"/>
            </w:tcMar>
            <w:vAlign w:val="center"/>
          </w:tcPr>
          <w:p w14:paraId="6E24F04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建设单位环保部门及当地生态环境</w:t>
            </w:r>
          </w:p>
          <w:p w14:paraId="5B85275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主管部门</w:t>
            </w:r>
          </w:p>
        </w:tc>
      </w:tr>
      <w:tr w14:paraId="4304C6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48" w:hRule="atLeast"/>
          <w:jc w:val="center"/>
        </w:trPr>
        <w:tc>
          <w:tcPr>
            <w:tcW w:w="240" w:type="pct"/>
            <w:vMerge w:val="continue"/>
            <w:tcMar>
              <w:left w:w="28" w:type="dxa"/>
              <w:right w:w="28" w:type="dxa"/>
            </w:tcMar>
            <w:vAlign w:val="center"/>
          </w:tcPr>
          <w:p w14:paraId="43C13811">
            <w:pPr>
              <w:spacing w:line="0" w:lineRule="atLeast"/>
              <w:jc w:val="center"/>
              <w:rPr>
                <w:rFonts w:hint="eastAsia" w:hAnsi="宋体" w:cs="宋体"/>
                <w:color w:val="000000"/>
                <w:spacing w:val="-10"/>
                <w:sz w:val="21"/>
                <w:szCs w:val="21"/>
              </w:rPr>
            </w:pPr>
          </w:p>
        </w:tc>
        <w:tc>
          <w:tcPr>
            <w:tcW w:w="243" w:type="pct"/>
            <w:vMerge w:val="continue"/>
            <w:tcMar>
              <w:left w:w="28" w:type="dxa"/>
              <w:right w:w="28" w:type="dxa"/>
            </w:tcMar>
            <w:vAlign w:val="center"/>
          </w:tcPr>
          <w:p w14:paraId="5127B1EC">
            <w:pPr>
              <w:spacing w:line="0" w:lineRule="atLeast"/>
              <w:jc w:val="center"/>
              <w:rPr>
                <w:rFonts w:hint="eastAsia" w:hAnsi="宋体" w:cs="宋体"/>
                <w:color w:val="000000"/>
                <w:spacing w:val="-10"/>
                <w:sz w:val="21"/>
                <w:szCs w:val="21"/>
              </w:rPr>
            </w:pPr>
          </w:p>
        </w:tc>
        <w:tc>
          <w:tcPr>
            <w:tcW w:w="633" w:type="pct"/>
            <w:gridSpan w:val="2"/>
            <w:tcMar>
              <w:left w:w="28" w:type="dxa"/>
              <w:right w:w="28" w:type="dxa"/>
            </w:tcMar>
            <w:vAlign w:val="center"/>
          </w:tcPr>
          <w:p w14:paraId="5977A73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噪声</w:t>
            </w:r>
          </w:p>
        </w:tc>
        <w:tc>
          <w:tcPr>
            <w:tcW w:w="2931" w:type="pct"/>
            <w:tcMar>
              <w:left w:w="28" w:type="dxa"/>
              <w:right w:w="28" w:type="dxa"/>
            </w:tcMar>
            <w:vAlign w:val="center"/>
          </w:tcPr>
          <w:p w14:paraId="28286D5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选用低噪声的设备、保持设施良好的运行工况，选择合理的施工时间等</w:t>
            </w:r>
          </w:p>
        </w:tc>
        <w:tc>
          <w:tcPr>
            <w:tcW w:w="465" w:type="pct"/>
            <w:vMerge w:val="continue"/>
            <w:tcMar>
              <w:left w:w="28" w:type="dxa"/>
              <w:right w:w="28" w:type="dxa"/>
            </w:tcMar>
            <w:vAlign w:val="center"/>
          </w:tcPr>
          <w:p w14:paraId="791AE3AF">
            <w:pPr>
              <w:spacing w:line="0" w:lineRule="atLeast"/>
              <w:jc w:val="center"/>
              <w:rPr>
                <w:rFonts w:hint="eastAsia" w:hAnsi="宋体" w:cs="宋体"/>
                <w:color w:val="000000"/>
                <w:spacing w:val="-10"/>
                <w:sz w:val="21"/>
                <w:szCs w:val="21"/>
              </w:rPr>
            </w:pPr>
          </w:p>
        </w:tc>
        <w:tc>
          <w:tcPr>
            <w:tcW w:w="486" w:type="pct"/>
            <w:vMerge w:val="continue"/>
            <w:tcMar>
              <w:left w:w="28" w:type="dxa"/>
              <w:right w:w="28" w:type="dxa"/>
            </w:tcMar>
            <w:vAlign w:val="center"/>
          </w:tcPr>
          <w:p w14:paraId="5F4F6BB7">
            <w:pPr>
              <w:spacing w:line="0" w:lineRule="atLeast"/>
              <w:jc w:val="center"/>
              <w:rPr>
                <w:rFonts w:hint="eastAsia" w:hAnsi="宋体" w:cs="宋体"/>
                <w:color w:val="000000"/>
                <w:spacing w:val="-10"/>
                <w:sz w:val="21"/>
                <w:szCs w:val="21"/>
              </w:rPr>
            </w:pPr>
          </w:p>
        </w:tc>
      </w:tr>
      <w:tr w14:paraId="64F05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40" w:type="pct"/>
            <w:tcMar>
              <w:left w:w="28" w:type="dxa"/>
              <w:right w:w="28" w:type="dxa"/>
            </w:tcMar>
            <w:vAlign w:val="center"/>
          </w:tcPr>
          <w:p w14:paraId="1E92AE8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运营期</w:t>
            </w:r>
          </w:p>
        </w:tc>
        <w:tc>
          <w:tcPr>
            <w:tcW w:w="877" w:type="pct"/>
            <w:gridSpan w:val="3"/>
            <w:tcMar>
              <w:left w:w="28" w:type="dxa"/>
              <w:right w:w="28" w:type="dxa"/>
            </w:tcMar>
            <w:vAlign w:val="center"/>
          </w:tcPr>
          <w:p w14:paraId="00C0752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事故风险</w:t>
            </w:r>
          </w:p>
        </w:tc>
        <w:tc>
          <w:tcPr>
            <w:tcW w:w="2931" w:type="pct"/>
            <w:tcMar>
              <w:left w:w="28" w:type="dxa"/>
              <w:right w:w="28" w:type="dxa"/>
            </w:tcMar>
            <w:vAlign w:val="center"/>
          </w:tcPr>
          <w:p w14:paraId="564C739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事故预防及油气泄漏应急预案</w:t>
            </w:r>
          </w:p>
        </w:tc>
        <w:tc>
          <w:tcPr>
            <w:tcW w:w="465" w:type="pct"/>
            <w:tcMar>
              <w:left w:w="28" w:type="dxa"/>
              <w:right w:w="28" w:type="dxa"/>
            </w:tcMar>
            <w:vAlign w:val="center"/>
          </w:tcPr>
          <w:p w14:paraId="5ECFAE7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w:t>
            </w:r>
          </w:p>
          <w:p w14:paraId="7DD555C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单位</w:t>
            </w:r>
          </w:p>
        </w:tc>
        <w:tc>
          <w:tcPr>
            <w:tcW w:w="486" w:type="pct"/>
            <w:tcMar>
              <w:left w:w="28" w:type="dxa"/>
              <w:right w:w="28" w:type="dxa"/>
            </w:tcMar>
            <w:vAlign w:val="center"/>
          </w:tcPr>
          <w:p w14:paraId="3FF3B9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当地生态环境主管部门</w:t>
            </w:r>
          </w:p>
        </w:tc>
      </w:tr>
      <w:tr w14:paraId="360D5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73" w:hRule="atLeast"/>
          <w:jc w:val="center"/>
        </w:trPr>
        <w:tc>
          <w:tcPr>
            <w:tcW w:w="240" w:type="pct"/>
            <w:vMerge w:val="restart"/>
            <w:tcMar>
              <w:left w:w="28" w:type="dxa"/>
              <w:right w:w="28" w:type="dxa"/>
            </w:tcMar>
            <w:vAlign w:val="center"/>
          </w:tcPr>
          <w:p w14:paraId="47F007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退役期</w:t>
            </w:r>
          </w:p>
        </w:tc>
        <w:tc>
          <w:tcPr>
            <w:tcW w:w="261" w:type="pct"/>
            <w:gridSpan w:val="2"/>
            <w:vMerge w:val="restart"/>
            <w:tcMar>
              <w:left w:w="28" w:type="dxa"/>
              <w:right w:w="28" w:type="dxa"/>
            </w:tcMar>
            <w:vAlign w:val="center"/>
          </w:tcPr>
          <w:p w14:paraId="7BB7AEF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污染防治</w:t>
            </w:r>
          </w:p>
        </w:tc>
        <w:tc>
          <w:tcPr>
            <w:tcW w:w="616" w:type="pct"/>
            <w:tcMar>
              <w:left w:w="28" w:type="dxa"/>
              <w:right w:w="28" w:type="dxa"/>
            </w:tcMar>
            <w:vAlign w:val="center"/>
          </w:tcPr>
          <w:p w14:paraId="7D667E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废水</w:t>
            </w:r>
          </w:p>
        </w:tc>
        <w:tc>
          <w:tcPr>
            <w:tcW w:w="2931" w:type="pct"/>
            <w:tcMar>
              <w:left w:w="28" w:type="dxa"/>
              <w:right w:w="28" w:type="dxa"/>
            </w:tcMar>
            <w:vAlign w:val="center"/>
          </w:tcPr>
          <w:p w14:paraId="7E1DA2E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废弃管道清洗废水依托周边联合站处理</w:t>
            </w:r>
          </w:p>
        </w:tc>
        <w:tc>
          <w:tcPr>
            <w:tcW w:w="465" w:type="pct"/>
            <w:vMerge w:val="restart"/>
            <w:tcMar>
              <w:left w:w="28" w:type="dxa"/>
              <w:right w:w="28" w:type="dxa"/>
            </w:tcMar>
            <w:vAlign w:val="center"/>
          </w:tcPr>
          <w:p w14:paraId="1F1F08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施工单位及建设单位</w:t>
            </w:r>
          </w:p>
        </w:tc>
        <w:tc>
          <w:tcPr>
            <w:tcW w:w="486" w:type="pct"/>
            <w:vMerge w:val="restart"/>
            <w:tcMar>
              <w:left w:w="28" w:type="dxa"/>
              <w:right w:w="28" w:type="dxa"/>
            </w:tcMar>
            <w:vAlign w:val="center"/>
          </w:tcPr>
          <w:p w14:paraId="5E1A2D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建设单位环保部门及当地生态环境</w:t>
            </w:r>
          </w:p>
          <w:p w14:paraId="714D6B7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主管部门</w:t>
            </w:r>
          </w:p>
        </w:tc>
      </w:tr>
      <w:tr w14:paraId="23A7DF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09" w:hRule="atLeast"/>
          <w:jc w:val="center"/>
        </w:trPr>
        <w:tc>
          <w:tcPr>
            <w:tcW w:w="240" w:type="pct"/>
            <w:vMerge w:val="continue"/>
            <w:tcMar>
              <w:left w:w="28" w:type="dxa"/>
              <w:right w:w="28" w:type="dxa"/>
            </w:tcMar>
            <w:vAlign w:val="center"/>
          </w:tcPr>
          <w:p w14:paraId="55E9B29E">
            <w:pPr>
              <w:spacing w:line="0" w:lineRule="atLeast"/>
              <w:jc w:val="center"/>
              <w:rPr>
                <w:rFonts w:hint="eastAsia" w:hAnsi="宋体" w:cs="宋体"/>
                <w:color w:val="000000"/>
                <w:spacing w:val="-10"/>
                <w:sz w:val="21"/>
                <w:szCs w:val="21"/>
              </w:rPr>
            </w:pPr>
          </w:p>
        </w:tc>
        <w:tc>
          <w:tcPr>
            <w:tcW w:w="261" w:type="pct"/>
            <w:gridSpan w:val="2"/>
            <w:vMerge w:val="continue"/>
            <w:tcMar>
              <w:left w:w="28" w:type="dxa"/>
              <w:right w:w="28" w:type="dxa"/>
            </w:tcMar>
            <w:vAlign w:val="center"/>
          </w:tcPr>
          <w:p w14:paraId="71191153">
            <w:pPr>
              <w:spacing w:line="0" w:lineRule="atLeast"/>
              <w:jc w:val="center"/>
              <w:rPr>
                <w:rFonts w:hint="eastAsia" w:hAnsi="宋体" w:cs="宋体"/>
                <w:color w:val="000000"/>
                <w:spacing w:val="-10"/>
                <w:sz w:val="21"/>
                <w:szCs w:val="21"/>
              </w:rPr>
            </w:pPr>
          </w:p>
        </w:tc>
        <w:tc>
          <w:tcPr>
            <w:tcW w:w="616" w:type="pct"/>
            <w:tcMar>
              <w:left w:w="28" w:type="dxa"/>
              <w:right w:w="28" w:type="dxa"/>
            </w:tcMar>
            <w:vAlign w:val="center"/>
          </w:tcPr>
          <w:p w14:paraId="3BD22A9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固体废物</w:t>
            </w:r>
          </w:p>
        </w:tc>
        <w:tc>
          <w:tcPr>
            <w:tcW w:w="2931" w:type="pct"/>
            <w:tcMar>
              <w:left w:w="28" w:type="dxa"/>
              <w:right w:w="28" w:type="dxa"/>
            </w:tcMar>
            <w:vAlign w:val="center"/>
          </w:tcPr>
          <w:p w14:paraId="407028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废弃管线维持现状，避免因开挖管线对区域生态环境造成二次破坏，管线内物质应清空干净，并按要求进行清洗，确保管线内无残留采出液，管线两端使用盲板封堵</w:t>
            </w:r>
          </w:p>
        </w:tc>
        <w:tc>
          <w:tcPr>
            <w:tcW w:w="465" w:type="pct"/>
            <w:vMerge w:val="continue"/>
            <w:tcMar>
              <w:left w:w="28" w:type="dxa"/>
              <w:right w:w="28" w:type="dxa"/>
            </w:tcMar>
            <w:vAlign w:val="center"/>
          </w:tcPr>
          <w:p w14:paraId="7DE5B082">
            <w:pPr>
              <w:spacing w:line="0" w:lineRule="atLeast"/>
              <w:jc w:val="center"/>
              <w:rPr>
                <w:rFonts w:hint="eastAsia" w:hAnsi="宋体" w:cs="宋体"/>
                <w:color w:val="000000"/>
                <w:spacing w:val="-10"/>
                <w:sz w:val="21"/>
                <w:szCs w:val="21"/>
              </w:rPr>
            </w:pPr>
          </w:p>
        </w:tc>
        <w:tc>
          <w:tcPr>
            <w:tcW w:w="486" w:type="pct"/>
            <w:vMerge w:val="continue"/>
            <w:tcMar>
              <w:left w:w="28" w:type="dxa"/>
              <w:right w:w="28" w:type="dxa"/>
            </w:tcMar>
            <w:vAlign w:val="center"/>
          </w:tcPr>
          <w:p w14:paraId="6EB4B873">
            <w:pPr>
              <w:spacing w:line="0" w:lineRule="atLeast"/>
              <w:jc w:val="center"/>
              <w:rPr>
                <w:rFonts w:hint="eastAsia" w:hAnsi="宋体" w:cs="宋体"/>
                <w:color w:val="000000"/>
                <w:spacing w:val="-10"/>
                <w:sz w:val="21"/>
                <w:szCs w:val="21"/>
              </w:rPr>
            </w:pPr>
          </w:p>
        </w:tc>
      </w:tr>
      <w:tr w14:paraId="44D9F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43" w:hRule="atLeast"/>
          <w:jc w:val="center"/>
        </w:trPr>
        <w:tc>
          <w:tcPr>
            <w:tcW w:w="240" w:type="pct"/>
            <w:vMerge w:val="continue"/>
            <w:tcMar>
              <w:left w:w="28" w:type="dxa"/>
              <w:right w:w="28" w:type="dxa"/>
            </w:tcMar>
            <w:vAlign w:val="center"/>
          </w:tcPr>
          <w:p w14:paraId="29CDC2ED">
            <w:pPr>
              <w:spacing w:line="0" w:lineRule="atLeast"/>
              <w:jc w:val="center"/>
              <w:rPr>
                <w:rFonts w:hint="eastAsia" w:hAnsi="宋体" w:cs="宋体"/>
                <w:color w:val="000000"/>
                <w:spacing w:val="-10"/>
                <w:sz w:val="21"/>
                <w:szCs w:val="21"/>
              </w:rPr>
            </w:pPr>
          </w:p>
        </w:tc>
        <w:tc>
          <w:tcPr>
            <w:tcW w:w="877" w:type="pct"/>
            <w:gridSpan w:val="3"/>
            <w:tcMar>
              <w:left w:w="28" w:type="dxa"/>
              <w:right w:w="28" w:type="dxa"/>
            </w:tcMar>
            <w:vAlign w:val="center"/>
          </w:tcPr>
          <w:p w14:paraId="591BF4E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生态恢复</w:t>
            </w:r>
          </w:p>
        </w:tc>
        <w:tc>
          <w:tcPr>
            <w:tcW w:w="2931" w:type="pct"/>
            <w:tcMar>
              <w:left w:w="28" w:type="dxa"/>
              <w:right w:w="28" w:type="dxa"/>
            </w:tcMar>
            <w:vAlign w:val="center"/>
          </w:tcPr>
          <w:p w14:paraId="5B48F3E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废弃管线维持现状，避免因开挖管线对区域生态环境造成二次破坏</w:t>
            </w:r>
          </w:p>
        </w:tc>
        <w:tc>
          <w:tcPr>
            <w:tcW w:w="465" w:type="pct"/>
            <w:vMerge w:val="continue"/>
            <w:tcMar>
              <w:left w:w="28" w:type="dxa"/>
              <w:right w:w="28" w:type="dxa"/>
            </w:tcMar>
            <w:vAlign w:val="center"/>
          </w:tcPr>
          <w:p w14:paraId="5843B28B">
            <w:pPr>
              <w:spacing w:line="0" w:lineRule="atLeast"/>
              <w:jc w:val="center"/>
              <w:rPr>
                <w:rFonts w:hint="eastAsia" w:hAnsi="宋体" w:cs="宋体"/>
                <w:color w:val="000000"/>
                <w:spacing w:val="-10"/>
                <w:sz w:val="21"/>
                <w:szCs w:val="21"/>
              </w:rPr>
            </w:pPr>
          </w:p>
        </w:tc>
        <w:tc>
          <w:tcPr>
            <w:tcW w:w="486" w:type="pct"/>
            <w:vMerge w:val="continue"/>
            <w:tcMar>
              <w:left w:w="28" w:type="dxa"/>
              <w:right w:w="28" w:type="dxa"/>
            </w:tcMar>
            <w:vAlign w:val="center"/>
          </w:tcPr>
          <w:p w14:paraId="25C6A168">
            <w:pPr>
              <w:spacing w:line="0" w:lineRule="atLeast"/>
              <w:jc w:val="center"/>
              <w:rPr>
                <w:rFonts w:hint="eastAsia" w:hAnsi="宋体" w:cs="宋体"/>
                <w:color w:val="000000"/>
                <w:spacing w:val="-10"/>
                <w:sz w:val="21"/>
                <w:szCs w:val="21"/>
              </w:rPr>
            </w:pPr>
          </w:p>
        </w:tc>
      </w:tr>
    </w:tbl>
    <w:p w14:paraId="2272B8E0">
      <w:pPr>
        <w:adjustRightInd w:val="0"/>
        <w:spacing w:before="240" w:line="480" w:lineRule="exact"/>
        <w:outlineLvl w:val="2"/>
        <w:rPr>
          <w:rFonts w:hAnsi="宋体" w:cs="宋体"/>
          <w:color w:val="000000"/>
          <w:szCs w:val="24"/>
        </w:rPr>
      </w:pPr>
      <w:bookmarkStart w:id="311" w:name="_Toc67990139"/>
      <w:r>
        <w:rPr>
          <w:rFonts w:hint="eastAsia" w:hAnsi="宋体" w:cs="宋体"/>
          <w:color w:val="000000"/>
          <w:szCs w:val="24"/>
        </w:rPr>
        <w:t>8.1.6 环境监理</w:t>
      </w:r>
    </w:p>
    <w:p w14:paraId="062A0BE5">
      <w:pPr>
        <w:tabs>
          <w:tab w:val="left" w:pos="789"/>
        </w:tabs>
        <w:spacing w:line="500" w:lineRule="exact"/>
        <w:ind w:firstLine="540"/>
        <w:rPr>
          <w:rFonts w:hAnsi="宋体"/>
          <w:color w:val="000000"/>
          <w:szCs w:val="24"/>
        </w:rPr>
      </w:pPr>
      <w:r>
        <w:rPr>
          <w:rFonts w:hint="eastAsia" w:hAnsi="宋体"/>
          <w:color w:val="000000"/>
          <w:szCs w:val="24"/>
        </w:rPr>
        <w:t>根据《新疆维吾尔自治区环境保护条例（2018年修正）》，拟建工程施工期对周边环境造成一定影响，在施工阶段应积极开展环境监理工作。建设单位应在项目实施之前与监理单位签订合同，并要求监理单位按照合同文件要求在施工期介入环境监理。可采取巡视、旁站等环境监理方式对施工期污染防治措施、项目建设内容、配套环保设施、生态保护措施、环境管理制度、环境敏感目标等与环评及批复文件的符合性进行监理。</w:t>
      </w:r>
    </w:p>
    <w:p w14:paraId="49EB783D">
      <w:pPr>
        <w:adjustRightInd w:val="0"/>
        <w:spacing w:line="480" w:lineRule="exact"/>
        <w:outlineLvl w:val="2"/>
        <w:rPr>
          <w:rFonts w:hAnsi="宋体" w:cs="宋体"/>
          <w:color w:val="000000"/>
          <w:szCs w:val="24"/>
        </w:rPr>
      </w:pPr>
      <w:r>
        <w:rPr>
          <w:rFonts w:hint="eastAsia" w:hAnsi="宋体" w:cs="宋体"/>
          <w:color w:val="000000"/>
          <w:szCs w:val="24"/>
        </w:rPr>
        <w:t>8.1.7 环境影响后评价</w:t>
      </w:r>
    </w:p>
    <w:p w14:paraId="09D66951">
      <w:pPr>
        <w:spacing w:line="500" w:lineRule="exact"/>
        <w:ind w:firstLine="526" w:firstLineChars="200"/>
        <w:rPr>
          <w:rFonts w:hAnsi="宋体"/>
          <w:color w:val="000000"/>
          <w:szCs w:val="24"/>
        </w:rPr>
      </w:pPr>
      <w:r>
        <w:rPr>
          <w:rFonts w:hint="eastAsia" w:hAnsi="宋体"/>
          <w:color w:val="000000"/>
          <w:szCs w:val="24"/>
        </w:rPr>
        <w:t>根据《中华人民共和国环境影响评价法》（</w:t>
      </w:r>
      <w:r>
        <w:rPr>
          <w:rFonts w:hint="eastAsia" w:hAnsi="宋体" w:cs="宋体"/>
          <w:color w:val="000000"/>
          <w:szCs w:val="24"/>
        </w:rPr>
        <w:t>中华人民共和国主席令第九号）</w:t>
      </w:r>
      <w:r>
        <w:rPr>
          <w:rFonts w:hint="eastAsia" w:hAnsi="宋体"/>
          <w:color w:val="000000"/>
          <w:szCs w:val="24"/>
        </w:rPr>
        <w:t>、《建设项目环境影响后评价管理办法（试行）》（</w:t>
      </w:r>
      <w:r>
        <w:rPr>
          <w:rFonts w:hint="eastAsia" w:hAnsi="宋体"/>
          <w:color w:val="000000"/>
          <w:szCs w:val="24"/>
          <w:lang w:val="en-US" w:eastAsia="zh-CN"/>
        </w:rPr>
        <w:t>生态环境部</w:t>
      </w:r>
      <w:r>
        <w:rPr>
          <w:rFonts w:hint="eastAsia" w:hAnsi="宋体"/>
          <w:color w:val="000000"/>
          <w:szCs w:val="24"/>
        </w:rPr>
        <w:t xml:space="preserve"> 部令第37号）、《关于进一步加强和规范油气田开发项目环境保护管理工作的通知》（新环发〔2018〕133号）、《关于进一步加强石油天然气行业环境影响评价的通知》（</w:t>
      </w:r>
      <w:r>
        <w:rPr>
          <w:rFonts w:hint="eastAsia" w:hAnsi="宋体" w:cs="宋体"/>
          <w:color w:val="000000"/>
          <w:szCs w:val="24"/>
          <w:lang w:bidi="ar"/>
        </w:rPr>
        <w:t>环办环评函〔2019〕910号）</w:t>
      </w:r>
      <w:r>
        <w:rPr>
          <w:rFonts w:hint="eastAsia" w:hAnsi="宋体"/>
          <w:color w:val="000000"/>
          <w:szCs w:val="24"/>
        </w:rPr>
        <w:t>、《关于加强建设项目环境影响后评价管理的通知》（新环环评发〔2020〕162号）要求，油气田开发业主单位对区域内通过环境影响评价审批并通过环境保护设施竣工验收且稳定运行满5年的建设项目，须组织开展环境影响后评价工作。</w:t>
      </w:r>
    </w:p>
    <w:p w14:paraId="3F771867">
      <w:pPr>
        <w:pStyle w:val="34"/>
        <w:spacing w:line="500" w:lineRule="exact"/>
        <w:ind w:firstLine="526" w:firstLineChars="200"/>
        <w:rPr>
          <w:rFonts w:hint="default" w:ascii="宋体" w:hAnsi="宋体" w:cs="宋体"/>
          <w:b w:val="0"/>
          <w:color w:val="000000"/>
          <w:szCs w:val="24"/>
          <w:lang w:bidi="ar"/>
        </w:rPr>
      </w:pPr>
      <w:r>
        <w:rPr>
          <w:rFonts w:ascii="宋体" w:hAnsi="宋体" w:cs="宋体"/>
          <w:b w:val="0"/>
          <w:color w:val="000000"/>
          <w:szCs w:val="24"/>
          <w:lang w:bidi="ar"/>
        </w:rPr>
        <w:t>拟建工程实施后，区域管线等工程内容发生变化，应在5年内以区块为单位继续开展环境影响后评价工作，对项目实际产生的环境影响以及污染防治、生态保护和风险防范措施的有效性进行跟踪监测和验证评价，对存在问题提出补救方案或者改进措施，不断完善和提高建设项目环境影响评价的有效性，切实落实各项环境保护措施接受生态环境部门的监督检查。</w:t>
      </w:r>
    </w:p>
    <w:p w14:paraId="2651E814">
      <w:pPr>
        <w:spacing w:line="500" w:lineRule="exact"/>
        <w:outlineLvl w:val="2"/>
        <w:rPr>
          <w:rFonts w:hAnsi="宋体"/>
          <w:color w:val="000000"/>
          <w:szCs w:val="24"/>
        </w:rPr>
      </w:pPr>
      <w:r>
        <w:rPr>
          <w:rFonts w:hint="eastAsia" w:hAnsi="宋体"/>
          <w:color w:val="000000"/>
          <w:szCs w:val="24"/>
        </w:rPr>
        <w:t>8.1.8 排污许可</w:t>
      </w:r>
    </w:p>
    <w:p w14:paraId="0E20DBC7">
      <w:pPr>
        <w:pStyle w:val="34"/>
        <w:spacing w:line="500" w:lineRule="exact"/>
        <w:ind w:firstLine="526" w:firstLineChars="200"/>
        <w:rPr>
          <w:rFonts w:hint="default" w:ascii="宋体" w:hAnsi="宋体" w:cs="宋体"/>
          <w:b w:val="0"/>
          <w:color w:val="000000"/>
          <w:szCs w:val="24"/>
        </w:rPr>
      </w:pPr>
      <w:r>
        <w:rPr>
          <w:rFonts w:ascii="宋体" w:hAnsi="宋体" w:cs="宋体"/>
          <w:b w:val="0"/>
          <w:color w:val="000000"/>
          <w:szCs w:val="24"/>
        </w:rPr>
        <w:t>根据《排污许可证申请与核发技术规范 总则》（HJ942-2018）、《排污许可证申请与核发技术规范 工业固体废物（试行）》（HJ1200-2021）、《排污许可证申请与核发技术规范 工业噪声》（HJ1301-2023）、《排污单位自行监测技术指南 总则》（HJ819-2017）及《关于进一步做好环境影响评价与排污许可衔接工作的通知》（环办环评〔2017〕84号），拟建工程应纳入塔里木油田分公司塔中采油气管理区排污许可管理，同时塔中采油气管理区应进一步完善排污许可变更、自行监测制度及排污口规范化管理制度等。</w:t>
      </w:r>
    </w:p>
    <w:p w14:paraId="77F4A58C">
      <w:pPr>
        <w:spacing w:line="500" w:lineRule="exact"/>
        <w:outlineLvl w:val="1"/>
        <w:rPr>
          <w:rFonts w:ascii="黑体" w:hAnsi="黑体" w:eastAsia="黑体" w:cs="黑体"/>
          <w:color w:val="000000"/>
          <w:sz w:val="28"/>
          <w:szCs w:val="28"/>
          <w:lang w:bidi="ar"/>
        </w:rPr>
      </w:pPr>
      <w:bookmarkStart w:id="312" w:name="_Toc198040362"/>
      <w:bookmarkStart w:id="313" w:name="_Toc208474710"/>
      <w:bookmarkStart w:id="314" w:name="_Toc198040218"/>
      <w:bookmarkStart w:id="315" w:name="_Toc230178822"/>
      <w:bookmarkStart w:id="316" w:name="_Toc21543"/>
      <w:r>
        <w:rPr>
          <w:rFonts w:hint="eastAsia" w:ascii="黑体" w:hAnsi="黑体" w:eastAsia="黑体" w:cs="黑体"/>
          <w:color w:val="000000"/>
          <w:sz w:val="28"/>
          <w:szCs w:val="28"/>
          <w:lang w:bidi="ar"/>
        </w:rPr>
        <w:t>8.2 企业环境信息</w:t>
      </w:r>
      <w:bookmarkEnd w:id="311"/>
      <w:r>
        <w:rPr>
          <w:rFonts w:hint="eastAsia" w:ascii="黑体" w:hAnsi="黑体" w:eastAsia="黑体" w:cs="黑体"/>
          <w:color w:val="000000"/>
          <w:sz w:val="28"/>
          <w:szCs w:val="28"/>
          <w:lang w:bidi="ar"/>
        </w:rPr>
        <w:t>披露</w:t>
      </w:r>
      <w:bookmarkEnd w:id="312"/>
      <w:bookmarkEnd w:id="313"/>
      <w:bookmarkEnd w:id="314"/>
      <w:bookmarkEnd w:id="315"/>
      <w:bookmarkEnd w:id="316"/>
    </w:p>
    <w:p w14:paraId="6BB26B51">
      <w:pPr>
        <w:spacing w:line="500" w:lineRule="exact"/>
        <w:outlineLvl w:val="2"/>
        <w:rPr>
          <w:rFonts w:hAnsi="宋体"/>
          <w:color w:val="000000"/>
          <w:szCs w:val="24"/>
        </w:rPr>
      </w:pPr>
      <w:r>
        <w:rPr>
          <w:rFonts w:hint="eastAsia" w:hAnsi="宋体"/>
          <w:color w:val="000000"/>
          <w:szCs w:val="24"/>
        </w:rPr>
        <w:t>8.2.1 披露内容</w:t>
      </w:r>
    </w:p>
    <w:p w14:paraId="4E7573F9">
      <w:pPr>
        <w:spacing w:line="500" w:lineRule="exact"/>
        <w:ind w:firstLine="526" w:firstLineChars="200"/>
        <w:rPr>
          <w:rFonts w:hAnsi="宋体"/>
          <w:color w:val="000000"/>
          <w:szCs w:val="24"/>
        </w:rPr>
      </w:pPr>
      <w:r>
        <w:rPr>
          <w:rFonts w:hint="eastAsia" w:hAnsi="宋体"/>
          <w:color w:val="000000"/>
          <w:szCs w:val="24"/>
        </w:rPr>
        <w:t>（1）基础信息</w:t>
      </w:r>
    </w:p>
    <w:p w14:paraId="3ADCB616">
      <w:pPr>
        <w:spacing w:line="500" w:lineRule="exact"/>
        <w:ind w:firstLine="526" w:firstLineChars="200"/>
        <w:rPr>
          <w:rFonts w:hAnsi="宋体"/>
          <w:color w:val="000000"/>
          <w:szCs w:val="24"/>
        </w:rPr>
      </w:pPr>
      <w:r>
        <w:rPr>
          <w:rFonts w:hint="eastAsia" w:hAnsi="宋体"/>
          <w:color w:val="000000"/>
          <w:szCs w:val="24"/>
        </w:rPr>
        <w:t>企业名称：中国石油天然气股份有限公司塔里木油田分公司</w:t>
      </w:r>
    </w:p>
    <w:p w14:paraId="608D9E99">
      <w:pPr>
        <w:spacing w:line="500" w:lineRule="exact"/>
        <w:ind w:firstLine="526" w:firstLineChars="200"/>
        <w:rPr>
          <w:rFonts w:hint="eastAsia" w:hAnsi="宋体"/>
          <w:color w:val="000000"/>
          <w:szCs w:val="24"/>
        </w:rPr>
      </w:pPr>
      <w:r>
        <w:rPr>
          <w:rFonts w:hint="eastAsia" w:hAnsi="宋体"/>
          <w:color w:val="000000"/>
          <w:szCs w:val="24"/>
        </w:rPr>
        <w:t>法人代表：王林生</w:t>
      </w:r>
    </w:p>
    <w:p w14:paraId="5AB88388">
      <w:pPr>
        <w:spacing w:line="500" w:lineRule="exact"/>
        <w:ind w:firstLine="526" w:firstLineChars="200"/>
        <w:rPr>
          <w:rFonts w:hint="eastAsia" w:hAnsi="宋体"/>
          <w:color w:val="000000"/>
          <w:szCs w:val="24"/>
        </w:rPr>
      </w:pPr>
      <w:r>
        <w:rPr>
          <w:rFonts w:hint="eastAsia" w:hAnsi="宋体"/>
          <w:color w:val="000000"/>
          <w:szCs w:val="24"/>
        </w:rPr>
        <w:t>生产地址：新疆阿克苏地区沙雅县、和田地区民丰县境内</w:t>
      </w:r>
    </w:p>
    <w:p w14:paraId="05BEEA8F">
      <w:pPr>
        <w:spacing w:line="500" w:lineRule="exact"/>
        <w:ind w:firstLine="526" w:firstLineChars="200"/>
        <w:rPr>
          <w:rFonts w:hAnsi="宋体" w:cs="宋体"/>
          <w:color w:val="000000"/>
          <w:szCs w:val="24"/>
        </w:rPr>
      </w:pPr>
      <w:r>
        <w:rPr>
          <w:rFonts w:hint="eastAsia" w:hAnsi="宋体"/>
          <w:color w:val="000000"/>
          <w:szCs w:val="24"/>
        </w:rPr>
        <w:t>主要产品及规模：</w:t>
      </w:r>
      <w:r>
        <w:rPr>
          <w:rFonts w:hint="eastAsia" w:hAnsi="宋体" w:cs="宋体"/>
          <w:color w:val="000000"/>
          <w:spacing w:val="9"/>
        </w:rPr>
        <w:t>①新建ZG11-H1井至ZG8-9井集输管线2.5km，涉及二号集气站和塔三联合站站内管线改造；②更换ZG431-H3至5#集DN150外输管道碰头点后1km管道；采用内穿插HBPE(高阻隔聚烯烃管)对ZG431-H4至5#集DN150外输管线进行修复；③配套建设自控仪表、给排水、暖通、通信、电气等辅助设施</w:t>
      </w:r>
      <w:r>
        <w:rPr>
          <w:rFonts w:hint="eastAsia" w:hAnsi="宋体" w:cs="宋体"/>
          <w:color w:val="000000"/>
          <w:szCs w:val="24"/>
        </w:rPr>
        <w:t>。</w:t>
      </w:r>
    </w:p>
    <w:p w14:paraId="493C1B3D">
      <w:pPr>
        <w:spacing w:line="520" w:lineRule="exact"/>
        <w:ind w:firstLine="526" w:firstLineChars="200"/>
        <w:rPr>
          <w:rFonts w:hAnsi="宋体"/>
          <w:color w:val="000000"/>
          <w:szCs w:val="24"/>
        </w:rPr>
      </w:pPr>
      <w:r>
        <w:rPr>
          <w:rFonts w:hint="eastAsia" w:hAnsi="宋体"/>
          <w:color w:val="000000"/>
          <w:szCs w:val="24"/>
        </w:rPr>
        <w:t>（2）</w:t>
      </w:r>
      <w:r>
        <w:rPr>
          <w:rFonts w:hAnsi="宋体"/>
          <w:color w:val="000000"/>
          <w:szCs w:val="24"/>
        </w:rPr>
        <w:t>排污信息</w:t>
      </w:r>
    </w:p>
    <w:p w14:paraId="6188975C">
      <w:pPr>
        <w:spacing w:line="520" w:lineRule="exact"/>
        <w:ind w:firstLine="526" w:firstLineChars="200"/>
        <w:rPr>
          <w:rFonts w:hAnsi="宋体"/>
          <w:color w:val="000000"/>
          <w:szCs w:val="24"/>
        </w:rPr>
      </w:pPr>
      <w:r>
        <w:rPr>
          <w:rFonts w:hint="eastAsia" w:hAnsi="宋体"/>
          <w:color w:val="000000"/>
          <w:szCs w:val="24"/>
        </w:rPr>
        <w:t>拟建工程污染物排放标准见表2.4-4。</w:t>
      </w:r>
    </w:p>
    <w:p w14:paraId="66DBD0BC">
      <w:pPr>
        <w:spacing w:line="520" w:lineRule="exact"/>
        <w:ind w:firstLine="526" w:firstLineChars="200"/>
        <w:rPr>
          <w:rFonts w:hAnsi="宋体"/>
          <w:color w:val="000000"/>
          <w:szCs w:val="24"/>
        </w:rPr>
      </w:pPr>
      <w:r>
        <w:rPr>
          <w:rFonts w:hint="eastAsia" w:hAnsi="宋体"/>
          <w:color w:val="000000"/>
          <w:szCs w:val="24"/>
        </w:rPr>
        <w:t>拟建工程污染物总量控制指标情况见“3.4.8 污染物总量控制分析”章节。</w:t>
      </w:r>
    </w:p>
    <w:p w14:paraId="3D08B376">
      <w:pPr>
        <w:spacing w:line="520" w:lineRule="exact"/>
        <w:ind w:firstLine="526" w:firstLineChars="200"/>
        <w:rPr>
          <w:rFonts w:hAnsi="宋体"/>
          <w:color w:val="000000"/>
          <w:szCs w:val="24"/>
        </w:rPr>
      </w:pPr>
      <w:r>
        <w:rPr>
          <w:rFonts w:hint="eastAsia" w:hAnsi="宋体"/>
          <w:color w:val="000000"/>
          <w:szCs w:val="24"/>
        </w:rPr>
        <w:t>（3）环境风险防范措施</w:t>
      </w:r>
    </w:p>
    <w:p w14:paraId="7A8FE239">
      <w:pPr>
        <w:spacing w:line="520" w:lineRule="exact"/>
        <w:ind w:firstLine="526" w:firstLineChars="200"/>
        <w:rPr>
          <w:rFonts w:hAnsi="宋体"/>
          <w:color w:val="000000"/>
          <w:szCs w:val="24"/>
        </w:rPr>
      </w:pPr>
      <w:r>
        <w:rPr>
          <w:rFonts w:hint="eastAsia" w:hAnsi="宋体"/>
          <w:color w:val="000000"/>
          <w:szCs w:val="24"/>
        </w:rPr>
        <w:t>拟建工程环境风险防范措施见塔里木油田分公司</w:t>
      </w:r>
      <w:r>
        <w:rPr>
          <w:rFonts w:hint="eastAsia" w:hAnsi="宋体" w:cs="宋体"/>
          <w:color w:val="000000"/>
          <w:szCs w:val="24"/>
        </w:rPr>
        <w:t>塔中采油气管理区</w:t>
      </w:r>
      <w:r>
        <w:rPr>
          <w:rFonts w:hint="eastAsia" w:hAnsi="宋体"/>
          <w:color w:val="000000"/>
          <w:szCs w:val="24"/>
        </w:rPr>
        <w:t>现行突发环境风险应急预案。</w:t>
      </w:r>
    </w:p>
    <w:p w14:paraId="0161B16B">
      <w:pPr>
        <w:spacing w:line="520" w:lineRule="exact"/>
        <w:ind w:firstLine="526" w:firstLineChars="200"/>
        <w:rPr>
          <w:rFonts w:hAnsi="宋体"/>
          <w:color w:val="000000"/>
          <w:szCs w:val="24"/>
        </w:rPr>
      </w:pPr>
      <w:r>
        <w:rPr>
          <w:rFonts w:hint="eastAsia" w:hAnsi="宋体"/>
          <w:color w:val="000000"/>
          <w:szCs w:val="24"/>
        </w:rPr>
        <w:t>（4）环境监测计划</w:t>
      </w:r>
    </w:p>
    <w:p w14:paraId="53FF10BE">
      <w:pPr>
        <w:spacing w:line="520" w:lineRule="exact"/>
        <w:ind w:firstLine="526" w:firstLineChars="200"/>
        <w:rPr>
          <w:rFonts w:hAnsi="宋体"/>
          <w:color w:val="000000"/>
          <w:szCs w:val="24"/>
        </w:rPr>
      </w:pPr>
      <w:r>
        <w:rPr>
          <w:rFonts w:hint="eastAsia" w:hAnsi="宋体"/>
          <w:color w:val="000000"/>
          <w:szCs w:val="24"/>
        </w:rPr>
        <w:t>拟建工程环境监测计划见表8.4-1。</w:t>
      </w:r>
    </w:p>
    <w:p w14:paraId="72015F5A">
      <w:pPr>
        <w:spacing w:line="520" w:lineRule="exact"/>
        <w:outlineLvl w:val="2"/>
        <w:rPr>
          <w:rFonts w:hAnsi="宋体"/>
          <w:color w:val="000000"/>
          <w:szCs w:val="24"/>
        </w:rPr>
      </w:pPr>
      <w:r>
        <w:rPr>
          <w:rFonts w:hint="eastAsia" w:hAnsi="宋体"/>
          <w:color w:val="000000"/>
          <w:szCs w:val="24"/>
        </w:rPr>
        <w:t>8.2.2 披露方式及时间要求</w:t>
      </w:r>
    </w:p>
    <w:p w14:paraId="55D470E7">
      <w:pPr>
        <w:spacing w:line="520" w:lineRule="exact"/>
        <w:ind w:firstLine="526" w:firstLineChars="200"/>
        <w:rPr>
          <w:rFonts w:hAnsi="宋体"/>
          <w:color w:val="000000"/>
          <w:szCs w:val="24"/>
        </w:rPr>
      </w:pPr>
      <w:r>
        <w:rPr>
          <w:rFonts w:hint="eastAsia" w:hAnsi="宋体"/>
          <w:color w:val="000000"/>
          <w:szCs w:val="24"/>
        </w:rPr>
        <w:t>披露方式：通过公司网站、信息公开平台或当地报刊等便于公众知晓的方式公开。</w:t>
      </w:r>
    </w:p>
    <w:p w14:paraId="4803AB83">
      <w:pPr>
        <w:spacing w:line="520" w:lineRule="exact"/>
        <w:ind w:firstLine="526" w:firstLineChars="200"/>
        <w:rPr>
          <w:rFonts w:hAnsi="宋体"/>
          <w:color w:val="000000"/>
          <w:szCs w:val="24"/>
        </w:rPr>
      </w:pPr>
      <w:r>
        <w:rPr>
          <w:rFonts w:hint="eastAsia" w:hAnsi="宋体"/>
          <w:color w:val="000000"/>
          <w:szCs w:val="24"/>
        </w:rPr>
        <w:t>披露时间要求：企业可以根据实际情况对已披露的环境信息进行变更；进行变更的，应当以临时环境信息依法披露报告的形式变更，并说明变更事项和理由；</w:t>
      </w:r>
      <w:r>
        <w:rPr>
          <w:rFonts w:hAnsi="宋体"/>
          <w:color w:val="000000"/>
          <w:kern w:val="0"/>
          <w:szCs w:val="24"/>
        </w:rPr>
        <w:t>企业应当</w:t>
      </w:r>
      <w:r>
        <w:rPr>
          <w:rFonts w:hint="eastAsia" w:hAnsi="宋体" w:cs="宋体"/>
          <w:color w:val="000000"/>
          <w:kern w:val="0"/>
          <w:szCs w:val="24"/>
        </w:rPr>
        <w:t>于每年3月15日前披露上一年度1月1日至12月31日的环境信息；塔中采油气管理区在企业名单公布前存在《企业环境信息依法披露管理办法》（生态环境部 部令 第24号）</w:t>
      </w:r>
      <w:r>
        <w:rPr>
          <w:rFonts w:hAnsi="宋体"/>
          <w:color w:val="000000"/>
          <w:kern w:val="0"/>
          <w:szCs w:val="24"/>
        </w:rPr>
        <w:t>第十七条规定的环境信息的</w:t>
      </w:r>
      <w:r>
        <w:rPr>
          <w:rFonts w:hint="eastAsia" w:hAnsi="宋体"/>
          <w:color w:val="000000"/>
          <w:kern w:val="0"/>
          <w:szCs w:val="24"/>
        </w:rPr>
        <w:t>，</w:t>
      </w:r>
      <w:r>
        <w:rPr>
          <w:rFonts w:hAnsi="宋体"/>
          <w:color w:val="000000"/>
          <w:kern w:val="0"/>
          <w:szCs w:val="24"/>
        </w:rPr>
        <w:t>应当于企业名单公布后十个工作日内以临时环境信息依法披露报告的形式披露本年度企业名单公布前的相关信息</w:t>
      </w:r>
      <w:r>
        <w:rPr>
          <w:rFonts w:hAnsi="宋体"/>
          <w:color w:val="000000"/>
          <w:szCs w:val="24"/>
        </w:rPr>
        <w:t>。</w:t>
      </w:r>
    </w:p>
    <w:p w14:paraId="5F60A310">
      <w:pPr>
        <w:spacing w:line="520" w:lineRule="exact"/>
        <w:outlineLvl w:val="1"/>
        <w:rPr>
          <w:rFonts w:ascii="黑体" w:hAnsi="黑体" w:eastAsia="黑体" w:cs="黑体"/>
          <w:color w:val="000000"/>
          <w:sz w:val="28"/>
          <w:szCs w:val="28"/>
          <w:lang w:bidi="ar"/>
        </w:rPr>
      </w:pPr>
      <w:bookmarkStart w:id="317" w:name="_Toc230178823"/>
      <w:bookmarkStart w:id="318" w:name="_Toc198040363"/>
      <w:bookmarkStart w:id="319" w:name="_Toc18587"/>
      <w:bookmarkStart w:id="320" w:name="_Toc198040219"/>
      <w:bookmarkStart w:id="321" w:name="_Toc208474711"/>
      <w:r>
        <w:rPr>
          <w:rFonts w:hint="eastAsia" w:ascii="黑体" w:hAnsi="黑体" w:eastAsia="黑体" w:cs="黑体"/>
          <w:color w:val="000000"/>
          <w:sz w:val="28"/>
          <w:szCs w:val="28"/>
          <w:lang w:bidi="ar"/>
        </w:rPr>
        <w:t>8.3 污染物排放清单</w:t>
      </w:r>
      <w:bookmarkEnd w:id="317"/>
      <w:bookmarkEnd w:id="318"/>
      <w:bookmarkEnd w:id="319"/>
      <w:bookmarkEnd w:id="320"/>
      <w:bookmarkEnd w:id="321"/>
    </w:p>
    <w:p w14:paraId="2D5BA0DA">
      <w:pPr>
        <w:spacing w:line="520" w:lineRule="exact"/>
        <w:ind w:firstLine="526" w:firstLineChars="200"/>
        <w:rPr>
          <w:rFonts w:hint="eastAsia" w:ascii="黑体" w:hAnsi="黑体" w:cs="宋体"/>
          <w:color w:val="000000"/>
          <w:szCs w:val="24"/>
          <w:highlight w:val="yellow"/>
        </w:rPr>
      </w:pPr>
      <w:bookmarkStart w:id="322" w:name="_Toc10404"/>
      <w:bookmarkStart w:id="323" w:name="_Toc67990141"/>
      <w:r>
        <w:rPr>
          <w:rFonts w:hAnsi="宋体" w:cs="宋体"/>
          <w:color w:val="000000"/>
        </w:rPr>
        <w:t>拟建工程营运期间无废气、废水、噪声</w:t>
      </w:r>
      <w:r>
        <w:rPr>
          <w:rFonts w:hint="eastAsia" w:hAnsi="宋体" w:cs="宋体"/>
          <w:color w:val="000000"/>
        </w:rPr>
        <w:t>、固体废物等</w:t>
      </w:r>
      <w:r>
        <w:rPr>
          <w:rFonts w:hAnsi="宋体" w:cs="宋体"/>
          <w:color w:val="000000"/>
        </w:rPr>
        <w:t>产生</w:t>
      </w:r>
      <w:r>
        <w:rPr>
          <w:rFonts w:hint="eastAsia" w:hAnsi="宋体" w:cs="宋体"/>
          <w:color w:val="000000"/>
        </w:rPr>
        <w:t>。</w:t>
      </w:r>
    </w:p>
    <w:p w14:paraId="239143E0">
      <w:pPr>
        <w:spacing w:line="520" w:lineRule="exact"/>
        <w:ind w:firstLine="526" w:firstLineChars="200"/>
        <w:rPr>
          <w:rFonts w:hint="eastAsia" w:ascii="黑体" w:hAnsi="黑体" w:eastAsia="黑体" w:cs="黑体"/>
          <w:color w:val="000000"/>
          <w:szCs w:val="24"/>
          <w:lang w:val="zh-CN"/>
        </w:rPr>
      </w:pPr>
      <w:r>
        <w:rPr>
          <w:rFonts w:hint="eastAsia" w:ascii="黑体" w:hAnsi="黑体" w:eastAsia="黑体" w:cs="宋体"/>
          <w:color w:val="000000"/>
          <w:szCs w:val="24"/>
        </w:rPr>
        <w:t>表8</w:t>
      </w:r>
      <w:r>
        <w:rPr>
          <w:rFonts w:ascii="黑体" w:hAnsi="黑体" w:eastAsia="黑体" w:cs="宋体"/>
          <w:color w:val="000000"/>
          <w:szCs w:val="24"/>
        </w:rPr>
        <w:t>.3-</w:t>
      </w:r>
      <w:r>
        <w:rPr>
          <w:rFonts w:hint="eastAsia" w:ascii="黑体" w:hAnsi="黑体" w:eastAsia="黑体" w:cs="宋体"/>
          <w:color w:val="000000"/>
          <w:szCs w:val="24"/>
        </w:rPr>
        <w:t xml:space="preserve">1         </w:t>
      </w:r>
      <w:r>
        <w:rPr>
          <w:rFonts w:hint="eastAsia" w:ascii="黑体" w:hAnsi="黑体" w:eastAsia="黑体"/>
          <w:color w:val="000000"/>
          <w:szCs w:val="24"/>
        </w:rPr>
        <w:t>拟建工程</w:t>
      </w:r>
      <w:r>
        <w:rPr>
          <w:rFonts w:hint="eastAsia" w:ascii="黑体" w:hAnsi="黑体" w:eastAsia="黑体" w:cs="黑体"/>
          <w:color w:val="000000"/>
          <w:szCs w:val="24"/>
          <w:lang w:val="zh-CN"/>
        </w:rPr>
        <w:t>污染物排放清单一览表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870"/>
        <w:gridCol w:w="7145"/>
      </w:tblGrid>
      <w:tr w14:paraId="7D331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7" w:type="pct"/>
            <w:tcBorders>
              <w:top w:val="single" w:color="auto" w:sz="8" w:space="0"/>
            </w:tcBorders>
            <w:vAlign w:val="center"/>
          </w:tcPr>
          <w:p w14:paraId="33696B38">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项目</w:t>
            </w:r>
          </w:p>
        </w:tc>
        <w:tc>
          <w:tcPr>
            <w:tcW w:w="3962" w:type="pct"/>
            <w:tcBorders>
              <w:top w:val="single" w:color="auto" w:sz="8" w:space="0"/>
            </w:tcBorders>
            <w:vAlign w:val="center"/>
          </w:tcPr>
          <w:p w14:paraId="081C9F6E">
            <w:pPr>
              <w:adjustRightInd w:val="0"/>
              <w:spacing w:line="0" w:lineRule="atLeast"/>
              <w:jc w:val="center"/>
              <w:rPr>
                <w:rFonts w:hAnsi="宋体" w:cs="宋体"/>
                <w:color w:val="000000"/>
                <w:spacing w:val="-10"/>
                <w:sz w:val="21"/>
                <w:szCs w:val="21"/>
              </w:rPr>
            </w:pPr>
            <w:r>
              <w:rPr>
                <w:rFonts w:hint="eastAsia" w:hAnsi="宋体" w:cs="宋体"/>
                <w:color w:val="000000"/>
                <w:spacing w:val="-10"/>
                <w:sz w:val="21"/>
                <w:szCs w:val="21"/>
              </w:rPr>
              <w:t>工程组成情况</w:t>
            </w:r>
          </w:p>
        </w:tc>
      </w:tr>
      <w:tr w14:paraId="08FDD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27" w:hRule="atLeast"/>
          <w:jc w:val="center"/>
        </w:trPr>
        <w:tc>
          <w:tcPr>
            <w:tcW w:w="1037" w:type="pct"/>
            <w:tcBorders>
              <w:left w:val="single" w:color="auto" w:sz="8" w:space="0"/>
              <w:bottom w:val="single" w:color="auto" w:sz="4" w:space="0"/>
            </w:tcBorders>
            <w:vAlign w:val="center"/>
          </w:tcPr>
          <w:p w14:paraId="228FC5EF">
            <w:pPr>
              <w:adjustRightInd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主体工程</w:t>
            </w:r>
          </w:p>
        </w:tc>
        <w:tc>
          <w:tcPr>
            <w:tcW w:w="3962" w:type="pct"/>
            <w:tcBorders>
              <w:bottom w:val="single" w:color="auto" w:sz="4" w:space="0"/>
            </w:tcBorders>
            <w:vAlign w:val="center"/>
          </w:tcPr>
          <w:p w14:paraId="2E4D96A0">
            <w:pPr>
              <w:adjustRightInd w:val="0"/>
              <w:spacing w:line="0" w:lineRule="atLeast"/>
              <w:rPr>
                <w:rFonts w:hint="eastAsia" w:hAnsi="宋体" w:cs="宋体"/>
                <w:color w:val="000000"/>
                <w:spacing w:val="-10"/>
                <w:sz w:val="21"/>
                <w:szCs w:val="21"/>
              </w:rPr>
            </w:pPr>
            <w:r>
              <w:rPr>
                <w:rFonts w:hint="eastAsia" w:hAnsi="宋体"/>
                <w:color w:val="000000"/>
                <w:spacing w:val="-10"/>
                <w:sz w:val="21"/>
                <w:szCs w:val="21"/>
              </w:rPr>
              <w:t>①新建ZG11-H1井至ZG8-9井集输管线2.5km，涉及二号集气站和塔三联合站站内管线改造；②新建ZG431-H3至5#集DN150集输管道碰头点后1km管道；采用内穿插HBPE(高阻隔聚烯烃管)对ZG431-H4至5#集DN150外输管线进行修复。</w:t>
            </w:r>
          </w:p>
        </w:tc>
      </w:tr>
      <w:tr w14:paraId="4B1540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7" w:type="pct"/>
            <w:tcBorders>
              <w:bottom w:val="single" w:color="auto" w:sz="8" w:space="0"/>
            </w:tcBorders>
            <w:noWrap/>
            <w:tcMar>
              <w:left w:w="28" w:type="dxa"/>
              <w:right w:w="28" w:type="dxa"/>
            </w:tcMar>
            <w:vAlign w:val="center"/>
          </w:tcPr>
          <w:p w14:paraId="6521175D">
            <w:pPr>
              <w:spacing w:line="0" w:lineRule="atLeast"/>
              <w:jc w:val="center"/>
              <w:rPr>
                <w:rFonts w:hAnsi="宋体"/>
                <w:color w:val="000000"/>
                <w:spacing w:val="-10"/>
                <w:sz w:val="21"/>
                <w:szCs w:val="21"/>
              </w:rPr>
            </w:pPr>
            <w:r>
              <w:rPr>
                <w:rFonts w:hint="eastAsia" w:hAnsi="宋体"/>
                <w:color w:val="000000"/>
                <w:spacing w:val="-10"/>
                <w:sz w:val="21"/>
                <w:szCs w:val="21"/>
              </w:rPr>
              <w:t>环境风险防范措施</w:t>
            </w:r>
          </w:p>
        </w:tc>
        <w:tc>
          <w:tcPr>
            <w:tcW w:w="3962" w:type="pct"/>
            <w:tcBorders>
              <w:bottom w:val="single" w:color="auto" w:sz="8" w:space="0"/>
            </w:tcBorders>
            <w:noWrap/>
            <w:tcMar>
              <w:left w:w="28" w:type="dxa"/>
              <w:right w:w="28" w:type="dxa"/>
            </w:tcMar>
            <w:vAlign w:val="center"/>
          </w:tcPr>
          <w:p w14:paraId="3BEA986A">
            <w:pPr>
              <w:spacing w:line="0" w:lineRule="atLeast"/>
              <w:jc w:val="center"/>
              <w:rPr>
                <w:rFonts w:hint="eastAsia" w:hAnsi="宋体"/>
                <w:color w:val="000000"/>
                <w:spacing w:val="-10"/>
                <w:sz w:val="21"/>
                <w:szCs w:val="21"/>
              </w:rPr>
            </w:pPr>
            <w:r>
              <w:rPr>
                <w:rFonts w:hint="eastAsia" w:hAnsi="宋体"/>
                <w:color w:val="000000"/>
                <w:spacing w:val="-10"/>
                <w:sz w:val="21"/>
                <w:szCs w:val="21"/>
              </w:rPr>
              <w:t>严格按照风险预案中相关规定执行</w:t>
            </w:r>
          </w:p>
        </w:tc>
      </w:tr>
    </w:tbl>
    <w:p w14:paraId="3133E226">
      <w:pPr>
        <w:spacing w:before="240" w:line="470" w:lineRule="exact"/>
        <w:outlineLvl w:val="1"/>
        <w:rPr>
          <w:rFonts w:ascii="黑体" w:hAnsi="黑体" w:eastAsia="黑体" w:cs="黑体"/>
          <w:color w:val="000000"/>
          <w:sz w:val="28"/>
          <w:szCs w:val="28"/>
          <w:lang w:bidi="ar"/>
        </w:rPr>
      </w:pPr>
      <w:bookmarkStart w:id="324" w:name="_Toc208474712"/>
      <w:bookmarkStart w:id="325" w:name="_Toc230178824"/>
      <w:bookmarkStart w:id="326" w:name="_Toc198040364"/>
      <w:bookmarkStart w:id="327" w:name="_Toc198040220"/>
      <w:r>
        <w:rPr>
          <w:rFonts w:hint="eastAsia" w:ascii="黑体" w:hAnsi="黑体" w:eastAsia="黑体" w:cs="黑体"/>
          <w:color w:val="000000"/>
          <w:sz w:val="28"/>
          <w:szCs w:val="28"/>
          <w:lang w:bidi="ar"/>
        </w:rPr>
        <w:t>8.4 环境及污染源监测</w:t>
      </w:r>
      <w:bookmarkEnd w:id="322"/>
      <w:bookmarkEnd w:id="323"/>
      <w:bookmarkEnd w:id="324"/>
      <w:bookmarkEnd w:id="325"/>
      <w:bookmarkEnd w:id="326"/>
      <w:bookmarkEnd w:id="327"/>
    </w:p>
    <w:p w14:paraId="6975E09E">
      <w:pPr>
        <w:spacing w:line="470" w:lineRule="exact"/>
        <w:outlineLvl w:val="2"/>
        <w:rPr>
          <w:rFonts w:hAnsi="宋体"/>
          <w:color w:val="000000"/>
          <w:szCs w:val="24"/>
        </w:rPr>
      </w:pPr>
      <w:r>
        <w:rPr>
          <w:rFonts w:hint="eastAsia" w:hAnsi="宋体"/>
          <w:color w:val="000000"/>
          <w:szCs w:val="24"/>
        </w:rPr>
        <w:t>8.4.1 监测目的</w:t>
      </w:r>
    </w:p>
    <w:p w14:paraId="5F581F10">
      <w:pPr>
        <w:spacing w:line="470" w:lineRule="exact"/>
        <w:ind w:firstLine="526" w:firstLineChars="200"/>
        <w:rPr>
          <w:rFonts w:hAnsi="宋体"/>
          <w:color w:val="000000"/>
          <w:szCs w:val="24"/>
        </w:rPr>
      </w:pPr>
      <w:r>
        <w:rPr>
          <w:rFonts w:hint="eastAsia" w:hAnsi="宋体"/>
          <w:color w:val="000000"/>
          <w:szCs w:val="24"/>
        </w:rPr>
        <w:t>环境监测是企业环境管理体系的重要组成部分，也是环境管理规范化的主要手段，通过对企业主要污染物进行分析、资料整理、编制报表、建立技术文件档案，可以为上级生态环境主管部门和地方生态环境主管部门进行环境规划、管理和执法提供依据。环境监测是环境保护的基础，是进行污染源治理及环保设施管理的依据，因而企业应定期对环保设施及废水、噪声等污染源情况进行监测、对固体废物处置按照法规文件规范进行记录。</w:t>
      </w:r>
    </w:p>
    <w:p w14:paraId="751E7772">
      <w:pPr>
        <w:spacing w:line="470" w:lineRule="exact"/>
        <w:ind w:firstLine="526" w:firstLineChars="200"/>
        <w:rPr>
          <w:rFonts w:hAnsi="宋体"/>
          <w:color w:val="000000"/>
          <w:szCs w:val="24"/>
        </w:rPr>
      </w:pPr>
      <w:r>
        <w:rPr>
          <w:rFonts w:hint="eastAsia" w:hAnsi="宋体"/>
          <w:color w:val="000000"/>
          <w:szCs w:val="24"/>
        </w:rPr>
        <w:t>通过对拟建工程运行中环保设施进行监控，掌握废气、废水、噪声等污染源排放是否符合国家或地方排放标准的要求，做到达标排放，同时对噪声防治设施进行监督检查，保证正常运行。</w:t>
      </w:r>
    </w:p>
    <w:p w14:paraId="43279EFE">
      <w:pPr>
        <w:spacing w:line="470" w:lineRule="exact"/>
        <w:outlineLvl w:val="2"/>
        <w:rPr>
          <w:rFonts w:hAnsi="宋体"/>
          <w:color w:val="000000"/>
          <w:szCs w:val="24"/>
        </w:rPr>
      </w:pPr>
      <w:r>
        <w:rPr>
          <w:rFonts w:hint="eastAsia" w:hAnsi="宋体"/>
          <w:color w:val="000000"/>
          <w:szCs w:val="24"/>
        </w:rPr>
        <w:t>8.4.2 环境监测机构及设备配置</w:t>
      </w:r>
    </w:p>
    <w:p w14:paraId="0525B6D4">
      <w:pPr>
        <w:spacing w:line="470" w:lineRule="exact"/>
        <w:ind w:firstLine="526" w:firstLineChars="200"/>
        <w:rPr>
          <w:rFonts w:hAnsi="宋体"/>
          <w:color w:val="000000"/>
          <w:szCs w:val="24"/>
        </w:rPr>
      </w:pPr>
      <w:r>
        <w:rPr>
          <w:rFonts w:hint="eastAsia" w:hAnsi="宋体"/>
          <w:color w:val="000000"/>
          <w:szCs w:val="24"/>
        </w:rPr>
        <w:t>环境监测是环境保护的基础，是进行污染治理和监督管理的依据。拟建工程的环境监测工作由塔里木油田分公司的实验检测研究院承担</w:t>
      </w:r>
      <w:r>
        <w:rPr>
          <w:rFonts w:hint="eastAsia" w:hAnsi="宋体" w:cs="宋体"/>
          <w:color w:val="000000"/>
          <w:szCs w:val="24"/>
        </w:rPr>
        <w:t>，亦可以委托当地有资质的环境监测机构</w:t>
      </w:r>
      <w:r>
        <w:rPr>
          <w:rFonts w:hint="eastAsia" w:hAnsi="宋体"/>
          <w:color w:val="000000"/>
          <w:szCs w:val="24"/>
        </w:rPr>
        <w:t>。</w:t>
      </w:r>
    </w:p>
    <w:p w14:paraId="7A48BE0B">
      <w:pPr>
        <w:spacing w:line="470" w:lineRule="exact"/>
        <w:outlineLvl w:val="2"/>
        <w:rPr>
          <w:rFonts w:hAnsi="宋体"/>
          <w:color w:val="000000"/>
          <w:szCs w:val="24"/>
        </w:rPr>
      </w:pPr>
      <w:r>
        <w:rPr>
          <w:rFonts w:hint="eastAsia" w:hAnsi="宋体"/>
          <w:color w:val="000000"/>
          <w:szCs w:val="24"/>
        </w:rPr>
        <w:t>8.4.3 监测计划</w:t>
      </w:r>
    </w:p>
    <w:p w14:paraId="151353B1">
      <w:pPr>
        <w:spacing w:line="470" w:lineRule="exact"/>
        <w:ind w:firstLine="534" w:firstLineChars="200"/>
        <w:rPr>
          <w:rFonts w:hint="eastAsia" w:hAnsi="宋体"/>
          <w:color w:val="000000"/>
          <w:spacing w:val="7"/>
          <w:szCs w:val="24"/>
        </w:rPr>
      </w:pPr>
      <w:r>
        <w:rPr>
          <w:rFonts w:hint="eastAsia" w:hAnsi="宋体"/>
          <w:color w:val="000000"/>
          <w:spacing w:val="7"/>
          <w:szCs w:val="24"/>
        </w:rPr>
        <w:t>根据拟建工程生产特征和污染物的排放特征，依据《排污单位自行监测技术指南 陆上石油天然气开采工业》（HJ1248-2022）、《环境影响评价技术导则 地下水环境》（HJ610–2016）、《地下水环境监测技术规范》（HJ164-2020）、《排污单位自行监测技术指南 总则》（HJ819-2017）等标准规范及地方生态环境主管部门的要求，结合塔中采油气管理区现有监测计划，制定拟建工程的监测计划。拟建工程投入运行后，各污染源监测因子、监测频率情况见表8.4-1。</w:t>
      </w:r>
    </w:p>
    <w:p w14:paraId="2CE19ECB">
      <w:pPr>
        <w:spacing w:line="470" w:lineRule="exact"/>
        <w:ind w:firstLine="526" w:firstLineChars="200"/>
        <w:rPr>
          <w:rFonts w:hint="eastAsia" w:ascii="黑体" w:hAnsi="黑体" w:eastAsia="黑体" w:cs="宋体"/>
          <w:color w:val="000000"/>
          <w:szCs w:val="24"/>
          <w:lang w:val="zh-CN"/>
        </w:rPr>
      </w:pPr>
      <w:r>
        <w:rPr>
          <w:rFonts w:hint="eastAsia" w:ascii="黑体" w:hAnsi="黑体" w:eastAsia="黑体" w:cs="宋体"/>
          <w:color w:val="000000"/>
          <w:szCs w:val="24"/>
        </w:rPr>
        <w:t xml:space="preserve">表8.4-1          </w:t>
      </w:r>
      <w:r>
        <w:rPr>
          <w:rFonts w:hint="eastAsia" w:ascii="黑体" w:hAnsi="黑体" w:eastAsia="黑体" w:cs="宋体"/>
          <w:color w:val="000000"/>
          <w:szCs w:val="24"/>
          <w:lang w:val="zh-CN"/>
        </w:rPr>
        <w:t xml:space="preserve"> </w:t>
      </w:r>
      <w:r>
        <w:rPr>
          <w:rFonts w:hint="eastAsia" w:ascii="黑体" w:hAnsi="黑体" w:eastAsia="黑体" w:cs="宋体"/>
          <w:color w:val="000000"/>
          <w:szCs w:val="24"/>
        </w:rPr>
        <w:t>拟建</w:t>
      </w:r>
      <w:r>
        <w:rPr>
          <w:rFonts w:hint="eastAsia" w:ascii="黑体" w:hAnsi="黑体" w:eastAsia="黑体" w:cs="宋体"/>
          <w:color w:val="000000"/>
          <w:szCs w:val="24"/>
          <w:lang w:val="zh-CN"/>
        </w:rPr>
        <w:t>工程监测计划一览表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72"/>
        <w:gridCol w:w="1084"/>
        <w:gridCol w:w="3853"/>
        <w:gridCol w:w="2358"/>
        <w:gridCol w:w="1048"/>
      </w:tblGrid>
      <w:tr w14:paraId="76134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74" w:type="pct"/>
            <w:gridSpan w:val="2"/>
            <w:tcMar>
              <w:left w:w="28" w:type="dxa"/>
              <w:right w:w="28" w:type="dxa"/>
            </w:tcMar>
            <w:vAlign w:val="center"/>
          </w:tcPr>
          <w:p w14:paraId="6682E2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监测类别</w:t>
            </w:r>
          </w:p>
        </w:tc>
        <w:tc>
          <w:tcPr>
            <w:tcW w:w="2137" w:type="pct"/>
            <w:tcMar>
              <w:left w:w="28" w:type="dxa"/>
              <w:right w:w="28" w:type="dxa"/>
            </w:tcMar>
            <w:vAlign w:val="center"/>
          </w:tcPr>
          <w:p w14:paraId="36E5832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监测项目</w:t>
            </w:r>
          </w:p>
        </w:tc>
        <w:tc>
          <w:tcPr>
            <w:tcW w:w="1308" w:type="pct"/>
            <w:tcMar>
              <w:left w:w="28" w:type="dxa"/>
              <w:right w:w="28" w:type="dxa"/>
            </w:tcMar>
            <w:vAlign w:val="center"/>
          </w:tcPr>
          <w:p w14:paraId="120DE8C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监测点位置</w:t>
            </w:r>
          </w:p>
        </w:tc>
        <w:tc>
          <w:tcPr>
            <w:tcW w:w="581" w:type="pct"/>
            <w:tcMar>
              <w:left w:w="28" w:type="dxa"/>
              <w:right w:w="28" w:type="dxa"/>
            </w:tcMar>
            <w:vAlign w:val="center"/>
          </w:tcPr>
          <w:p w14:paraId="2F37F464">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监测频率</w:t>
            </w:r>
          </w:p>
        </w:tc>
      </w:tr>
      <w:tr w14:paraId="0C2E0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62" w:hRule="atLeast"/>
          <w:jc w:val="center"/>
        </w:trPr>
        <w:tc>
          <w:tcPr>
            <w:tcW w:w="373" w:type="pct"/>
            <w:tcMar>
              <w:top w:w="0" w:type="dxa"/>
              <w:left w:w="28" w:type="dxa"/>
              <w:bottom w:w="0" w:type="dxa"/>
              <w:right w:w="28" w:type="dxa"/>
            </w:tcMar>
            <w:vAlign w:val="center"/>
          </w:tcPr>
          <w:p w14:paraId="265686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601" w:type="pct"/>
            <w:tcMar>
              <w:top w:w="0" w:type="dxa"/>
              <w:left w:w="28" w:type="dxa"/>
              <w:bottom w:w="0" w:type="dxa"/>
              <w:right w:w="28" w:type="dxa"/>
            </w:tcMar>
            <w:vAlign w:val="center"/>
          </w:tcPr>
          <w:p w14:paraId="20931B2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潜水含水层</w:t>
            </w:r>
          </w:p>
        </w:tc>
        <w:tc>
          <w:tcPr>
            <w:tcW w:w="2137" w:type="pct"/>
            <w:tcMar>
              <w:top w:w="0" w:type="dxa"/>
              <w:left w:w="28" w:type="dxa"/>
              <w:bottom w:w="0" w:type="dxa"/>
              <w:right w:w="28" w:type="dxa"/>
            </w:tcMar>
            <w:vAlign w:val="center"/>
          </w:tcPr>
          <w:p w14:paraId="3F728C6E">
            <w:pPr>
              <w:spacing w:line="0" w:lineRule="atLeast"/>
              <w:jc w:val="center"/>
              <w:rPr>
                <w:rFonts w:hAnsi="宋体" w:cs="宋体"/>
                <w:color w:val="000000"/>
                <w:spacing w:val="-10"/>
                <w:sz w:val="21"/>
                <w:szCs w:val="21"/>
              </w:rPr>
            </w:pPr>
            <w:r>
              <w:rPr>
                <w:rFonts w:hint="eastAsia" w:hAnsi="宋体" w:cs="宋体"/>
                <w:color w:val="000000"/>
                <w:spacing w:val="0"/>
                <w:sz w:val="21"/>
                <w:szCs w:val="21"/>
              </w:rPr>
              <w:t>石油类、石油烃（C</w:t>
            </w:r>
            <w:r>
              <w:rPr>
                <w:rFonts w:hint="eastAsia" w:hAnsi="宋体" w:cs="宋体"/>
                <w:color w:val="000000"/>
                <w:spacing w:val="0"/>
                <w:sz w:val="21"/>
                <w:szCs w:val="21"/>
                <w:vertAlign w:val="subscript"/>
              </w:rPr>
              <w:t>6</w:t>
            </w:r>
            <w:r>
              <w:rPr>
                <w:rFonts w:hint="eastAsia" w:hAnsi="宋体" w:cs="宋体"/>
                <w:color w:val="000000"/>
                <w:spacing w:val="0"/>
                <w:sz w:val="21"/>
                <w:szCs w:val="21"/>
              </w:rPr>
              <w:t>-C</w:t>
            </w:r>
            <w:r>
              <w:rPr>
                <w:rFonts w:hint="eastAsia" w:hAnsi="宋体" w:cs="宋体"/>
                <w:color w:val="000000"/>
                <w:spacing w:val="0"/>
                <w:sz w:val="21"/>
                <w:szCs w:val="21"/>
                <w:vertAlign w:val="subscript"/>
              </w:rPr>
              <w:t>9</w:t>
            </w:r>
            <w:r>
              <w:rPr>
                <w:rFonts w:hint="eastAsia" w:hAnsi="宋体" w:cs="宋体"/>
                <w:color w:val="000000"/>
                <w:spacing w:val="0"/>
                <w:sz w:val="21"/>
                <w:szCs w:val="21"/>
              </w:rPr>
              <w:t>）、石油烃（C</w:t>
            </w:r>
            <w:r>
              <w:rPr>
                <w:rFonts w:hint="eastAsia" w:hAnsi="宋体" w:cs="宋体"/>
                <w:color w:val="000000"/>
                <w:spacing w:val="0"/>
                <w:sz w:val="21"/>
                <w:szCs w:val="21"/>
                <w:vertAlign w:val="subscript"/>
              </w:rPr>
              <w:t>10</w:t>
            </w:r>
            <w:r>
              <w:rPr>
                <w:rFonts w:hint="eastAsia" w:hAnsi="宋体" w:cs="宋体"/>
                <w:color w:val="000000"/>
                <w:spacing w:val="0"/>
                <w:sz w:val="21"/>
                <w:szCs w:val="21"/>
              </w:rPr>
              <w:t>-C</w:t>
            </w:r>
            <w:r>
              <w:rPr>
                <w:rFonts w:hint="eastAsia" w:hAnsi="宋体" w:cs="宋体"/>
                <w:color w:val="000000"/>
                <w:spacing w:val="0"/>
                <w:sz w:val="21"/>
                <w:szCs w:val="21"/>
                <w:vertAlign w:val="subscript"/>
              </w:rPr>
              <w:t>40</w:t>
            </w:r>
            <w:r>
              <w:rPr>
                <w:rFonts w:hint="eastAsia" w:hAnsi="宋体" w:cs="宋体"/>
                <w:color w:val="000000"/>
                <w:spacing w:val="0"/>
                <w:sz w:val="21"/>
                <w:szCs w:val="21"/>
              </w:rPr>
              <w:t>）、汞、砷、六价铬</w:t>
            </w:r>
          </w:p>
        </w:tc>
        <w:tc>
          <w:tcPr>
            <w:tcW w:w="1308" w:type="pct"/>
            <w:tcMar>
              <w:top w:w="0" w:type="dxa"/>
              <w:left w:w="28" w:type="dxa"/>
              <w:bottom w:w="0" w:type="dxa"/>
              <w:right w:w="28" w:type="dxa"/>
            </w:tcMar>
            <w:vAlign w:val="center"/>
          </w:tcPr>
          <w:p w14:paraId="7ECB6B81">
            <w:pPr>
              <w:spacing w:line="0" w:lineRule="atLeast"/>
              <w:jc w:val="center"/>
              <w:rPr>
                <w:rFonts w:hAnsi="宋体" w:cs="宋体"/>
                <w:color w:val="000000"/>
                <w:spacing w:val="-10"/>
                <w:sz w:val="21"/>
                <w:szCs w:val="21"/>
              </w:rPr>
            </w:pPr>
            <w:r>
              <w:rPr>
                <w:rFonts w:hint="eastAsia" w:hAnsi="宋体" w:cs="宋体"/>
                <w:color w:val="000000"/>
                <w:spacing w:val="-10"/>
                <w:sz w:val="21"/>
                <w:szCs w:val="21"/>
              </w:rPr>
              <w:t>建设项目所在区块现有1口地下水井</w:t>
            </w:r>
          </w:p>
        </w:tc>
        <w:tc>
          <w:tcPr>
            <w:tcW w:w="581" w:type="pct"/>
            <w:tcMar>
              <w:top w:w="0" w:type="dxa"/>
              <w:left w:w="28" w:type="dxa"/>
              <w:bottom w:w="0" w:type="dxa"/>
              <w:right w:w="28" w:type="dxa"/>
            </w:tcMar>
            <w:vAlign w:val="center"/>
          </w:tcPr>
          <w:p w14:paraId="48F076C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每半年1次</w:t>
            </w:r>
          </w:p>
        </w:tc>
      </w:tr>
    </w:tbl>
    <w:p w14:paraId="6C3A3C4C">
      <w:pPr>
        <w:spacing w:line="0" w:lineRule="atLeast"/>
        <w:ind w:firstLine="446" w:firstLineChars="200"/>
        <w:rPr>
          <w:rFonts w:hint="eastAsia" w:ascii="楷体_GB2312" w:hAnsi="宋体" w:eastAsia="楷体_GB2312" w:cs="仿宋"/>
          <w:color w:val="000000"/>
          <w:spacing w:val="0"/>
          <w:kern w:val="0"/>
          <w:sz w:val="21"/>
          <w:szCs w:val="21"/>
        </w:rPr>
      </w:pPr>
      <w:bookmarkStart w:id="328" w:name="_Toc67990142"/>
      <w:r>
        <w:rPr>
          <w:rFonts w:hint="eastAsia" w:ascii="楷体_GB2312" w:hAnsi="宋体" w:eastAsia="楷体_GB2312" w:cs="仿宋"/>
          <w:color w:val="000000"/>
          <w:spacing w:val="0"/>
          <w:kern w:val="0"/>
          <w:sz w:val="21"/>
          <w:szCs w:val="21"/>
        </w:rPr>
        <w:t>注：</w:t>
      </w:r>
      <w:r>
        <w:rPr>
          <w:rFonts w:hint="eastAsia" w:ascii="楷体_GB2312" w:hAnsi="仿宋" w:eastAsia="楷体_GB2312" w:cs="仿宋"/>
          <w:color w:val="000000"/>
          <w:spacing w:val="0"/>
          <w:sz w:val="21"/>
          <w:szCs w:val="21"/>
        </w:rPr>
        <w:t>当地下水监测指标出现异常时，可按照</w:t>
      </w:r>
      <w:r>
        <w:rPr>
          <w:rFonts w:ascii="楷体_GB2312" w:hAnsi="仿宋" w:eastAsia="楷体_GB2312" w:cs="仿宋"/>
          <w:color w:val="000000"/>
          <w:spacing w:val="0"/>
          <w:sz w:val="21"/>
          <w:szCs w:val="21"/>
        </w:rPr>
        <w:t>HJ164</w:t>
      </w:r>
      <w:r>
        <w:rPr>
          <w:rFonts w:hint="eastAsia" w:ascii="楷体_GB2312" w:hAnsi="仿宋" w:eastAsia="楷体_GB2312" w:cs="仿宋"/>
          <w:color w:val="000000"/>
          <w:spacing w:val="0"/>
          <w:sz w:val="21"/>
          <w:szCs w:val="21"/>
        </w:rPr>
        <w:t>的附录</w:t>
      </w:r>
      <w:r>
        <w:rPr>
          <w:rFonts w:ascii="楷体_GB2312" w:hAnsi="仿宋" w:eastAsia="楷体_GB2312" w:cs="仿宋"/>
          <w:color w:val="000000"/>
          <w:spacing w:val="0"/>
          <w:sz w:val="21"/>
          <w:szCs w:val="21"/>
        </w:rPr>
        <w:t>F</w:t>
      </w:r>
      <w:r>
        <w:rPr>
          <w:rFonts w:hint="eastAsia" w:ascii="楷体_GB2312" w:hAnsi="仿宋" w:eastAsia="楷体_GB2312" w:cs="仿宋"/>
          <w:color w:val="000000"/>
          <w:spacing w:val="0"/>
          <w:sz w:val="21"/>
          <w:szCs w:val="21"/>
        </w:rPr>
        <w:t>中石油和天然气开采业特征项目开展监测；当土壤监测指标出现异常时，可按照</w:t>
      </w:r>
      <w:r>
        <w:rPr>
          <w:rFonts w:ascii="楷体_GB2312" w:hAnsi="仿宋" w:eastAsia="楷体_GB2312" w:cs="仿宋"/>
          <w:color w:val="000000"/>
          <w:spacing w:val="0"/>
          <w:sz w:val="21"/>
          <w:szCs w:val="21"/>
        </w:rPr>
        <w:t>GB36600</w:t>
      </w:r>
      <w:r>
        <w:rPr>
          <w:rFonts w:hint="eastAsia" w:ascii="楷体_GB2312" w:hAnsi="仿宋" w:eastAsia="楷体_GB2312" w:cs="仿宋"/>
          <w:color w:val="000000"/>
          <w:spacing w:val="0"/>
          <w:sz w:val="21"/>
          <w:szCs w:val="21"/>
        </w:rPr>
        <w:t>的表</w:t>
      </w:r>
      <w:r>
        <w:rPr>
          <w:rFonts w:ascii="楷体_GB2312" w:hAnsi="仿宋" w:eastAsia="楷体_GB2312" w:cs="仿宋"/>
          <w:color w:val="000000"/>
          <w:spacing w:val="0"/>
          <w:sz w:val="21"/>
          <w:szCs w:val="21"/>
        </w:rPr>
        <w:t>1</w:t>
      </w:r>
      <w:r>
        <w:rPr>
          <w:rFonts w:hint="eastAsia" w:ascii="楷体_GB2312" w:hAnsi="仿宋" w:eastAsia="楷体_GB2312" w:cs="仿宋"/>
          <w:color w:val="000000"/>
          <w:spacing w:val="0"/>
          <w:sz w:val="21"/>
          <w:szCs w:val="21"/>
        </w:rPr>
        <w:t>中的污染物项目开展监测</w:t>
      </w:r>
      <w:r>
        <w:rPr>
          <w:rFonts w:hint="eastAsia" w:ascii="楷体_GB2312" w:hAnsi="宋体" w:eastAsia="楷体_GB2312" w:cs="仿宋"/>
          <w:color w:val="000000"/>
          <w:spacing w:val="0"/>
          <w:kern w:val="0"/>
          <w:sz w:val="21"/>
          <w:szCs w:val="21"/>
        </w:rPr>
        <w:t>。</w:t>
      </w:r>
    </w:p>
    <w:p w14:paraId="3021D6BF">
      <w:pPr>
        <w:spacing w:line="480" w:lineRule="exact"/>
        <w:outlineLvl w:val="1"/>
        <w:rPr>
          <w:rFonts w:ascii="黑体" w:hAnsi="黑体" w:eastAsia="黑体" w:cs="黑体"/>
          <w:color w:val="000000"/>
          <w:sz w:val="28"/>
          <w:szCs w:val="28"/>
          <w:lang w:bidi="ar"/>
        </w:rPr>
      </w:pPr>
      <w:bookmarkStart w:id="329" w:name="_Toc198040221"/>
      <w:bookmarkStart w:id="330" w:name="_Toc208474713"/>
      <w:bookmarkStart w:id="331" w:name="_Toc198040365"/>
      <w:bookmarkStart w:id="332" w:name="_Toc230178825"/>
      <w:bookmarkStart w:id="333" w:name="_Toc28685"/>
      <w:r>
        <w:rPr>
          <w:rFonts w:hint="eastAsia" w:ascii="黑体" w:hAnsi="黑体" w:eastAsia="黑体" w:cs="黑体"/>
          <w:color w:val="000000"/>
          <w:sz w:val="28"/>
          <w:szCs w:val="28"/>
          <w:lang w:bidi="ar"/>
        </w:rPr>
        <w:t>8.5 环保设施“三同时”验收</w:t>
      </w:r>
      <w:bookmarkEnd w:id="328"/>
      <w:bookmarkEnd w:id="329"/>
      <w:bookmarkEnd w:id="330"/>
      <w:bookmarkEnd w:id="331"/>
      <w:bookmarkEnd w:id="332"/>
      <w:bookmarkEnd w:id="333"/>
    </w:p>
    <w:p w14:paraId="17A0AEC6">
      <w:pPr>
        <w:spacing w:line="480" w:lineRule="exact"/>
        <w:ind w:firstLine="526" w:firstLineChars="200"/>
        <w:rPr>
          <w:rFonts w:hAnsi="宋体" w:cs="宋体"/>
          <w:color w:val="000000"/>
          <w:szCs w:val="24"/>
        </w:rPr>
      </w:pPr>
      <w:r>
        <w:rPr>
          <w:rFonts w:hint="eastAsia" w:hAnsi="宋体"/>
          <w:color w:val="000000"/>
          <w:szCs w:val="24"/>
        </w:rPr>
        <w:t>拟建</w:t>
      </w:r>
      <w:r>
        <w:rPr>
          <w:rFonts w:hint="eastAsia" w:hAnsi="宋体" w:cs="宋体"/>
          <w:color w:val="000000"/>
          <w:szCs w:val="24"/>
        </w:rPr>
        <w:t>工程环保设施“三同时”验收一览表见表8.5-1。</w:t>
      </w:r>
    </w:p>
    <w:p w14:paraId="1883D003">
      <w:pPr>
        <w:spacing w:line="480" w:lineRule="exact"/>
        <w:ind w:firstLine="526" w:firstLineChars="200"/>
        <w:rPr>
          <w:rFonts w:hint="eastAsia" w:ascii="黑体" w:hAnsi="黑体" w:eastAsia="黑体"/>
          <w:color w:val="000000"/>
          <w:szCs w:val="24"/>
        </w:rPr>
      </w:pPr>
      <w:r>
        <w:rPr>
          <w:rFonts w:hint="eastAsia" w:ascii="黑体" w:hAnsi="黑体" w:eastAsia="黑体"/>
          <w:color w:val="000000"/>
          <w:szCs w:val="24"/>
        </w:rPr>
        <w:t>表8.5-1         环保设施“三同时”验收一览表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40"/>
        <w:gridCol w:w="284"/>
        <w:gridCol w:w="1336"/>
        <w:gridCol w:w="3720"/>
        <w:gridCol w:w="13"/>
        <w:gridCol w:w="1012"/>
        <w:gridCol w:w="638"/>
        <w:gridCol w:w="1672"/>
      </w:tblGrid>
      <w:tr w14:paraId="6ECA3D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tcMar>
              <w:left w:w="28" w:type="dxa"/>
              <w:right w:w="28" w:type="dxa"/>
            </w:tcMar>
            <w:vAlign w:val="center"/>
          </w:tcPr>
          <w:p w14:paraId="1F0B676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284" w:type="dxa"/>
            <w:tcMar>
              <w:left w:w="28" w:type="dxa"/>
              <w:right w:w="28" w:type="dxa"/>
            </w:tcMar>
            <w:vAlign w:val="center"/>
          </w:tcPr>
          <w:p w14:paraId="52D6718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1336" w:type="dxa"/>
            <w:tcMar>
              <w:left w:w="28" w:type="dxa"/>
              <w:right w:w="28" w:type="dxa"/>
            </w:tcMar>
            <w:vAlign w:val="center"/>
          </w:tcPr>
          <w:p w14:paraId="4B5CB4C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污染源</w:t>
            </w:r>
          </w:p>
        </w:tc>
        <w:tc>
          <w:tcPr>
            <w:tcW w:w="3720" w:type="dxa"/>
            <w:tcMar>
              <w:left w:w="28" w:type="dxa"/>
              <w:right w:w="28" w:type="dxa"/>
            </w:tcMar>
            <w:vAlign w:val="center"/>
          </w:tcPr>
          <w:p w14:paraId="2F17E0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环保措施</w:t>
            </w:r>
          </w:p>
        </w:tc>
        <w:tc>
          <w:tcPr>
            <w:tcW w:w="1025" w:type="dxa"/>
            <w:gridSpan w:val="2"/>
            <w:tcMar>
              <w:left w:w="28" w:type="dxa"/>
              <w:right w:w="28" w:type="dxa"/>
            </w:tcMar>
            <w:vAlign w:val="center"/>
          </w:tcPr>
          <w:p w14:paraId="24BF8BD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治理</w:t>
            </w:r>
          </w:p>
          <w:p w14:paraId="37E4120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效果</w:t>
            </w:r>
          </w:p>
        </w:tc>
        <w:tc>
          <w:tcPr>
            <w:tcW w:w="638" w:type="dxa"/>
            <w:tcMar>
              <w:left w:w="28" w:type="dxa"/>
              <w:right w:w="28" w:type="dxa"/>
            </w:tcMar>
            <w:vAlign w:val="center"/>
          </w:tcPr>
          <w:p w14:paraId="6E06316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投资</w:t>
            </w:r>
          </w:p>
          <w:p w14:paraId="18255520">
            <w:pPr>
              <w:spacing w:line="0" w:lineRule="atLeast"/>
              <w:ind w:left="-113" w:leftChars="-43" w:right="-94" w:rightChars="-36"/>
              <w:jc w:val="center"/>
              <w:rPr>
                <w:rFonts w:hint="eastAsia" w:hAnsi="宋体" w:cs="宋体"/>
                <w:color w:val="000000"/>
                <w:spacing w:val="-10"/>
                <w:sz w:val="21"/>
                <w:szCs w:val="21"/>
              </w:rPr>
            </w:pPr>
            <w:r>
              <w:rPr>
                <w:rFonts w:hint="eastAsia" w:hAnsi="宋体" w:cs="宋体"/>
                <w:color w:val="000000"/>
                <w:spacing w:val="-10"/>
                <w:sz w:val="21"/>
                <w:szCs w:val="21"/>
              </w:rPr>
              <w:t>（万元）</w:t>
            </w:r>
          </w:p>
        </w:tc>
        <w:tc>
          <w:tcPr>
            <w:tcW w:w="1672" w:type="dxa"/>
            <w:tcMar>
              <w:left w:w="28" w:type="dxa"/>
              <w:right w:w="28" w:type="dxa"/>
            </w:tcMar>
            <w:vAlign w:val="center"/>
          </w:tcPr>
          <w:p w14:paraId="7F586B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验收标准</w:t>
            </w:r>
          </w:p>
        </w:tc>
      </w:tr>
      <w:tr w14:paraId="69C5F3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15" w:type="dxa"/>
            <w:gridSpan w:val="8"/>
            <w:tcMar>
              <w:left w:w="28" w:type="dxa"/>
              <w:right w:w="28" w:type="dxa"/>
            </w:tcMar>
            <w:vAlign w:val="center"/>
          </w:tcPr>
          <w:p w14:paraId="00C8A1A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施工期</w:t>
            </w:r>
          </w:p>
        </w:tc>
      </w:tr>
      <w:tr w14:paraId="39E54A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vMerge w:val="restart"/>
            <w:tcMar>
              <w:left w:w="28" w:type="dxa"/>
              <w:right w:w="28" w:type="dxa"/>
            </w:tcMar>
            <w:vAlign w:val="center"/>
          </w:tcPr>
          <w:p w14:paraId="07CE272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废气</w:t>
            </w:r>
          </w:p>
        </w:tc>
        <w:tc>
          <w:tcPr>
            <w:tcW w:w="284" w:type="dxa"/>
            <w:tcMar>
              <w:left w:w="28" w:type="dxa"/>
              <w:right w:w="28" w:type="dxa"/>
            </w:tcMar>
            <w:vAlign w:val="center"/>
          </w:tcPr>
          <w:p w14:paraId="0C2D0E2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336" w:type="dxa"/>
            <w:tcMar>
              <w:left w:w="28" w:type="dxa"/>
              <w:right w:w="28" w:type="dxa"/>
            </w:tcMar>
            <w:vAlign w:val="center"/>
          </w:tcPr>
          <w:p w14:paraId="78F49C5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施工扬尘</w:t>
            </w:r>
          </w:p>
        </w:tc>
        <w:tc>
          <w:tcPr>
            <w:tcW w:w="3720" w:type="dxa"/>
            <w:tcMar>
              <w:left w:w="28" w:type="dxa"/>
              <w:right w:w="28" w:type="dxa"/>
            </w:tcMar>
            <w:vAlign w:val="center"/>
          </w:tcPr>
          <w:p w14:paraId="191D0E5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洒水抑尘、车辆减速慢行、物料苫盖</w:t>
            </w:r>
          </w:p>
        </w:tc>
        <w:tc>
          <w:tcPr>
            <w:tcW w:w="1025" w:type="dxa"/>
            <w:gridSpan w:val="2"/>
            <w:tcMar>
              <w:left w:w="28" w:type="dxa"/>
              <w:right w:w="28" w:type="dxa"/>
            </w:tcMar>
            <w:vAlign w:val="center"/>
          </w:tcPr>
          <w:p w14:paraId="48515F8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2429C20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672" w:type="dxa"/>
            <w:tcMar>
              <w:left w:w="28" w:type="dxa"/>
              <w:right w:w="28" w:type="dxa"/>
            </w:tcMar>
            <w:vAlign w:val="center"/>
          </w:tcPr>
          <w:p w14:paraId="604E531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EECA5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vMerge w:val="continue"/>
            <w:tcMar>
              <w:left w:w="28" w:type="dxa"/>
              <w:right w:w="28" w:type="dxa"/>
            </w:tcMar>
            <w:vAlign w:val="center"/>
          </w:tcPr>
          <w:p w14:paraId="4D2073D3">
            <w:pPr>
              <w:spacing w:line="0" w:lineRule="atLeast"/>
              <w:jc w:val="center"/>
              <w:rPr>
                <w:rFonts w:hint="eastAsia" w:hAnsi="宋体" w:cs="宋体"/>
                <w:color w:val="000000"/>
                <w:spacing w:val="-10"/>
                <w:sz w:val="21"/>
                <w:szCs w:val="21"/>
              </w:rPr>
            </w:pPr>
          </w:p>
        </w:tc>
        <w:tc>
          <w:tcPr>
            <w:tcW w:w="284" w:type="dxa"/>
            <w:tcMar>
              <w:left w:w="28" w:type="dxa"/>
              <w:right w:w="28" w:type="dxa"/>
            </w:tcMar>
            <w:vAlign w:val="center"/>
          </w:tcPr>
          <w:p w14:paraId="2CC45A6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1336" w:type="dxa"/>
            <w:tcMar>
              <w:left w:w="28" w:type="dxa"/>
              <w:right w:w="28" w:type="dxa"/>
            </w:tcMar>
            <w:vAlign w:val="center"/>
          </w:tcPr>
          <w:p w14:paraId="43B538A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施工机械及运输车辆尾气、焊接烟气、热熔废气</w:t>
            </w:r>
          </w:p>
        </w:tc>
        <w:tc>
          <w:tcPr>
            <w:tcW w:w="3720" w:type="dxa"/>
            <w:tcMar>
              <w:left w:w="28" w:type="dxa"/>
              <w:right w:w="28" w:type="dxa"/>
            </w:tcMar>
            <w:vAlign w:val="center"/>
          </w:tcPr>
          <w:p w14:paraId="08BB9900">
            <w:pPr>
              <w:spacing w:line="0" w:lineRule="atLeast"/>
              <w:jc w:val="center"/>
              <w:rPr>
                <w:rFonts w:hint="eastAsia" w:hAnsi="宋体" w:cs="宋体"/>
                <w:color w:val="000000"/>
                <w:spacing w:val="-10"/>
                <w:sz w:val="21"/>
                <w:szCs w:val="21"/>
              </w:rPr>
            </w:pPr>
            <w:r>
              <w:rPr>
                <w:rFonts w:hint="eastAsia" w:hAnsi="宋体" w:cs="宋体"/>
                <w:color w:val="000000"/>
                <w:spacing w:val="-10"/>
                <w:kern w:val="0"/>
                <w:sz w:val="21"/>
                <w:szCs w:val="21"/>
              </w:rPr>
              <w:t>机械、车辆定期检修，状况良好，燃烧合格油品，不超负荷运行，</w:t>
            </w:r>
            <w:r>
              <w:rPr>
                <w:rFonts w:hint="eastAsia" w:hAnsi="宋体" w:cs="宋体"/>
                <w:color w:val="000000"/>
                <w:spacing w:val="-10"/>
                <w:sz w:val="21"/>
                <w:szCs w:val="21"/>
              </w:rPr>
              <w:t>焊接使用无毒低尘焊条，热熔过程控制热熔温度及操作时间</w:t>
            </w:r>
          </w:p>
        </w:tc>
        <w:tc>
          <w:tcPr>
            <w:tcW w:w="1025" w:type="dxa"/>
            <w:gridSpan w:val="2"/>
            <w:tcMar>
              <w:left w:w="28" w:type="dxa"/>
              <w:right w:w="28" w:type="dxa"/>
            </w:tcMar>
            <w:vAlign w:val="center"/>
          </w:tcPr>
          <w:p w14:paraId="7BE918D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0396C6B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672" w:type="dxa"/>
            <w:tcMar>
              <w:left w:w="28" w:type="dxa"/>
              <w:right w:w="28" w:type="dxa"/>
            </w:tcMar>
            <w:vAlign w:val="center"/>
          </w:tcPr>
          <w:p w14:paraId="02FAD6A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1EA816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vMerge w:val="restart"/>
            <w:tcMar>
              <w:left w:w="28" w:type="dxa"/>
              <w:right w:w="28" w:type="dxa"/>
            </w:tcMar>
            <w:vAlign w:val="center"/>
          </w:tcPr>
          <w:p w14:paraId="707DAB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废水</w:t>
            </w:r>
          </w:p>
        </w:tc>
        <w:tc>
          <w:tcPr>
            <w:tcW w:w="284" w:type="dxa"/>
            <w:tcMar>
              <w:left w:w="28" w:type="dxa"/>
              <w:right w:w="28" w:type="dxa"/>
            </w:tcMar>
            <w:vAlign w:val="center"/>
          </w:tcPr>
          <w:p w14:paraId="69F1A00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336" w:type="dxa"/>
            <w:tcMar>
              <w:left w:w="28" w:type="dxa"/>
              <w:right w:w="28" w:type="dxa"/>
            </w:tcMar>
            <w:vAlign w:val="center"/>
          </w:tcPr>
          <w:p w14:paraId="0798F482">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管道试压废水</w:t>
            </w:r>
          </w:p>
        </w:tc>
        <w:tc>
          <w:tcPr>
            <w:tcW w:w="3720" w:type="dxa"/>
            <w:tcMar>
              <w:left w:w="28" w:type="dxa"/>
              <w:right w:w="28" w:type="dxa"/>
            </w:tcMar>
            <w:vAlign w:val="center"/>
          </w:tcPr>
          <w:p w14:paraId="5612AA52">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循环使用，试压结束后用于洒水抑尘</w:t>
            </w:r>
          </w:p>
        </w:tc>
        <w:tc>
          <w:tcPr>
            <w:tcW w:w="1025" w:type="dxa"/>
            <w:gridSpan w:val="2"/>
            <w:tcMar>
              <w:left w:w="28" w:type="dxa"/>
              <w:right w:w="28" w:type="dxa"/>
            </w:tcMar>
            <w:vAlign w:val="center"/>
          </w:tcPr>
          <w:p w14:paraId="3763663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5B1289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672" w:type="dxa"/>
            <w:tcMar>
              <w:left w:w="28" w:type="dxa"/>
              <w:right w:w="28" w:type="dxa"/>
            </w:tcMar>
            <w:vAlign w:val="center"/>
          </w:tcPr>
          <w:p w14:paraId="2D3D958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6D5D75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vMerge w:val="continue"/>
            <w:tcMar>
              <w:left w:w="28" w:type="dxa"/>
              <w:right w:w="28" w:type="dxa"/>
            </w:tcMar>
            <w:vAlign w:val="center"/>
          </w:tcPr>
          <w:p w14:paraId="4A843D65">
            <w:pPr>
              <w:spacing w:line="0" w:lineRule="atLeast"/>
              <w:jc w:val="center"/>
              <w:rPr>
                <w:rFonts w:hint="eastAsia" w:hAnsi="宋体" w:cs="宋体"/>
                <w:color w:val="000000"/>
                <w:spacing w:val="-10"/>
                <w:sz w:val="21"/>
                <w:szCs w:val="21"/>
              </w:rPr>
            </w:pPr>
          </w:p>
        </w:tc>
        <w:tc>
          <w:tcPr>
            <w:tcW w:w="284" w:type="dxa"/>
            <w:tcMar>
              <w:left w:w="28" w:type="dxa"/>
              <w:right w:w="28" w:type="dxa"/>
            </w:tcMar>
            <w:vAlign w:val="center"/>
          </w:tcPr>
          <w:p w14:paraId="712F3F3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1336" w:type="dxa"/>
            <w:tcMar>
              <w:left w:w="28" w:type="dxa"/>
              <w:right w:w="28" w:type="dxa"/>
            </w:tcMar>
            <w:vAlign w:val="center"/>
          </w:tcPr>
          <w:p w14:paraId="70FAC890">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施工期生活污水</w:t>
            </w:r>
          </w:p>
        </w:tc>
        <w:tc>
          <w:tcPr>
            <w:tcW w:w="3720" w:type="dxa"/>
            <w:tcMar>
              <w:left w:w="28" w:type="dxa"/>
              <w:right w:w="28" w:type="dxa"/>
            </w:tcMar>
            <w:vAlign w:val="center"/>
          </w:tcPr>
          <w:p w14:paraId="1D62E2F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生活污水依托塔三联合站公寓生活污水处理装置处理</w:t>
            </w:r>
          </w:p>
        </w:tc>
        <w:tc>
          <w:tcPr>
            <w:tcW w:w="1025" w:type="dxa"/>
            <w:gridSpan w:val="2"/>
            <w:tcMar>
              <w:left w:w="28" w:type="dxa"/>
              <w:right w:w="28" w:type="dxa"/>
            </w:tcMar>
            <w:vAlign w:val="center"/>
          </w:tcPr>
          <w:p w14:paraId="6492920C">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不外排</w:t>
            </w:r>
          </w:p>
        </w:tc>
        <w:tc>
          <w:tcPr>
            <w:tcW w:w="638" w:type="dxa"/>
            <w:tcMar>
              <w:left w:w="28" w:type="dxa"/>
              <w:right w:w="28" w:type="dxa"/>
            </w:tcMar>
            <w:vAlign w:val="center"/>
          </w:tcPr>
          <w:p w14:paraId="6E4A6D2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72" w:type="dxa"/>
            <w:tcMar>
              <w:left w:w="28" w:type="dxa"/>
              <w:right w:w="28" w:type="dxa"/>
            </w:tcMar>
            <w:vAlign w:val="center"/>
          </w:tcPr>
          <w:p w14:paraId="509B13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01D1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tcMar>
              <w:left w:w="28" w:type="dxa"/>
              <w:right w:w="28" w:type="dxa"/>
            </w:tcMar>
            <w:vAlign w:val="center"/>
          </w:tcPr>
          <w:p w14:paraId="767437F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噪声</w:t>
            </w:r>
          </w:p>
        </w:tc>
        <w:tc>
          <w:tcPr>
            <w:tcW w:w="284" w:type="dxa"/>
            <w:tcMar>
              <w:left w:w="28" w:type="dxa"/>
              <w:right w:w="28" w:type="dxa"/>
            </w:tcMar>
            <w:vAlign w:val="center"/>
          </w:tcPr>
          <w:p w14:paraId="6FA26DC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336" w:type="dxa"/>
            <w:tcMar>
              <w:left w:w="28" w:type="dxa"/>
              <w:right w:w="28" w:type="dxa"/>
            </w:tcMar>
            <w:vAlign w:val="center"/>
          </w:tcPr>
          <w:p w14:paraId="54DC7F9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吊机、装载机、运输车辆等</w:t>
            </w:r>
          </w:p>
        </w:tc>
        <w:tc>
          <w:tcPr>
            <w:tcW w:w="3720" w:type="dxa"/>
            <w:tcMar>
              <w:left w:w="28" w:type="dxa"/>
              <w:right w:w="28" w:type="dxa"/>
            </w:tcMar>
            <w:vAlign w:val="center"/>
          </w:tcPr>
          <w:p w14:paraId="42E4AA9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选用低噪声设备、合理安排施工作业</w:t>
            </w:r>
          </w:p>
          <w:p w14:paraId="5BAB2CD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时间</w:t>
            </w:r>
          </w:p>
        </w:tc>
        <w:tc>
          <w:tcPr>
            <w:tcW w:w="1025" w:type="dxa"/>
            <w:gridSpan w:val="2"/>
            <w:tcMar>
              <w:left w:w="28" w:type="dxa"/>
              <w:right w:w="28" w:type="dxa"/>
            </w:tcMar>
            <w:vAlign w:val="center"/>
          </w:tcPr>
          <w:p w14:paraId="6FD7CA6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63AE1D1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1672" w:type="dxa"/>
            <w:tcMar>
              <w:left w:w="28" w:type="dxa"/>
              <w:right w:w="28" w:type="dxa"/>
            </w:tcMar>
            <w:vAlign w:val="center"/>
          </w:tcPr>
          <w:p w14:paraId="7A3D24F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AE9EF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vMerge w:val="restart"/>
            <w:tcMar>
              <w:left w:w="28" w:type="dxa"/>
              <w:right w:w="28" w:type="dxa"/>
            </w:tcMar>
            <w:vAlign w:val="center"/>
          </w:tcPr>
          <w:p w14:paraId="4C2ED9FB">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固废</w:t>
            </w:r>
          </w:p>
        </w:tc>
        <w:tc>
          <w:tcPr>
            <w:tcW w:w="284" w:type="dxa"/>
            <w:tcMar>
              <w:left w:w="28" w:type="dxa"/>
              <w:right w:w="28" w:type="dxa"/>
            </w:tcMar>
            <w:vAlign w:val="center"/>
          </w:tcPr>
          <w:p w14:paraId="35D77C2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336" w:type="dxa"/>
            <w:tcMar>
              <w:left w:w="28" w:type="dxa"/>
              <w:right w:w="28" w:type="dxa"/>
            </w:tcMar>
            <w:vAlign w:val="center"/>
          </w:tcPr>
          <w:p w14:paraId="4D23AEF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管道焊接及吹扫废渣</w:t>
            </w:r>
          </w:p>
        </w:tc>
        <w:tc>
          <w:tcPr>
            <w:tcW w:w="3720" w:type="dxa"/>
            <w:tcMar>
              <w:left w:w="28" w:type="dxa"/>
              <w:right w:w="28" w:type="dxa"/>
            </w:tcMar>
            <w:vAlign w:val="center"/>
          </w:tcPr>
          <w:p w14:paraId="70DBEB1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收集后送塔中固废填埋场填埋处置</w:t>
            </w:r>
          </w:p>
        </w:tc>
        <w:tc>
          <w:tcPr>
            <w:tcW w:w="1025" w:type="dxa"/>
            <w:gridSpan w:val="2"/>
            <w:tcMar>
              <w:left w:w="28" w:type="dxa"/>
              <w:right w:w="28" w:type="dxa"/>
            </w:tcMar>
            <w:vAlign w:val="center"/>
          </w:tcPr>
          <w:p w14:paraId="3B7A597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妥善处置</w:t>
            </w:r>
          </w:p>
        </w:tc>
        <w:tc>
          <w:tcPr>
            <w:tcW w:w="638" w:type="dxa"/>
            <w:tcMar>
              <w:left w:w="28" w:type="dxa"/>
              <w:right w:w="28" w:type="dxa"/>
            </w:tcMar>
            <w:vAlign w:val="center"/>
          </w:tcPr>
          <w:p w14:paraId="476112D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72" w:type="dxa"/>
            <w:tcMar>
              <w:left w:w="28" w:type="dxa"/>
              <w:right w:w="28" w:type="dxa"/>
            </w:tcMar>
            <w:vAlign w:val="center"/>
          </w:tcPr>
          <w:p w14:paraId="70B9FFC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461442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09" w:hRule="atLeast"/>
          <w:jc w:val="center"/>
        </w:trPr>
        <w:tc>
          <w:tcPr>
            <w:tcW w:w="340" w:type="dxa"/>
            <w:vMerge w:val="continue"/>
            <w:tcMar>
              <w:left w:w="28" w:type="dxa"/>
              <w:right w:w="28" w:type="dxa"/>
            </w:tcMar>
            <w:vAlign w:val="center"/>
          </w:tcPr>
          <w:p w14:paraId="339E72B1">
            <w:pPr>
              <w:spacing w:line="0" w:lineRule="atLeast"/>
              <w:jc w:val="center"/>
              <w:rPr>
                <w:rFonts w:hint="eastAsia" w:hAnsi="宋体" w:cs="宋体"/>
                <w:color w:val="000000"/>
                <w:spacing w:val="-10"/>
                <w:sz w:val="21"/>
                <w:szCs w:val="21"/>
              </w:rPr>
            </w:pPr>
          </w:p>
        </w:tc>
        <w:tc>
          <w:tcPr>
            <w:tcW w:w="284" w:type="dxa"/>
            <w:tcMar>
              <w:left w:w="28" w:type="dxa"/>
              <w:right w:w="28" w:type="dxa"/>
            </w:tcMar>
            <w:vAlign w:val="center"/>
          </w:tcPr>
          <w:p w14:paraId="7AADD68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2</w:t>
            </w:r>
          </w:p>
        </w:tc>
        <w:tc>
          <w:tcPr>
            <w:tcW w:w="1336" w:type="dxa"/>
            <w:tcMar>
              <w:left w:w="28" w:type="dxa"/>
              <w:right w:w="28" w:type="dxa"/>
            </w:tcMar>
            <w:vAlign w:val="center"/>
          </w:tcPr>
          <w:p w14:paraId="6E9D88AB">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生活垃圾</w:t>
            </w:r>
          </w:p>
        </w:tc>
        <w:tc>
          <w:tcPr>
            <w:tcW w:w="3720" w:type="dxa"/>
            <w:tcMar>
              <w:left w:w="28" w:type="dxa"/>
              <w:right w:w="28" w:type="dxa"/>
            </w:tcMar>
            <w:vAlign w:val="center"/>
          </w:tcPr>
          <w:p w14:paraId="038F849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收集后送塔中固废填埋场填埋处置</w:t>
            </w:r>
          </w:p>
        </w:tc>
        <w:tc>
          <w:tcPr>
            <w:tcW w:w="1025" w:type="dxa"/>
            <w:gridSpan w:val="2"/>
            <w:tcMar>
              <w:left w:w="28" w:type="dxa"/>
              <w:right w:w="28" w:type="dxa"/>
            </w:tcMar>
            <w:vAlign w:val="center"/>
          </w:tcPr>
          <w:p w14:paraId="2FAF5857">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妥善处置</w:t>
            </w:r>
          </w:p>
        </w:tc>
        <w:tc>
          <w:tcPr>
            <w:tcW w:w="638" w:type="dxa"/>
            <w:tcMar>
              <w:left w:w="28" w:type="dxa"/>
              <w:right w:w="28" w:type="dxa"/>
            </w:tcMar>
            <w:vAlign w:val="center"/>
          </w:tcPr>
          <w:p w14:paraId="71A8E66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72" w:type="dxa"/>
            <w:tcMar>
              <w:left w:w="28" w:type="dxa"/>
              <w:right w:w="28" w:type="dxa"/>
            </w:tcMar>
            <w:vAlign w:val="center"/>
          </w:tcPr>
          <w:p w14:paraId="0598FCAF">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57C40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86" w:hRule="atLeast"/>
          <w:jc w:val="center"/>
        </w:trPr>
        <w:tc>
          <w:tcPr>
            <w:tcW w:w="340" w:type="dxa"/>
            <w:vMerge w:val="continue"/>
            <w:tcMar>
              <w:left w:w="28" w:type="dxa"/>
              <w:right w:w="28" w:type="dxa"/>
            </w:tcMar>
            <w:vAlign w:val="center"/>
          </w:tcPr>
          <w:p w14:paraId="2B891ABE">
            <w:pPr>
              <w:spacing w:line="0" w:lineRule="atLeast"/>
              <w:jc w:val="center"/>
              <w:rPr>
                <w:rFonts w:hint="eastAsia" w:hAnsi="宋体" w:cs="宋体"/>
                <w:color w:val="000000"/>
                <w:spacing w:val="-10"/>
                <w:sz w:val="21"/>
                <w:szCs w:val="21"/>
              </w:rPr>
            </w:pPr>
          </w:p>
        </w:tc>
        <w:tc>
          <w:tcPr>
            <w:tcW w:w="284" w:type="dxa"/>
            <w:tcMar>
              <w:left w:w="28" w:type="dxa"/>
              <w:right w:w="28" w:type="dxa"/>
            </w:tcMar>
            <w:vAlign w:val="center"/>
          </w:tcPr>
          <w:p w14:paraId="7DF94695">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1336" w:type="dxa"/>
            <w:tcMar>
              <w:left w:w="28" w:type="dxa"/>
              <w:right w:w="28" w:type="dxa"/>
            </w:tcMar>
            <w:vAlign w:val="center"/>
          </w:tcPr>
          <w:p w14:paraId="45EE446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清管废渣</w:t>
            </w:r>
          </w:p>
        </w:tc>
        <w:tc>
          <w:tcPr>
            <w:tcW w:w="3720" w:type="dxa"/>
            <w:vMerge w:val="restart"/>
            <w:tcMar>
              <w:left w:w="28" w:type="dxa"/>
              <w:right w:w="28" w:type="dxa"/>
            </w:tcMar>
            <w:vAlign w:val="center"/>
          </w:tcPr>
          <w:p w14:paraId="36BA2F5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收集后由区域具有危废处置资质的公司接收处置</w:t>
            </w:r>
          </w:p>
        </w:tc>
        <w:tc>
          <w:tcPr>
            <w:tcW w:w="1025" w:type="dxa"/>
            <w:gridSpan w:val="2"/>
            <w:vMerge w:val="restart"/>
            <w:tcMar>
              <w:left w:w="28" w:type="dxa"/>
              <w:right w:w="28" w:type="dxa"/>
            </w:tcMar>
            <w:vAlign w:val="center"/>
          </w:tcPr>
          <w:p w14:paraId="5B2885B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妥善处置</w:t>
            </w:r>
          </w:p>
        </w:tc>
        <w:tc>
          <w:tcPr>
            <w:tcW w:w="638" w:type="dxa"/>
            <w:vMerge w:val="restart"/>
            <w:tcMar>
              <w:left w:w="28" w:type="dxa"/>
              <w:right w:w="28" w:type="dxa"/>
            </w:tcMar>
            <w:vAlign w:val="center"/>
          </w:tcPr>
          <w:p w14:paraId="5291CFB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5</w:t>
            </w:r>
          </w:p>
        </w:tc>
        <w:tc>
          <w:tcPr>
            <w:tcW w:w="1672" w:type="dxa"/>
            <w:vMerge w:val="restart"/>
            <w:tcMar>
              <w:left w:w="28" w:type="dxa"/>
              <w:right w:w="28" w:type="dxa"/>
            </w:tcMar>
            <w:vAlign w:val="center"/>
          </w:tcPr>
          <w:p w14:paraId="3E1D6AA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r>
      <w:tr w14:paraId="7C0082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6" w:hRule="atLeast"/>
          <w:jc w:val="center"/>
        </w:trPr>
        <w:tc>
          <w:tcPr>
            <w:tcW w:w="340" w:type="dxa"/>
            <w:vMerge w:val="continue"/>
            <w:tcMar>
              <w:left w:w="28" w:type="dxa"/>
              <w:right w:w="28" w:type="dxa"/>
            </w:tcMar>
            <w:vAlign w:val="center"/>
          </w:tcPr>
          <w:p w14:paraId="00026414">
            <w:pPr>
              <w:spacing w:line="0" w:lineRule="atLeast"/>
              <w:jc w:val="center"/>
              <w:rPr>
                <w:rFonts w:hint="eastAsia" w:hAnsi="宋体" w:cs="宋体"/>
                <w:color w:val="000000"/>
                <w:spacing w:val="-10"/>
                <w:sz w:val="21"/>
                <w:szCs w:val="21"/>
              </w:rPr>
            </w:pPr>
          </w:p>
        </w:tc>
        <w:tc>
          <w:tcPr>
            <w:tcW w:w="284" w:type="dxa"/>
            <w:tcMar>
              <w:left w:w="28" w:type="dxa"/>
              <w:right w:w="28" w:type="dxa"/>
            </w:tcMar>
            <w:vAlign w:val="center"/>
          </w:tcPr>
          <w:p w14:paraId="39FDB50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4</w:t>
            </w:r>
          </w:p>
        </w:tc>
        <w:tc>
          <w:tcPr>
            <w:tcW w:w="1336" w:type="dxa"/>
            <w:tcMar>
              <w:left w:w="28" w:type="dxa"/>
              <w:right w:w="28" w:type="dxa"/>
            </w:tcMar>
            <w:vAlign w:val="center"/>
          </w:tcPr>
          <w:p w14:paraId="4BC884E1">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废防渗膜</w:t>
            </w:r>
          </w:p>
        </w:tc>
        <w:tc>
          <w:tcPr>
            <w:tcW w:w="3720" w:type="dxa"/>
            <w:vMerge w:val="continue"/>
            <w:tcMar>
              <w:left w:w="28" w:type="dxa"/>
              <w:right w:w="28" w:type="dxa"/>
            </w:tcMar>
            <w:vAlign w:val="center"/>
          </w:tcPr>
          <w:p w14:paraId="3E81465C">
            <w:pPr>
              <w:spacing w:line="0" w:lineRule="atLeast"/>
              <w:jc w:val="center"/>
              <w:rPr>
                <w:rFonts w:hint="eastAsia" w:hAnsi="宋体" w:cs="宋体"/>
                <w:color w:val="000000"/>
                <w:spacing w:val="-10"/>
                <w:kern w:val="0"/>
                <w:sz w:val="21"/>
                <w:szCs w:val="21"/>
              </w:rPr>
            </w:pPr>
          </w:p>
        </w:tc>
        <w:tc>
          <w:tcPr>
            <w:tcW w:w="1025" w:type="dxa"/>
            <w:gridSpan w:val="2"/>
            <w:vMerge w:val="continue"/>
            <w:tcMar>
              <w:left w:w="28" w:type="dxa"/>
              <w:right w:w="28" w:type="dxa"/>
            </w:tcMar>
            <w:vAlign w:val="center"/>
          </w:tcPr>
          <w:p w14:paraId="2EABE4C6">
            <w:pPr>
              <w:spacing w:line="0" w:lineRule="atLeast"/>
              <w:jc w:val="center"/>
              <w:rPr>
                <w:rFonts w:hint="eastAsia" w:hAnsi="宋体" w:cs="宋体"/>
                <w:color w:val="000000"/>
                <w:spacing w:val="-10"/>
                <w:sz w:val="21"/>
                <w:szCs w:val="21"/>
              </w:rPr>
            </w:pPr>
          </w:p>
        </w:tc>
        <w:tc>
          <w:tcPr>
            <w:tcW w:w="638" w:type="dxa"/>
            <w:vMerge w:val="continue"/>
            <w:tcMar>
              <w:left w:w="28" w:type="dxa"/>
              <w:right w:w="28" w:type="dxa"/>
            </w:tcMar>
            <w:vAlign w:val="center"/>
          </w:tcPr>
          <w:p w14:paraId="034B702F">
            <w:pPr>
              <w:spacing w:line="0" w:lineRule="atLeast"/>
              <w:jc w:val="center"/>
              <w:rPr>
                <w:rFonts w:hint="eastAsia" w:hAnsi="宋体" w:cs="宋体"/>
                <w:color w:val="000000"/>
                <w:spacing w:val="-10"/>
                <w:sz w:val="21"/>
                <w:szCs w:val="21"/>
              </w:rPr>
            </w:pPr>
          </w:p>
        </w:tc>
        <w:tc>
          <w:tcPr>
            <w:tcW w:w="1672" w:type="dxa"/>
            <w:vMerge w:val="continue"/>
            <w:tcMar>
              <w:left w:w="28" w:type="dxa"/>
              <w:right w:w="28" w:type="dxa"/>
            </w:tcMar>
            <w:vAlign w:val="center"/>
          </w:tcPr>
          <w:p w14:paraId="29F4C263">
            <w:pPr>
              <w:spacing w:line="0" w:lineRule="atLeast"/>
              <w:jc w:val="center"/>
              <w:rPr>
                <w:rFonts w:hint="eastAsia" w:hAnsi="宋体" w:cs="宋体"/>
                <w:color w:val="000000"/>
                <w:spacing w:val="-10"/>
                <w:sz w:val="21"/>
                <w:szCs w:val="21"/>
              </w:rPr>
            </w:pPr>
          </w:p>
        </w:tc>
      </w:tr>
      <w:tr w14:paraId="11C862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24" w:type="dxa"/>
            <w:gridSpan w:val="2"/>
            <w:vMerge w:val="restart"/>
            <w:tcMar>
              <w:left w:w="28" w:type="dxa"/>
              <w:right w:w="28" w:type="dxa"/>
            </w:tcMar>
            <w:vAlign w:val="center"/>
          </w:tcPr>
          <w:p w14:paraId="53686E40">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w:t>
            </w:r>
          </w:p>
        </w:tc>
        <w:tc>
          <w:tcPr>
            <w:tcW w:w="1336" w:type="dxa"/>
            <w:tcMar>
              <w:left w:w="28" w:type="dxa"/>
              <w:right w:w="28" w:type="dxa"/>
            </w:tcMar>
            <w:vAlign w:val="center"/>
          </w:tcPr>
          <w:p w14:paraId="6427E8A7">
            <w:pPr>
              <w:spacing w:line="0" w:lineRule="atLeast"/>
              <w:jc w:val="center"/>
              <w:rPr>
                <w:rFonts w:hint="eastAsia" w:hAnsi="宋体" w:cs="宋体"/>
                <w:snapToGrid w:val="0"/>
                <w:color w:val="000000"/>
                <w:spacing w:val="-10"/>
                <w:sz w:val="21"/>
                <w:szCs w:val="21"/>
              </w:rPr>
            </w:pPr>
            <w:r>
              <w:rPr>
                <w:rFonts w:hint="eastAsia" w:hAnsi="宋体" w:cs="宋体"/>
                <w:color w:val="000000"/>
                <w:spacing w:val="-10"/>
                <w:kern w:val="0"/>
                <w:sz w:val="21"/>
                <w:szCs w:val="21"/>
              </w:rPr>
              <w:t>生态恢复</w:t>
            </w:r>
          </w:p>
        </w:tc>
        <w:tc>
          <w:tcPr>
            <w:tcW w:w="3720" w:type="dxa"/>
            <w:tcMar>
              <w:left w:w="28" w:type="dxa"/>
              <w:right w:w="28" w:type="dxa"/>
            </w:tcMar>
            <w:vAlign w:val="center"/>
          </w:tcPr>
          <w:p w14:paraId="3D077626">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16"/>
                <w:sz w:val="21"/>
                <w:szCs w:val="21"/>
              </w:rPr>
              <w:t>严格控制作业带宽度，管道填埋所需土方利用管沟挖方，做到土方平衡；工程结束后，及时对临时占地区域进行平整、恢复，使占地造成的影响逐步得以恢复</w:t>
            </w:r>
          </w:p>
        </w:tc>
        <w:tc>
          <w:tcPr>
            <w:tcW w:w="1025" w:type="dxa"/>
            <w:gridSpan w:val="2"/>
            <w:tcMar>
              <w:left w:w="28" w:type="dxa"/>
              <w:right w:w="28" w:type="dxa"/>
            </w:tcMar>
            <w:vAlign w:val="center"/>
          </w:tcPr>
          <w:p w14:paraId="1E107302">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临时占地恢复到之前状态</w:t>
            </w:r>
          </w:p>
        </w:tc>
        <w:tc>
          <w:tcPr>
            <w:tcW w:w="638" w:type="dxa"/>
            <w:tcMar>
              <w:left w:w="28" w:type="dxa"/>
              <w:right w:w="28" w:type="dxa"/>
            </w:tcMar>
            <w:vAlign w:val="center"/>
          </w:tcPr>
          <w:p w14:paraId="5E362B54">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w:t>
            </w:r>
          </w:p>
        </w:tc>
        <w:tc>
          <w:tcPr>
            <w:tcW w:w="1672" w:type="dxa"/>
            <w:tcMar>
              <w:left w:w="28" w:type="dxa"/>
              <w:right w:w="28" w:type="dxa"/>
            </w:tcMar>
            <w:vAlign w:val="center"/>
          </w:tcPr>
          <w:p w14:paraId="2A748670">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落实</w:t>
            </w:r>
            <w:r>
              <w:rPr>
                <w:rFonts w:hint="eastAsia" w:hAnsi="宋体" w:cs="宋体"/>
                <w:color w:val="000000"/>
                <w:spacing w:val="-10"/>
                <w:kern w:val="0"/>
                <w:sz w:val="21"/>
                <w:szCs w:val="21"/>
              </w:rPr>
              <w:t>生态恢复</w:t>
            </w:r>
          </w:p>
          <w:p w14:paraId="00E18092">
            <w:pPr>
              <w:spacing w:line="0" w:lineRule="atLeast"/>
              <w:jc w:val="center"/>
              <w:rPr>
                <w:rFonts w:hint="eastAsia" w:hAnsi="宋体" w:cs="宋体"/>
                <w:snapToGrid w:val="0"/>
                <w:color w:val="000000"/>
                <w:spacing w:val="-10"/>
                <w:sz w:val="21"/>
                <w:szCs w:val="21"/>
              </w:rPr>
            </w:pPr>
            <w:r>
              <w:rPr>
                <w:rFonts w:hint="eastAsia" w:hAnsi="宋体" w:cs="宋体"/>
                <w:color w:val="000000"/>
                <w:spacing w:val="-10"/>
                <w:kern w:val="0"/>
                <w:sz w:val="21"/>
                <w:szCs w:val="21"/>
              </w:rPr>
              <w:t>措施</w:t>
            </w:r>
          </w:p>
        </w:tc>
      </w:tr>
      <w:tr w14:paraId="59C3C1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24" w:type="dxa"/>
            <w:gridSpan w:val="2"/>
            <w:vMerge w:val="continue"/>
            <w:tcMar>
              <w:left w:w="28" w:type="dxa"/>
              <w:right w:w="28" w:type="dxa"/>
            </w:tcMar>
            <w:vAlign w:val="center"/>
          </w:tcPr>
          <w:p w14:paraId="6798ABBD">
            <w:pPr>
              <w:spacing w:line="0" w:lineRule="atLeast"/>
              <w:jc w:val="center"/>
              <w:rPr>
                <w:rFonts w:hint="eastAsia" w:hAnsi="宋体" w:cs="宋体"/>
                <w:color w:val="000000"/>
                <w:spacing w:val="-10"/>
                <w:sz w:val="21"/>
                <w:szCs w:val="21"/>
              </w:rPr>
            </w:pPr>
          </w:p>
        </w:tc>
        <w:tc>
          <w:tcPr>
            <w:tcW w:w="1336" w:type="dxa"/>
            <w:tcMar>
              <w:left w:w="28" w:type="dxa"/>
              <w:right w:w="28" w:type="dxa"/>
            </w:tcMar>
            <w:vAlign w:val="center"/>
          </w:tcPr>
          <w:p w14:paraId="55DDC7F5">
            <w:pPr>
              <w:spacing w:line="0" w:lineRule="atLeast"/>
              <w:jc w:val="center"/>
              <w:rPr>
                <w:rFonts w:hint="eastAsia" w:hAnsi="宋体" w:cs="宋体"/>
                <w:color w:val="000000"/>
                <w:spacing w:val="-10"/>
                <w:sz w:val="21"/>
                <w:szCs w:val="21"/>
              </w:rPr>
            </w:pPr>
            <w:r>
              <w:rPr>
                <w:rFonts w:hint="eastAsia" w:hAnsi="宋体" w:cs="宋体"/>
                <w:snapToGrid w:val="0"/>
                <w:color w:val="000000"/>
                <w:spacing w:val="-10"/>
                <w:sz w:val="21"/>
                <w:szCs w:val="21"/>
              </w:rPr>
              <w:t>水土保持</w:t>
            </w:r>
          </w:p>
        </w:tc>
        <w:tc>
          <w:tcPr>
            <w:tcW w:w="3720" w:type="dxa"/>
            <w:tcMar>
              <w:left w:w="28" w:type="dxa"/>
              <w:right w:w="28" w:type="dxa"/>
            </w:tcMar>
            <w:vAlign w:val="center"/>
          </w:tcPr>
          <w:p w14:paraId="19D1FD19">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水土流失补偿、防尘网苫盖、限行彩条旗、洒水降尘</w:t>
            </w:r>
          </w:p>
        </w:tc>
        <w:tc>
          <w:tcPr>
            <w:tcW w:w="1025" w:type="dxa"/>
            <w:gridSpan w:val="2"/>
            <w:tcMar>
              <w:left w:w="28" w:type="dxa"/>
              <w:right w:w="28" w:type="dxa"/>
            </w:tcMar>
            <w:vAlign w:val="center"/>
          </w:tcPr>
          <w:p w14:paraId="7F3AA9A5">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防止水土流失</w:t>
            </w:r>
          </w:p>
        </w:tc>
        <w:tc>
          <w:tcPr>
            <w:tcW w:w="638" w:type="dxa"/>
            <w:tcMar>
              <w:left w:w="28" w:type="dxa"/>
              <w:right w:w="28" w:type="dxa"/>
            </w:tcMar>
            <w:vAlign w:val="center"/>
          </w:tcPr>
          <w:p w14:paraId="41EF17CF">
            <w:pPr>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5</w:t>
            </w:r>
          </w:p>
        </w:tc>
        <w:tc>
          <w:tcPr>
            <w:tcW w:w="1672" w:type="dxa"/>
            <w:tcMar>
              <w:left w:w="28" w:type="dxa"/>
              <w:right w:w="28" w:type="dxa"/>
            </w:tcMar>
            <w:vAlign w:val="center"/>
          </w:tcPr>
          <w:p w14:paraId="74302C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落实水土保持</w:t>
            </w:r>
          </w:p>
          <w:p w14:paraId="4C6FD9EE">
            <w:pPr>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措施</w:t>
            </w:r>
          </w:p>
        </w:tc>
      </w:tr>
      <w:tr w14:paraId="75CC77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24" w:type="dxa"/>
            <w:gridSpan w:val="2"/>
            <w:vMerge w:val="continue"/>
            <w:tcMar>
              <w:left w:w="28" w:type="dxa"/>
              <w:right w:w="28" w:type="dxa"/>
            </w:tcMar>
            <w:vAlign w:val="center"/>
          </w:tcPr>
          <w:p w14:paraId="2C176F7F">
            <w:pPr>
              <w:wordWrap w:val="0"/>
              <w:spacing w:line="0" w:lineRule="atLeast"/>
              <w:jc w:val="center"/>
              <w:rPr>
                <w:rFonts w:hint="eastAsia" w:hAnsi="宋体" w:cs="宋体"/>
                <w:color w:val="000000"/>
                <w:spacing w:val="-10"/>
                <w:sz w:val="21"/>
                <w:szCs w:val="21"/>
              </w:rPr>
            </w:pPr>
          </w:p>
        </w:tc>
        <w:tc>
          <w:tcPr>
            <w:tcW w:w="1336" w:type="dxa"/>
            <w:tcMar>
              <w:left w:w="28" w:type="dxa"/>
              <w:right w:w="28" w:type="dxa"/>
            </w:tcMar>
            <w:vAlign w:val="center"/>
          </w:tcPr>
          <w:p w14:paraId="0ED919CC">
            <w:pPr>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防沙治沙</w:t>
            </w:r>
          </w:p>
        </w:tc>
        <w:tc>
          <w:tcPr>
            <w:tcW w:w="3720" w:type="dxa"/>
            <w:tcMar>
              <w:left w:w="28" w:type="dxa"/>
              <w:right w:w="28" w:type="dxa"/>
            </w:tcMar>
            <w:vAlign w:val="center"/>
          </w:tcPr>
          <w:p w14:paraId="4FE83F50">
            <w:pPr>
              <w:spacing w:line="0" w:lineRule="atLeast"/>
              <w:jc w:val="center"/>
              <w:rPr>
                <w:rFonts w:hint="eastAsia" w:hAnsi="宋体" w:cs="宋体"/>
                <w:snapToGrid w:val="0"/>
                <w:color w:val="000000"/>
                <w:spacing w:val="-10"/>
                <w:sz w:val="21"/>
                <w:szCs w:val="21"/>
              </w:rPr>
            </w:pPr>
            <w:r>
              <w:rPr>
                <w:rFonts w:hint="eastAsia" w:hAnsi="宋体" w:cs="宋体"/>
                <w:color w:val="000000"/>
                <w:spacing w:val="-10"/>
                <w:sz w:val="21"/>
                <w:szCs w:val="21"/>
              </w:rPr>
              <w:t>对临时堆土区采取防尘网苫盖的方式进行防护；在施工作业带两侧拉彩条旗以示明车辆行驶的边界；定时洒水，减少施工过程中因风蚀造成的水土流失，在风季施工期内，增加洒水防护措施</w:t>
            </w:r>
          </w:p>
        </w:tc>
        <w:tc>
          <w:tcPr>
            <w:tcW w:w="1025" w:type="dxa"/>
            <w:gridSpan w:val="2"/>
            <w:tcMar>
              <w:left w:w="28" w:type="dxa"/>
              <w:right w:w="28" w:type="dxa"/>
            </w:tcMar>
            <w:vAlign w:val="center"/>
          </w:tcPr>
          <w:p w14:paraId="0CED462A">
            <w:pPr>
              <w:wordWrap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防止土地沙化</w:t>
            </w:r>
          </w:p>
        </w:tc>
        <w:tc>
          <w:tcPr>
            <w:tcW w:w="638" w:type="dxa"/>
            <w:tcMar>
              <w:left w:w="28" w:type="dxa"/>
              <w:right w:w="28" w:type="dxa"/>
            </w:tcMar>
            <w:vAlign w:val="center"/>
          </w:tcPr>
          <w:p w14:paraId="4E6FFE04">
            <w:pPr>
              <w:wordWrap w:val="0"/>
              <w:spacing w:line="0" w:lineRule="atLeast"/>
              <w:jc w:val="center"/>
              <w:rPr>
                <w:rFonts w:hint="eastAsia" w:hAnsi="宋体" w:cs="宋体"/>
                <w:color w:val="000000"/>
                <w:spacing w:val="-10"/>
                <w:kern w:val="0"/>
                <w:sz w:val="21"/>
                <w:szCs w:val="21"/>
              </w:rPr>
            </w:pPr>
            <w:r>
              <w:rPr>
                <w:rFonts w:hint="eastAsia" w:hAnsi="宋体" w:cs="宋体"/>
                <w:color w:val="000000"/>
                <w:spacing w:val="-10"/>
                <w:kern w:val="0"/>
                <w:sz w:val="21"/>
                <w:szCs w:val="21"/>
              </w:rPr>
              <w:t>10</w:t>
            </w:r>
          </w:p>
        </w:tc>
        <w:tc>
          <w:tcPr>
            <w:tcW w:w="1672" w:type="dxa"/>
            <w:tcMar>
              <w:left w:w="28" w:type="dxa"/>
              <w:right w:w="28" w:type="dxa"/>
            </w:tcMar>
            <w:vAlign w:val="center"/>
          </w:tcPr>
          <w:p w14:paraId="6B15A003">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落实防沙治沙</w:t>
            </w:r>
          </w:p>
          <w:p w14:paraId="5259DEDC">
            <w:pPr>
              <w:wordWrap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措施</w:t>
            </w:r>
          </w:p>
        </w:tc>
      </w:tr>
      <w:tr w14:paraId="493AD2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24" w:type="dxa"/>
            <w:gridSpan w:val="2"/>
            <w:tcMar>
              <w:left w:w="28" w:type="dxa"/>
              <w:right w:w="28" w:type="dxa"/>
            </w:tcMar>
            <w:vAlign w:val="center"/>
          </w:tcPr>
          <w:p w14:paraId="2DC8D63C">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环境监理</w:t>
            </w:r>
          </w:p>
        </w:tc>
        <w:tc>
          <w:tcPr>
            <w:tcW w:w="5056" w:type="dxa"/>
            <w:gridSpan w:val="2"/>
            <w:tcMar>
              <w:left w:w="28" w:type="dxa"/>
              <w:right w:w="28" w:type="dxa"/>
            </w:tcMar>
            <w:vAlign w:val="center"/>
          </w:tcPr>
          <w:p w14:paraId="4F2C0576">
            <w:pPr>
              <w:wordWrap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开展施工期环境监理</w:t>
            </w:r>
          </w:p>
        </w:tc>
        <w:tc>
          <w:tcPr>
            <w:tcW w:w="1025" w:type="dxa"/>
            <w:gridSpan w:val="2"/>
            <w:tcMar>
              <w:left w:w="28" w:type="dxa"/>
              <w:right w:w="28" w:type="dxa"/>
            </w:tcMar>
            <w:vAlign w:val="center"/>
          </w:tcPr>
          <w:p w14:paraId="15130AA8">
            <w:pPr>
              <w:wordWrap w:val="0"/>
              <w:spacing w:line="0" w:lineRule="atLeast"/>
              <w:jc w:val="center"/>
              <w:rPr>
                <w:rFonts w:hint="eastAsia" w:hAnsi="宋体" w:cs="宋体"/>
                <w:color w:val="000000"/>
                <w:spacing w:val="-10"/>
                <w:kern w:val="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2207F881">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2</w:t>
            </w:r>
          </w:p>
        </w:tc>
        <w:tc>
          <w:tcPr>
            <w:tcW w:w="1672" w:type="dxa"/>
            <w:tcMar>
              <w:left w:w="28" w:type="dxa"/>
              <w:right w:w="28" w:type="dxa"/>
            </w:tcMar>
            <w:vAlign w:val="center"/>
          </w:tcPr>
          <w:p w14:paraId="4783CF1F">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r>
      <w:tr w14:paraId="3E7F3C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15" w:type="dxa"/>
            <w:gridSpan w:val="8"/>
            <w:tcMar>
              <w:left w:w="28" w:type="dxa"/>
              <w:right w:w="28" w:type="dxa"/>
            </w:tcMar>
            <w:vAlign w:val="center"/>
          </w:tcPr>
          <w:p w14:paraId="30A696A2">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运营期</w:t>
            </w:r>
          </w:p>
        </w:tc>
      </w:tr>
      <w:tr w14:paraId="582801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21" w:hRule="atLeast"/>
          <w:jc w:val="center"/>
        </w:trPr>
        <w:tc>
          <w:tcPr>
            <w:tcW w:w="624" w:type="dxa"/>
            <w:gridSpan w:val="2"/>
            <w:tcMar>
              <w:left w:w="28" w:type="dxa"/>
              <w:right w:w="28" w:type="dxa"/>
            </w:tcMar>
            <w:vAlign w:val="center"/>
          </w:tcPr>
          <w:p w14:paraId="2B1C99FD">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环境监测</w:t>
            </w:r>
          </w:p>
        </w:tc>
        <w:tc>
          <w:tcPr>
            <w:tcW w:w="1336" w:type="dxa"/>
            <w:tcMar>
              <w:left w:w="28" w:type="dxa"/>
              <w:right w:w="28" w:type="dxa"/>
            </w:tcMar>
            <w:vAlign w:val="center"/>
          </w:tcPr>
          <w:p w14:paraId="3E7965F8">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地下水</w:t>
            </w:r>
          </w:p>
        </w:tc>
        <w:tc>
          <w:tcPr>
            <w:tcW w:w="3733" w:type="dxa"/>
            <w:gridSpan w:val="2"/>
            <w:tcMar>
              <w:left w:w="28" w:type="dxa"/>
              <w:right w:w="28" w:type="dxa"/>
            </w:tcMar>
            <w:vAlign w:val="center"/>
          </w:tcPr>
          <w:p w14:paraId="06622527">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按照监测计划，委托有资质单位开展</w:t>
            </w:r>
          </w:p>
          <w:p w14:paraId="3C2CB53B">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监测</w:t>
            </w:r>
          </w:p>
        </w:tc>
        <w:tc>
          <w:tcPr>
            <w:tcW w:w="1012" w:type="dxa"/>
            <w:tcMar>
              <w:left w:w="28" w:type="dxa"/>
              <w:right w:w="28" w:type="dxa"/>
            </w:tcMar>
            <w:vAlign w:val="center"/>
          </w:tcPr>
          <w:p w14:paraId="4FF08579">
            <w:pPr>
              <w:wordWrap w:val="0"/>
              <w:spacing w:line="0" w:lineRule="atLeast"/>
              <w:jc w:val="center"/>
              <w:rPr>
                <w:rFonts w:hint="eastAsia" w:hAnsi="宋体" w:cs="宋体"/>
                <w:color w:val="000000"/>
                <w:spacing w:val="-10"/>
                <w:sz w:val="21"/>
                <w:szCs w:val="21"/>
              </w:rPr>
            </w:pPr>
            <w:r>
              <w:rPr>
                <w:rFonts w:hint="eastAsia" w:hAnsi="宋体" w:cs="宋体"/>
                <w:snapToGrid w:val="0"/>
                <w:color w:val="000000"/>
                <w:spacing w:val="-10"/>
                <w:sz w:val="21"/>
                <w:szCs w:val="21"/>
              </w:rPr>
              <w:t>污染源达标排放</w:t>
            </w:r>
          </w:p>
        </w:tc>
        <w:tc>
          <w:tcPr>
            <w:tcW w:w="638" w:type="dxa"/>
            <w:tcMar>
              <w:left w:w="28" w:type="dxa"/>
              <w:right w:w="28" w:type="dxa"/>
            </w:tcMar>
            <w:vAlign w:val="center"/>
          </w:tcPr>
          <w:p w14:paraId="4DE383F8">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3</w:t>
            </w:r>
          </w:p>
        </w:tc>
        <w:tc>
          <w:tcPr>
            <w:tcW w:w="1672" w:type="dxa"/>
            <w:tcMar>
              <w:left w:w="28" w:type="dxa"/>
              <w:right w:w="28" w:type="dxa"/>
            </w:tcMar>
            <w:vAlign w:val="center"/>
          </w:tcPr>
          <w:p w14:paraId="28C12AC4">
            <w:pPr>
              <w:wordWrap w:val="0"/>
              <w:spacing w:line="0" w:lineRule="atLeast"/>
              <w:jc w:val="center"/>
              <w:rPr>
                <w:rFonts w:hint="eastAsia" w:hAnsi="宋体" w:cs="宋体"/>
                <w:color w:val="000000"/>
                <w:spacing w:val="-10"/>
                <w:sz w:val="21"/>
                <w:szCs w:val="21"/>
              </w:rPr>
            </w:pPr>
            <w:r>
              <w:rPr>
                <w:rFonts w:hint="eastAsia" w:hAnsi="宋体" w:cs="宋体"/>
                <w:snapToGrid w:val="0"/>
                <w:color w:val="000000"/>
                <w:spacing w:val="-10"/>
                <w:sz w:val="21"/>
                <w:szCs w:val="21"/>
              </w:rPr>
              <w:t>--</w:t>
            </w:r>
          </w:p>
        </w:tc>
      </w:tr>
      <w:tr w14:paraId="4F32F4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46" w:hRule="atLeast"/>
          <w:jc w:val="center"/>
        </w:trPr>
        <w:tc>
          <w:tcPr>
            <w:tcW w:w="624" w:type="dxa"/>
            <w:gridSpan w:val="2"/>
            <w:tcMar>
              <w:left w:w="28" w:type="dxa"/>
              <w:right w:w="28" w:type="dxa"/>
            </w:tcMar>
            <w:vAlign w:val="center"/>
          </w:tcPr>
          <w:p w14:paraId="2635902A">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风险防范措施</w:t>
            </w:r>
          </w:p>
        </w:tc>
        <w:tc>
          <w:tcPr>
            <w:tcW w:w="1336" w:type="dxa"/>
            <w:tcMar>
              <w:left w:w="28" w:type="dxa"/>
              <w:right w:w="28" w:type="dxa"/>
            </w:tcMar>
            <w:vAlign w:val="center"/>
          </w:tcPr>
          <w:p w14:paraId="4DE7D62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管线</w:t>
            </w:r>
          </w:p>
        </w:tc>
        <w:tc>
          <w:tcPr>
            <w:tcW w:w="3733" w:type="dxa"/>
            <w:gridSpan w:val="2"/>
            <w:tcMar>
              <w:left w:w="28" w:type="dxa"/>
              <w:right w:w="28" w:type="dxa"/>
            </w:tcMar>
            <w:vAlign w:val="center"/>
          </w:tcPr>
          <w:p w14:paraId="5A77428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管道上方设置标识，定期对管道壁厚进行超声波检查</w:t>
            </w:r>
          </w:p>
        </w:tc>
        <w:tc>
          <w:tcPr>
            <w:tcW w:w="1012" w:type="dxa"/>
            <w:tcMar>
              <w:left w:w="28" w:type="dxa"/>
              <w:right w:w="28" w:type="dxa"/>
            </w:tcMar>
            <w:vAlign w:val="center"/>
          </w:tcPr>
          <w:p w14:paraId="51EF184D">
            <w:pPr>
              <w:wordWrap w:val="0"/>
              <w:spacing w:line="0" w:lineRule="atLeast"/>
              <w:jc w:val="center"/>
              <w:rPr>
                <w:rFonts w:hint="eastAsia" w:hAnsi="宋体" w:cs="宋体"/>
                <w:color w:val="000000"/>
                <w:spacing w:val="-10"/>
                <w:sz w:val="21"/>
                <w:szCs w:val="21"/>
              </w:rPr>
            </w:pPr>
            <w:r>
              <w:rPr>
                <w:rFonts w:hint="eastAsia" w:hAnsi="宋体" w:cs="宋体"/>
                <w:snapToGrid w:val="0"/>
                <w:color w:val="000000"/>
                <w:spacing w:val="-10"/>
                <w:sz w:val="21"/>
                <w:szCs w:val="21"/>
              </w:rPr>
              <w:t>风险防范设施数量按照消防、安全等相关要求设置</w:t>
            </w:r>
          </w:p>
        </w:tc>
        <w:tc>
          <w:tcPr>
            <w:tcW w:w="638" w:type="dxa"/>
            <w:tcMar>
              <w:left w:w="28" w:type="dxa"/>
              <w:right w:w="28" w:type="dxa"/>
            </w:tcMar>
            <w:vAlign w:val="center"/>
          </w:tcPr>
          <w:p w14:paraId="70ECEFE8">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10</w:t>
            </w:r>
          </w:p>
        </w:tc>
        <w:tc>
          <w:tcPr>
            <w:tcW w:w="1672" w:type="dxa"/>
            <w:tcMar>
              <w:left w:w="28" w:type="dxa"/>
              <w:right w:w="28" w:type="dxa"/>
            </w:tcMar>
            <w:vAlign w:val="center"/>
          </w:tcPr>
          <w:p w14:paraId="6A9DC849">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r>
    </w:tbl>
    <w:p w14:paraId="5A08C7E6">
      <w:pPr>
        <w:spacing w:line="480" w:lineRule="exact"/>
        <w:ind w:firstLine="526" w:firstLineChars="200"/>
        <w:rPr>
          <w:rFonts w:hint="eastAsia" w:ascii="黑体" w:hAnsi="黑体" w:eastAsia="黑体"/>
          <w:color w:val="000000"/>
          <w:szCs w:val="24"/>
        </w:rPr>
      </w:pPr>
      <w:r>
        <w:br w:type="page"/>
      </w:r>
      <w:r>
        <w:rPr>
          <w:rFonts w:hint="eastAsia" w:ascii="黑体" w:hAnsi="黑体" w:eastAsia="黑体"/>
          <w:color w:val="000000"/>
          <w:szCs w:val="24"/>
        </w:rPr>
        <w:t>续表8.5-1       环保设施“三同时”验收一览表</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330"/>
        <w:gridCol w:w="9"/>
        <w:gridCol w:w="284"/>
        <w:gridCol w:w="1336"/>
        <w:gridCol w:w="312"/>
        <w:gridCol w:w="3410"/>
        <w:gridCol w:w="1025"/>
        <w:gridCol w:w="638"/>
        <w:gridCol w:w="1671"/>
      </w:tblGrid>
      <w:tr w14:paraId="453A1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0" w:type="dxa"/>
            <w:gridSpan w:val="2"/>
            <w:tcMar>
              <w:left w:w="28" w:type="dxa"/>
              <w:right w:w="28" w:type="dxa"/>
            </w:tcMar>
            <w:vAlign w:val="center"/>
          </w:tcPr>
          <w:p w14:paraId="3BAC5369">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类别</w:t>
            </w:r>
          </w:p>
        </w:tc>
        <w:tc>
          <w:tcPr>
            <w:tcW w:w="284" w:type="dxa"/>
            <w:tcMar>
              <w:left w:w="28" w:type="dxa"/>
              <w:right w:w="28" w:type="dxa"/>
            </w:tcMar>
            <w:vAlign w:val="center"/>
          </w:tcPr>
          <w:p w14:paraId="6CFA05B8">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序号</w:t>
            </w:r>
          </w:p>
        </w:tc>
        <w:tc>
          <w:tcPr>
            <w:tcW w:w="1336" w:type="dxa"/>
            <w:tcMar>
              <w:left w:w="28" w:type="dxa"/>
              <w:right w:w="28" w:type="dxa"/>
            </w:tcMar>
            <w:vAlign w:val="center"/>
          </w:tcPr>
          <w:p w14:paraId="35BFD7F1">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污染源</w:t>
            </w:r>
          </w:p>
        </w:tc>
        <w:tc>
          <w:tcPr>
            <w:tcW w:w="3723" w:type="dxa"/>
            <w:gridSpan w:val="2"/>
            <w:tcMar>
              <w:left w:w="28" w:type="dxa"/>
              <w:right w:w="28" w:type="dxa"/>
            </w:tcMar>
            <w:vAlign w:val="center"/>
          </w:tcPr>
          <w:p w14:paraId="211165DE">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环保措施</w:t>
            </w:r>
          </w:p>
        </w:tc>
        <w:tc>
          <w:tcPr>
            <w:tcW w:w="1023" w:type="dxa"/>
            <w:tcMar>
              <w:left w:w="28" w:type="dxa"/>
              <w:right w:w="28" w:type="dxa"/>
            </w:tcMar>
            <w:vAlign w:val="center"/>
          </w:tcPr>
          <w:p w14:paraId="47907A4D">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治理</w:t>
            </w:r>
          </w:p>
          <w:p w14:paraId="06CB2E43">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效果</w:t>
            </w:r>
          </w:p>
        </w:tc>
        <w:tc>
          <w:tcPr>
            <w:tcW w:w="637" w:type="dxa"/>
            <w:tcMar>
              <w:left w:w="28" w:type="dxa"/>
              <w:right w:w="28" w:type="dxa"/>
            </w:tcMar>
            <w:vAlign w:val="center"/>
          </w:tcPr>
          <w:p w14:paraId="73B8EA66">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投资</w:t>
            </w:r>
          </w:p>
          <w:p w14:paraId="17189C83">
            <w:pPr>
              <w:spacing w:line="0" w:lineRule="atLeast"/>
              <w:ind w:left="-113" w:leftChars="-43" w:right="-94" w:rightChars="-36"/>
              <w:jc w:val="center"/>
              <w:rPr>
                <w:rFonts w:hint="eastAsia" w:hAnsi="宋体" w:cs="宋体"/>
                <w:color w:val="000000"/>
                <w:spacing w:val="-10"/>
                <w:sz w:val="21"/>
                <w:szCs w:val="21"/>
              </w:rPr>
            </w:pPr>
            <w:r>
              <w:rPr>
                <w:rFonts w:hint="eastAsia" w:hAnsi="宋体" w:cs="宋体"/>
                <w:color w:val="000000"/>
                <w:spacing w:val="-10"/>
                <w:sz w:val="21"/>
                <w:szCs w:val="21"/>
              </w:rPr>
              <w:t>（万元）</w:t>
            </w:r>
          </w:p>
        </w:tc>
        <w:tc>
          <w:tcPr>
            <w:tcW w:w="1672" w:type="dxa"/>
            <w:tcMar>
              <w:left w:w="28" w:type="dxa"/>
              <w:right w:w="28" w:type="dxa"/>
            </w:tcMar>
            <w:vAlign w:val="center"/>
          </w:tcPr>
          <w:p w14:paraId="226E6BBA">
            <w:pPr>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验收标准</w:t>
            </w:r>
          </w:p>
        </w:tc>
      </w:tr>
      <w:tr w14:paraId="4E8C8B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15" w:type="dxa"/>
            <w:gridSpan w:val="9"/>
            <w:tcMar>
              <w:left w:w="28" w:type="dxa"/>
              <w:right w:w="28" w:type="dxa"/>
            </w:tcMar>
            <w:vAlign w:val="center"/>
          </w:tcPr>
          <w:p w14:paraId="30EC266F">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退役期</w:t>
            </w:r>
          </w:p>
        </w:tc>
      </w:tr>
      <w:tr w14:paraId="397E4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63" w:hRule="atLeast"/>
          <w:jc w:val="center"/>
        </w:trPr>
        <w:tc>
          <w:tcPr>
            <w:tcW w:w="331" w:type="dxa"/>
            <w:tcMar>
              <w:left w:w="28" w:type="dxa"/>
              <w:right w:w="28" w:type="dxa"/>
            </w:tcMar>
            <w:vAlign w:val="center"/>
          </w:tcPr>
          <w:p w14:paraId="0289C8E5">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废水</w:t>
            </w:r>
          </w:p>
        </w:tc>
        <w:tc>
          <w:tcPr>
            <w:tcW w:w="293" w:type="dxa"/>
            <w:gridSpan w:val="2"/>
            <w:tcMar>
              <w:left w:w="28" w:type="dxa"/>
              <w:right w:w="28" w:type="dxa"/>
            </w:tcMar>
            <w:vAlign w:val="center"/>
          </w:tcPr>
          <w:p w14:paraId="2BB8309B">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48" w:type="dxa"/>
            <w:gridSpan w:val="2"/>
            <w:tcMar>
              <w:left w:w="28" w:type="dxa"/>
              <w:right w:w="28" w:type="dxa"/>
            </w:tcMar>
            <w:vAlign w:val="center"/>
          </w:tcPr>
          <w:p w14:paraId="3574752F">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废弃管道和清洗废水</w:t>
            </w:r>
          </w:p>
        </w:tc>
        <w:tc>
          <w:tcPr>
            <w:tcW w:w="3408" w:type="dxa"/>
            <w:tcMar>
              <w:left w:w="28" w:type="dxa"/>
              <w:right w:w="28" w:type="dxa"/>
            </w:tcMar>
            <w:vAlign w:val="center"/>
          </w:tcPr>
          <w:p w14:paraId="65C3BE64">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废弃管道清洗废水依托周边联合站处理</w:t>
            </w:r>
          </w:p>
        </w:tc>
        <w:tc>
          <w:tcPr>
            <w:tcW w:w="1025" w:type="dxa"/>
            <w:tcMar>
              <w:left w:w="28" w:type="dxa"/>
              <w:right w:w="28" w:type="dxa"/>
            </w:tcMar>
            <w:vAlign w:val="center"/>
          </w:tcPr>
          <w:p w14:paraId="500A881C">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w:t>
            </w:r>
          </w:p>
        </w:tc>
        <w:tc>
          <w:tcPr>
            <w:tcW w:w="638" w:type="dxa"/>
            <w:tcMar>
              <w:left w:w="28" w:type="dxa"/>
              <w:right w:w="28" w:type="dxa"/>
            </w:tcMar>
            <w:vAlign w:val="center"/>
          </w:tcPr>
          <w:p w14:paraId="06297244">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c>
          <w:tcPr>
            <w:tcW w:w="1672" w:type="dxa"/>
            <w:tcMar>
              <w:left w:w="28" w:type="dxa"/>
              <w:right w:w="28" w:type="dxa"/>
            </w:tcMar>
            <w:vAlign w:val="center"/>
          </w:tcPr>
          <w:p w14:paraId="078C2DF7">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r>
      <w:tr w14:paraId="09197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dxa"/>
            <w:tcMar>
              <w:left w:w="28" w:type="dxa"/>
              <w:right w:w="28" w:type="dxa"/>
            </w:tcMar>
            <w:vAlign w:val="center"/>
          </w:tcPr>
          <w:p w14:paraId="7DF25CA3">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固废</w:t>
            </w:r>
          </w:p>
        </w:tc>
        <w:tc>
          <w:tcPr>
            <w:tcW w:w="293" w:type="dxa"/>
            <w:gridSpan w:val="2"/>
            <w:tcMar>
              <w:left w:w="28" w:type="dxa"/>
              <w:right w:w="28" w:type="dxa"/>
            </w:tcMar>
            <w:vAlign w:val="center"/>
          </w:tcPr>
          <w:p w14:paraId="74EEB890">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48" w:type="dxa"/>
            <w:gridSpan w:val="2"/>
            <w:tcMar>
              <w:left w:w="28" w:type="dxa"/>
              <w:right w:w="28" w:type="dxa"/>
            </w:tcMar>
            <w:vAlign w:val="center"/>
          </w:tcPr>
          <w:p w14:paraId="1DBAAA60">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废弃管线</w:t>
            </w:r>
          </w:p>
        </w:tc>
        <w:tc>
          <w:tcPr>
            <w:tcW w:w="3408" w:type="dxa"/>
            <w:tcMar>
              <w:left w:w="28" w:type="dxa"/>
              <w:right w:w="28" w:type="dxa"/>
            </w:tcMar>
            <w:vAlign w:val="center"/>
          </w:tcPr>
          <w:p w14:paraId="62F514DF">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埋地管线维持现状，避免因开挖管线对区域生态环境造成二次破坏，管线内物质应清空干净，并按要求进行清洗，确保管线内无残留采出液，管线两端使用盲板封堵，地上管线清洗干净后分段拆卸，拉运至库房存放，以备后续使用。</w:t>
            </w:r>
          </w:p>
        </w:tc>
        <w:tc>
          <w:tcPr>
            <w:tcW w:w="1025" w:type="dxa"/>
            <w:tcMar>
              <w:left w:w="28" w:type="dxa"/>
              <w:right w:w="28" w:type="dxa"/>
            </w:tcMar>
            <w:vAlign w:val="center"/>
          </w:tcPr>
          <w:p w14:paraId="0C63C2A8">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妥善处置</w:t>
            </w:r>
          </w:p>
        </w:tc>
        <w:tc>
          <w:tcPr>
            <w:tcW w:w="638" w:type="dxa"/>
            <w:tcMar>
              <w:left w:w="28" w:type="dxa"/>
              <w:right w:w="28" w:type="dxa"/>
            </w:tcMar>
            <w:vAlign w:val="center"/>
          </w:tcPr>
          <w:p w14:paraId="4E0E2A5C">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c>
          <w:tcPr>
            <w:tcW w:w="1672" w:type="dxa"/>
            <w:tcMar>
              <w:left w:w="28" w:type="dxa"/>
              <w:right w:w="28" w:type="dxa"/>
            </w:tcMar>
            <w:vAlign w:val="center"/>
          </w:tcPr>
          <w:p w14:paraId="1A45DDFF">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r>
      <w:tr w14:paraId="67D7D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dxa"/>
            <w:tcMar>
              <w:left w:w="28" w:type="dxa"/>
              <w:right w:w="28" w:type="dxa"/>
            </w:tcMar>
            <w:vAlign w:val="center"/>
          </w:tcPr>
          <w:p w14:paraId="7C68BB76">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w:t>
            </w:r>
          </w:p>
        </w:tc>
        <w:tc>
          <w:tcPr>
            <w:tcW w:w="293" w:type="dxa"/>
            <w:gridSpan w:val="2"/>
            <w:tcMar>
              <w:left w:w="28" w:type="dxa"/>
              <w:right w:w="28" w:type="dxa"/>
            </w:tcMar>
            <w:vAlign w:val="center"/>
          </w:tcPr>
          <w:p w14:paraId="244F02ED">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1</w:t>
            </w:r>
          </w:p>
        </w:tc>
        <w:tc>
          <w:tcPr>
            <w:tcW w:w="1648" w:type="dxa"/>
            <w:gridSpan w:val="2"/>
            <w:tcMar>
              <w:left w:w="28" w:type="dxa"/>
              <w:right w:w="28" w:type="dxa"/>
            </w:tcMar>
            <w:vAlign w:val="center"/>
          </w:tcPr>
          <w:p w14:paraId="5C14F8C7">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生态恢复</w:t>
            </w:r>
          </w:p>
        </w:tc>
        <w:tc>
          <w:tcPr>
            <w:tcW w:w="3408" w:type="dxa"/>
            <w:tcMar>
              <w:left w:w="28" w:type="dxa"/>
              <w:right w:w="28" w:type="dxa"/>
            </w:tcMar>
            <w:vAlign w:val="center"/>
          </w:tcPr>
          <w:p w14:paraId="1ABF7283">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废弃埋地管线维持现状，管线两端使用盲板封堵</w:t>
            </w:r>
          </w:p>
        </w:tc>
        <w:tc>
          <w:tcPr>
            <w:tcW w:w="1025" w:type="dxa"/>
            <w:tcMar>
              <w:left w:w="28" w:type="dxa"/>
              <w:right w:w="28" w:type="dxa"/>
            </w:tcMar>
            <w:vAlign w:val="center"/>
          </w:tcPr>
          <w:p w14:paraId="0C4AAE87">
            <w:pPr>
              <w:wordWrap w:val="0"/>
              <w:spacing w:line="0" w:lineRule="atLeast"/>
              <w:jc w:val="center"/>
              <w:rPr>
                <w:rFonts w:hint="eastAsia" w:hAnsi="宋体" w:cs="宋体"/>
                <w:color w:val="000000"/>
                <w:spacing w:val="-10"/>
                <w:sz w:val="21"/>
                <w:szCs w:val="21"/>
              </w:rPr>
            </w:pPr>
            <w:r>
              <w:rPr>
                <w:rFonts w:hint="eastAsia" w:hAnsi="宋体" w:cs="宋体"/>
                <w:color w:val="000000"/>
                <w:spacing w:val="-10"/>
                <w:sz w:val="21"/>
                <w:szCs w:val="21"/>
              </w:rPr>
              <w:t>恢复原貌</w:t>
            </w:r>
          </w:p>
        </w:tc>
        <w:tc>
          <w:tcPr>
            <w:tcW w:w="638" w:type="dxa"/>
            <w:tcMar>
              <w:left w:w="28" w:type="dxa"/>
              <w:right w:w="28" w:type="dxa"/>
            </w:tcMar>
            <w:vAlign w:val="center"/>
          </w:tcPr>
          <w:p w14:paraId="793F0B72">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7</w:t>
            </w:r>
          </w:p>
        </w:tc>
        <w:tc>
          <w:tcPr>
            <w:tcW w:w="1672" w:type="dxa"/>
            <w:tcMar>
              <w:left w:w="28" w:type="dxa"/>
              <w:right w:w="28" w:type="dxa"/>
            </w:tcMar>
            <w:vAlign w:val="center"/>
          </w:tcPr>
          <w:p w14:paraId="2F07B725">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r>
      <w:tr w14:paraId="3027CE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80" w:type="dxa"/>
            <w:gridSpan w:val="6"/>
            <w:tcMar>
              <w:left w:w="28" w:type="dxa"/>
              <w:right w:w="28" w:type="dxa"/>
            </w:tcMar>
            <w:vAlign w:val="center"/>
          </w:tcPr>
          <w:p w14:paraId="2528B420">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合计</w:t>
            </w:r>
          </w:p>
        </w:tc>
        <w:tc>
          <w:tcPr>
            <w:tcW w:w="1025" w:type="dxa"/>
            <w:tcMar>
              <w:left w:w="28" w:type="dxa"/>
              <w:right w:w="28" w:type="dxa"/>
            </w:tcMar>
            <w:vAlign w:val="center"/>
          </w:tcPr>
          <w:p w14:paraId="67C3272D">
            <w:pPr>
              <w:wordWrap w:val="0"/>
              <w:spacing w:line="0" w:lineRule="atLeast"/>
              <w:jc w:val="center"/>
              <w:rPr>
                <w:rFonts w:hint="eastAsia" w:hAnsi="宋体" w:cs="宋体"/>
                <w:snapToGrid w:val="0"/>
                <w:color w:val="000000"/>
                <w:spacing w:val="-10"/>
                <w:sz w:val="21"/>
                <w:szCs w:val="21"/>
              </w:rPr>
            </w:pPr>
            <w:r>
              <w:rPr>
                <w:rFonts w:hint="eastAsia" w:hAnsi="宋体" w:cs="宋体"/>
                <w:snapToGrid w:val="0"/>
                <w:color w:val="000000"/>
                <w:spacing w:val="-10"/>
                <w:sz w:val="21"/>
                <w:szCs w:val="21"/>
              </w:rPr>
              <w:t>--</w:t>
            </w:r>
          </w:p>
        </w:tc>
        <w:tc>
          <w:tcPr>
            <w:tcW w:w="638" w:type="dxa"/>
            <w:tcMar>
              <w:left w:w="28" w:type="dxa"/>
              <w:right w:w="28" w:type="dxa"/>
            </w:tcMar>
            <w:vAlign w:val="center"/>
          </w:tcPr>
          <w:p w14:paraId="0DFCFA8C">
            <w:pPr>
              <w:wordWrap w:val="0"/>
              <w:spacing w:line="0" w:lineRule="atLeast"/>
              <w:jc w:val="center"/>
              <w:rPr>
                <w:rFonts w:hint="eastAsia" w:hAnsi="宋体" w:cs="宋体"/>
                <w:snapToGrid w:val="0"/>
                <w:color w:val="000000"/>
                <w:spacing w:val="-10"/>
                <w:sz w:val="21"/>
                <w:szCs w:val="21"/>
              </w:rPr>
            </w:pPr>
            <w:r>
              <w:rPr>
                <w:rFonts w:hint="eastAsia" w:hAnsi="宋体" w:cs="宋体"/>
                <w:color w:val="000000"/>
                <w:spacing w:val="-10"/>
                <w:sz w:val="21"/>
                <w:szCs w:val="21"/>
              </w:rPr>
              <w:t>50</w:t>
            </w:r>
          </w:p>
        </w:tc>
        <w:tc>
          <w:tcPr>
            <w:tcW w:w="1672" w:type="dxa"/>
            <w:tcMar>
              <w:left w:w="28" w:type="dxa"/>
              <w:right w:w="28" w:type="dxa"/>
            </w:tcMar>
            <w:vAlign w:val="center"/>
          </w:tcPr>
          <w:p w14:paraId="29AD5269">
            <w:pPr>
              <w:wordWrap w:val="0"/>
              <w:spacing w:line="0" w:lineRule="atLeast"/>
              <w:jc w:val="center"/>
              <w:rPr>
                <w:rFonts w:hint="eastAsia" w:hAnsi="宋体" w:cs="宋体"/>
                <w:color w:val="000000"/>
                <w:spacing w:val="-10"/>
                <w:sz w:val="21"/>
                <w:szCs w:val="21"/>
              </w:rPr>
            </w:pPr>
            <w:r>
              <w:rPr>
                <w:rFonts w:hint="eastAsia" w:hAnsi="宋体" w:cs="宋体"/>
                <w:snapToGrid w:val="0"/>
                <w:color w:val="000000"/>
                <w:spacing w:val="-10"/>
                <w:sz w:val="21"/>
                <w:szCs w:val="21"/>
              </w:rPr>
              <w:t>--</w:t>
            </w:r>
          </w:p>
        </w:tc>
      </w:tr>
    </w:tbl>
    <w:p w14:paraId="3B1E4379">
      <w:pPr>
        <w:pStyle w:val="34"/>
        <w:spacing w:line="480" w:lineRule="exact"/>
        <w:rPr>
          <w:rFonts w:hint="default" w:ascii="宋体" w:hAnsi="宋体"/>
          <w:b w:val="0"/>
          <w:color w:val="000000"/>
          <w:szCs w:val="24"/>
        </w:rPr>
      </w:pPr>
      <w:r>
        <w:rPr>
          <w:rFonts w:ascii="宋体" w:hAnsi="宋体"/>
          <w:b w:val="0"/>
          <w:color w:val="000000"/>
          <w:szCs w:val="24"/>
        </w:rPr>
        <w:br w:type="page"/>
      </w:r>
    </w:p>
    <w:p w14:paraId="75A50AED">
      <w:pPr>
        <w:tabs>
          <w:tab w:val="left" w:pos="2718"/>
        </w:tabs>
        <w:spacing w:line="480" w:lineRule="exact"/>
        <w:outlineLvl w:val="0"/>
        <w:rPr>
          <w:rFonts w:ascii="黑体" w:hAnsi="黑体" w:eastAsia="黑体"/>
          <w:color w:val="000000"/>
          <w:sz w:val="32"/>
          <w:szCs w:val="32"/>
        </w:rPr>
      </w:pPr>
      <w:bookmarkStart w:id="334" w:name="_Toc230178826"/>
      <w:bookmarkStart w:id="335" w:name="_Toc198040222"/>
      <w:bookmarkStart w:id="336" w:name="_Toc198040366"/>
      <w:bookmarkStart w:id="337" w:name="_Toc208474714"/>
      <w:r>
        <w:rPr>
          <w:rFonts w:hint="eastAsia" w:ascii="黑体" w:hAnsi="黑体" w:eastAsia="黑体"/>
          <w:color w:val="000000"/>
          <w:sz w:val="32"/>
          <w:szCs w:val="32"/>
        </w:rPr>
        <w:t>9 结论</w:t>
      </w:r>
      <w:bookmarkEnd w:id="334"/>
      <w:bookmarkEnd w:id="335"/>
      <w:bookmarkEnd w:id="336"/>
      <w:bookmarkEnd w:id="337"/>
    </w:p>
    <w:p w14:paraId="0CB52FF2">
      <w:pPr>
        <w:spacing w:line="480" w:lineRule="exact"/>
        <w:outlineLvl w:val="1"/>
        <w:rPr>
          <w:rFonts w:ascii="黑体" w:hAnsi="黑体" w:eastAsia="黑体" w:cs="黑体"/>
          <w:color w:val="000000"/>
          <w:sz w:val="28"/>
          <w:szCs w:val="28"/>
          <w:lang w:bidi="ar"/>
        </w:rPr>
      </w:pPr>
      <w:bookmarkStart w:id="338" w:name="_Toc208474715"/>
      <w:bookmarkStart w:id="339" w:name="_Toc198040367"/>
      <w:bookmarkStart w:id="340" w:name="_Toc714"/>
      <w:bookmarkStart w:id="341" w:name="_Toc198040223"/>
      <w:bookmarkStart w:id="342" w:name="_Toc230178827"/>
      <w:r>
        <w:rPr>
          <w:rFonts w:hint="eastAsia" w:ascii="黑体" w:hAnsi="黑体" w:eastAsia="黑体" w:cs="黑体"/>
          <w:color w:val="000000"/>
          <w:sz w:val="28"/>
          <w:szCs w:val="28"/>
          <w:lang w:bidi="ar"/>
        </w:rPr>
        <w:t>9.1 建设项目情况</w:t>
      </w:r>
      <w:bookmarkEnd w:id="338"/>
      <w:bookmarkEnd w:id="339"/>
      <w:bookmarkEnd w:id="340"/>
      <w:bookmarkEnd w:id="341"/>
      <w:bookmarkEnd w:id="342"/>
    </w:p>
    <w:p w14:paraId="36E58AD2">
      <w:pPr>
        <w:pStyle w:val="45"/>
        <w:widowControl w:val="0"/>
        <w:spacing w:beforeAutospacing="0" w:afterAutospacing="0" w:line="480" w:lineRule="exact"/>
        <w:ind w:firstLine="526" w:firstLineChars="200"/>
        <w:jc w:val="both"/>
        <w:rPr>
          <w:rFonts w:hint="eastAsia"/>
          <w:color w:val="000000"/>
          <w:spacing w:val="5"/>
          <w:kern w:val="2"/>
          <w:lang w:bidi="ar"/>
        </w:rPr>
      </w:pPr>
      <w:r>
        <w:rPr>
          <w:rFonts w:hint="eastAsia"/>
          <w:color w:val="000000"/>
          <w:spacing w:val="5"/>
          <w:kern w:val="2"/>
          <w:lang w:bidi="ar"/>
        </w:rPr>
        <w:t>项目名称：2号集至塔三联集输管线改造项目</w:t>
      </w:r>
    </w:p>
    <w:p w14:paraId="4C133506">
      <w:pPr>
        <w:pStyle w:val="45"/>
        <w:widowControl w:val="0"/>
        <w:spacing w:beforeAutospacing="0" w:afterAutospacing="0" w:line="480" w:lineRule="exact"/>
        <w:ind w:firstLine="526" w:firstLineChars="200"/>
        <w:jc w:val="both"/>
        <w:rPr>
          <w:color w:val="000000"/>
          <w:spacing w:val="5"/>
          <w:kern w:val="2"/>
          <w:lang w:bidi="ar"/>
        </w:rPr>
      </w:pPr>
      <w:r>
        <w:rPr>
          <w:rFonts w:hint="eastAsia"/>
          <w:color w:val="000000"/>
          <w:spacing w:val="5"/>
          <w:kern w:val="2"/>
          <w:lang w:bidi="ar"/>
        </w:rPr>
        <w:t>建设单位：中国石油天然气股份有限公司塔里木油田分公司</w:t>
      </w:r>
    </w:p>
    <w:p w14:paraId="5CE57249">
      <w:pPr>
        <w:spacing w:line="480" w:lineRule="exact"/>
        <w:ind w:firstLine="526" w:firstLineChars="200"/>
        <w:rPr>
          <w:rFonts w:hAnsi="宋体"/>
          <w:color w:val="000000"/>
          <w:szCs w:val="24"/>
        </w:rPr>
      </w:pPr>
      <w:r>
        <w:rPr>
          <w:rFonts w:hint="eastAsia" w:hAnsi="宋体"/>
          <w:color w:val="000000"/>
          <w:szCs w:val="24"/>
          <w:lang w:bidi="ar"/>
        </w:rPr>
        <w:t>建设内容：</w:t>
      </w:r>
      <w:r>
        <w:rPr>
          <w:rFonts w:hint="eastAsia" w:hAnsi="宋体" w:cs="宋体"/>
          <w:color w:val="000000"/>
          <w:spacing w:val="9"/>
        </w:rPr>
        <w:t>①新建ZG11-H1井至ZG8-9井集输管线2.5km，涉及二号集气站和塔三联合站站内管线改造；②新建ZG431-H3至5#集DN150外输管道碰头点后1km管道；采用内穿插HBPE(高阻隔聚烯烃管)对ZG431-H4至5#集DN150外输管线进行修复；③配套建设自控仪表、给排水、暖通、通信、电气等辅助设施</w:t>
      </w:r>
      <w:r>
        <w:rPr>
          <w:rFonts w:hint="eastAsia" w:hAnsi="宋体" w:cs="宋体"/>
          <w:color w:val="000000"/>
        </w:rPr>
        <w:t>。</w:t>
      </w:r>
    </w:p>
    <w:p w14:paraId="1A158C30">
      <w:pPr>
        <w:pStyle w:val="45"/>
        <w:widowControl w:val="0"/>
        <w:spacing w:beforeAutospacing="0" w:afterAutospacing="0" w:line="480" w:lineRule="exact"/>
        <w:ind w:firstLine="526" w:firstLineChars="200"/>
        <w:jc w:val="both"/>
        <w:rPr>
          <w:color w:val="000000"/>
          <w:spacing w:val="5"/>
        </w:rPr>
      </w:pPr>
      <w:r>
        <w:rPr>
          <w:rFonts w:hint="eastAsia"/>
          <w:color w:val="000000"/>
          <w:spacing w:val="5"/>
          <w:kern w:val="2"/>
          <w:lang w:bidi="ar"/>
        </w:rPr>
        <w:t>项目投资和环保投资：项目总投资354.88万元，其中环保投资50万元，占总投资的14.09%。</w:t>
      </w:r>
    </w:p>
    <w:p w14:paraId="0370DA16">
      <w:pPr>
        <w:pStyle w:val="45"/>
        <w:widowControl w:val="0"/>
        <w:spacing w:beforeAutospacing="0" w:afterAutospacing="0" w:line="480" w:lineRule="exact"/>
        <w:ind w:firstLine="526" w:firstLineChars="200"/>
        <w:jc w:val="both"/>
        <w:rPr>
          <w:color w:val="000000"/>
          <w:spacing w:val="5"/>
        </w:rPr>
      </w:pPr>
      <w:r>
        <w:rPr>
          <w:rFonts w:hint="eastAsia"/>
          <w:color w:val="000000"/>
          <w:spacing w:val="5"/>
          <w:kern w:val="2"/>
          <w:lang w:bidi="ar"/>
        </w:rPr>
        <w:t>劳动定员及工作制度：不新增劳动定员。</w:t>
      </w:r>
    </w:p>
    <w:p w14:paraId="4151BC8E">
      <w:pPr>
        <w:spacing w:line="480" w:lineRule="exact"/>
        <w:outlineLvl w:val="1"/>
        <w:rPr>
          <w:rFonts w:hint="eastAsia" w:ascii="黑体" w:hAnsi="黑体" w:eastAsia="黑体" w:cs="黑体"/>
          <w:color w:val="000000"/>
          <w:sz w:val="28"/>
          <w:szCs w:val="28"/>
          <w:lang w:bidi="ar"/>
        </w:rPr>
      </w:pPr>
      <w:bookmarkStart w:id="343" w:name="_Toc230178828"/>
      <w:bookmarkStart w:id="344" w:name="_Toc198040368"/>
      <w:bookmarkStart w:id="345" w:name="_Toc208474716"/>
      <w:bookmarkStart w:id="346" w:name="_Toc198040224"/>
      <w:r>
        <w:rPr>
          <w:rFonts w:hint="eastAsia" w:ascii="黑体" w:hAnsi="黑体" w:eastAsia="黑体" w:cs="黑体"/>
          <w:color w:val="000000"/>
          <w:sz w:val="28"/>
          <w:szCs w:val="28"/>
          <w:lang w:bidi="ar"/>
        </w:rPr>
        <w:t>9.2 产业政策、选址符合性</w:t>
      </w:r>
      <w:bookmarkEnd w:id="343"/>
      <w:bookmarkEnd w:id="344"/>
      <w:bookmarkEnd w:id="345"/>
      <w:bookmarkEnd w:id="346"/>
    </w:p>
    <w:p w14:paraId="7BFF6EA0">
      <w:pPr>
        <w:spacing w:line="480" w:lineRule="exact"/>
        <w:outlineLvl w:val="2"/>
        <w:rPr>
          <w:rFonts w:hAnsi="宋体"/>
          <w:color w:val="000000"/>
          <w:szCs w:val="24"/>
        </w:rPr>
      </w:pPr>
      <w:r>
        <w:rPr>
          <w:rFonts w:hint="eastAsia" w:hAnsi="宋体"/>
          <w:color w:val="000000"/>
          <w:szCs w:val="24"/>
          <w:lang w:bidi="ar"/>
        </w:rPr>
        <w:t>9.2.1 项目选址</w:t>
      </w:r>
    </w:p>
    <w:p w14:paraId="001446D5">
      <w:pPr>
        <w:spacing w:line="480" w:lineRule="exact"/>
        <w:ind w:firstLine="526" w:firstLineChars="200"/>
        <w:rPr>
          <w:rFonts w:hAnsi="宋体"/>
          <w:color w:val="000000"/>
          <w:szCs w:val="24"/>
        </w:rPr>
      </w:pPr>
      <w:r>
        <w:rPr>
          <w:rFonts w:hint="eastAsia" w:hAnsi="宋体"/>
          <w:color w:val="000000"/>
          <w:szCs w:val="24"/>
        </w:rPr>
        <w:t>拟建工程位于新疆阿克苏地区沙雅县、和田地区民丰县境内，区域以油气开采为主。拟建工程管线区域周边及邻近区域无居民区、村庄等人群较集中的区域，不涉及自然保护区、风景名胜区、水源保护区、文物保护单位等敏感目标，工程选址符合相关要求，工程选址合理。</w:t>
      </w:r>
    </w:p>
    <w:p w14:paraId="49B5ED65">
      <w:pPr>
        <w:spacing w:line="480" w:lineRule="exact"/>
        <w:outlineLvl w:val="2"/>
        <w:rPr>
          <w:rFonts w:hAnsi="宋体"/>
          <w:color w:val="000000"/>
          <w:szCs w:val="24"/>
        </w:rPr>
      </w:pPr>
      <w:r>
        <w:rPr>
          <w:rFonts w:hint="eastAsia" w:hAnsi="宋体"/>
          <w:color w:val="000000"/>
          <w:szCs w:val="24"/>
          <w:lang w:bidi="ar"/>
        </w:rPr>
        <w:t>9.2.2 产业政策符合性</w:t>
      </w:r>
    </w:p>
    <w:p w14:paraId="2772F5EA">
      <w:pPr>
        <w:spacing w:line="480" w:lineRule="exact"/>
        <w:ind w:firstLine="526" w:firstLineChars="200"/>
        <w:rPr>
          <w:rFonts w:hAnsi="宋体" w:cs="宋体"/>
          <w:color w:val="000000"/>
          <w:szCs w:val="24"/>
        </w:rPr>
      </w:pPr>
      <w:r>
        <w:rPr>
          <w:rFonts w:hint="eastAsia" w:hAnsi="宋体" w:cs="宋体"/>
          <w:color w:val="000000"/>
          <w:szCs w:val="24"/>
        </w:rPr>
        <w:t>石油天然气开发是当前国民经济的重要基础产业和支柱产业，根据《产业结构调整指导目录（2024年本）》（国家发展改革委令第7号）相关内容，“石油天然气开采”属于“鼓励类”项目。因此，拟建工程的建设符合国家产业政策要求。</w:t>
      </w:r>
    </w:p>
    <w:p w14:paraId="6336F342">
      <w:pPr>
        <w:spacing w:line="460" w:lineRule="exact"/>
        <w:ind w:firstLine="526" w:firstLineChars="200"/>
        <w:rPr>
          <w:rFonts w:hAnsi="宋体" w:cs="宋体"/>
          <w:color w:val="000000"/>
          <w:szCs w:val="24"/>
        </w:rPr>
      </w:pPr>
      <w:r>
        <w:rPr>
          <w:rFonts w:hint="eastAsia" w:hAnsi="宋体" w:cs="宋体"/>
          <w:color w:val="000000"/>
        </w:rPr>
        <w:t>拟建工程属于塔里木油田分公司油气开采项目，符合《新疆维吾尔自治区国民经济和社会发展第十四个五年规划和2035年远景目标纲要》《阿克苏地区国民经济和社会发展第十四个五年规划和2035年远景目标纲要》《</w:t>
      </w:r>
      <w:r>
        <w:rPr>
          <w:rFonts w:hint="eastAsia" w:hAnsi="宋体" w:cs="宋体"/>
          <w:color w:val="000000"/>
          <w:lang w:bidi="ar"/>
        </w:rPr>
        <w:t>塔里木油田“十四五”发展规划</w:t>
      </w:r>
      <w:r>
        <w:rPr>
          <w:rFonts w:hint="eastAsia" w:hAnsi="宋体" w:cs="宋体"/>
          <w:color w:val="000000"/>
          <w:lang w:val="zh-CN"/>
        </w:rPr>
        <w:t>》</w:t>
      </w:r>
      <w:r>
        <w:rPr>
          <w:rFonts w:hint="eastAsia" w:hAnsi="宋体" w:cs="宋体"/>
          <w:color w:val="000000"/>
        </w:rPr>
        <w:t>。拟建工程位于</w:t>
      </w:r>
      <w:r>
        <w:rPr>
          <w:rFonts w:hint="eastAsia" w:hAnsi="宋体"/>
          <w:color w:val="000000"/>
        </w:rPr>
        <w:t>塔中Ⅰ号气田Ⅲ区</w:t>
      </w:r>
      <w:r>
        <w:rPr>
          <w:rFonts w:hint="eastAsia" w:hAnsi="宋体" w:cs="宋体"/>
          <w:color w:val="000000"/>
        </w:rPr>
        <w:t>，不占用生态保护红线及水源地、风景名胜区等环境敏感区，不在划定的禁止开发区域范围内，符合《新疆维吾尔自治区主体功能区规划》相关要求</w:t>
      </w:r>
      <w:r>
        <w:rPr>
          <w:rFonts w:hint="eastAsia" w:hAnsi="宋体" w:cs="宋体"/>
          <w:color w:val="000000"/>
          <w:szCs w:val="24"/>
        </w:rPr>
        <w:t>。</w:t>
      </w:r>
    </w:p>
    <w:p w14:paraId="025C8835">
      <w:pPr>
        <w:spacing w:line="480" w:lineRule="exact"/>
        <w:outlineLvl w:val="2"/>
        <w:rPr>
          <w:rFonts w:hAnsi="宋体"/>
          <w:color w:val="000000"/>
          <w:szCs w:val="24"/>
        </w:rPr>
      </w:pPr>
      <w:bookmarkStart w:id="347" w:name="_Toc22608"/>
      <w:r>
        <w:rPr>
          <w:rFonts w:hint="eastAsia" w:hAnsi="宋体"/>
          <w:color w:val="000000"/>
          <w:szCs w:val="24"/>
          <w:lang w:bidi="ar"/>
        </w:rPr>
        <w:t>9.2.3</w:t>
      </w:r>
      <w:r>
        <w:rPr>
          <w:rFonts w:hint="eastAsia" w:hAnsi="宋体"/>
          <w:color w:val="000000"/>
          <w:szCs w:val="24"/>
        </w:rPr>
        <w:t>生态环境分区管控符合性判定</w:t>
      </w:r>
    </w:p>
    <w:p w14:paraId="2EFC3237">
      <w:pPr>
        <w:spacing w:line="480" w:lineRule="exact"/>
        <w:ind w:firstLine="515" w:firstLineChars="196"/>
        <w:rPr>
          <w:rFonts w:hAnsi="宋体"/>
          <w:color w:val="000000"/>
          <w:szCs w:val="24"/>
        </w:rPr>
      </w:pPr>
      <w:bookmarkStart w:id="348" w:name="_Toc198040225"/>
      <w:bookmarkStart w:id="349" w:name="_Toc198040369"/>
      <w:r>
        <w:rPr>
          <w:rFonts w:hint="eastAsia" w:hAnsi="宋体"/>
          <w:color w:val="000000"/>
          <w:szCs w:val="24"/>
        </w:rPr>
        <w:t>拟建工程</w:t>
      </w:r>
      <w:r>
        <w:rPr>
          <w:rFonts w:hint="eastAsia" w:hAnsi="宋体"/>
          <w:bCs/>
          <w:color w:val="000000"/>
        </w:rPr>
        <w:t>距生态保护红线</w:t>
      </w:r>
      <w:r>
        <w:rPr>
          <w:rFonts w:hint="eastAsia" w:hAnsi="宋体"/>
          <w:color w:val="000000"/>
        </w:rPr>
        <w:t>（塔里木盆地南缘土地沙化防控生态保护红线区）</w:t>
      </w:r>
      <w:r>
        <w:rPr>
          <w:rFonts w:hint="eastAsia" w:hAnsi="宋体"/>
          <w:bCs/>
          <w:color w:val="000000"/>
        </w:rPr>
        <w:t>最近为93.2km，不在生态保护红线内</w:t>
      </w:r>
      <w:r>
        <w:rPr>
          <w:rFonts w:hint="eastAsia" w:hAnsi="宋体"/>
          <w:color w:val="000000"/>
          <w:szCs w:val="24"/>
        </w:rPr>
        <w:t>；拟建工程已提出持续改善、防风固沙、生态修复的要求，项目实施后不断强化大气污染源防治措施，改善区域环境空气质量；工程在正常状况下不会造成土壤污染，不会增加土壤环境风险；水资源消耗、土地资源、能源消耗等均能够达到自治区下达的总量和强度控制目标；满足生态环境准入清单中空间布局约束、污染物排放管控、环境风险管控及资源利用效率的相关要求，符合新疆维吾尔自治区、阿克苏地区生态环境分区管控方案要求。</w:t>
      </w:r>
    </w:p>
    <w:p w14:paraId="51BE509B">
      <w:pPr>
        <w:spacing w:line="480" w:lineRule="exact"/>
        <w:outlineLvl w:val="1"/>
        <w:rPr>
          <w:rFonts w:ascii="黑体" w:hAnsi="黑体" w:eastAsia="黑体" w:cs="黑体"/>
          <w:color w:val="000000"/>
          <w:sz w:val="28"/>
          <w:szCs w:val="28"/>
          <w:lang w:bidi="ar"/>
        </w:rPr>
      </w:pPr>
      <w:bookmarkStart w:id="350" w:name="_Toc208474717"/>
      <w:bookmarkStart w:id="351" w:name="_Toc230178829"/>
      <w:r>
        <w:rPr>
          <w:rFonts w:hint="eastAsia" w:ascii="黑体" w:hAnsi="黑体" w:eastAsia="黑体" w:cs="黑体"/>
          <w:color w:val="000000"/>
          <w:sz w:val="28"/>
          <w:szCs w:val="28"/>
          <w:lang w:bidi="ar"/>
        </w:rPr>
        <w:t>9.3 环境质量现状</w:t>
      </w:r>
      <w:bookmarkEnd w:id="347"/>
      <w:bookmarkEnd w:id="348"/>
      <w:bookmarkEnd w:id="349"/>
      <w:bookmarkEnd w:id="350"/>
      <w:bookmarkEnd w:id="351"/>
    </w:p>
    <w:p w14:paraId="3713CC5E">
      <w:pPr>
        <w:spacing w:line="480" w:lineRule="exact"/>
        <w:outlineLvl w:val="2"/>
        <w:rPr>
          <w:rFonts w:hAnsi="宋体"/>
          <w:color w:val="000000"/>
          <w:szCs w:val="24"/>
        </w:rPr>
      </w:pPr>
      <w:r>
        <w:rPr>
          <w:rFonts w:hint="eastAsia" w:hAnsi="宋体"/>
          <w:color w:val="000000"/>
          <w:szCs w:val="24"/>
          <w:lang w:bidi="ar"/>
        </w:rPr>
        <w:t>9.3.1 环境质量现状评价</w:t>
      </w:r>
    </w:p>
    <w:p w14:paraId="16B8C81F">
      <w:pPr>
        <w:spacing w:line="480" w:lineRule="exact"/>
        <w:ind w:firstLine="520" w:firstLineChars="198"/>
        <w:rPr>
          <w:rFonts w:hAnsi="宋体"/>
          <w:color w:val="000000"/>
          <w:szCs w:val="24"/>
        </w:rPr>
      </w:pPr>
      <w:r>
        <w:rPr>
          <w:rFonts w:hint="eastAsia" w:hAnsi="宋体" w:cs="宋体"/>
          <w:color w:val="000000"/>
          <w:szCs w:val="24"/>
          <w:lang w:bidi="ar"/>
        </w:rPr>
        <w:t>地下水环境质量现状监测结果表明：</w:t>
      </w:r>
      <w:r>
        <w:rPr>
          <w:rFonts w:hint="eastAsia" w:hAnsi="宋体" w:cs="宋体"/>
          <w:color w:val="000000"/>
          <w:szCs w:val="24"/>
        </w:rPr>
        <w:t>潜水监测点除硫酸盐、氯化物、氟化物、钠、溶解性总固体、总硬度存在一定程度超标外，其余因子均满足《地下水质量标准》（GB/T14848-2017）Ⅲ类标准，各潜水监测点中石油类满足《地表水环境质量标准》（GB3838-2002）Ⅲ类标准要求。</w:t>
      </w:r>
      <w:r>
        <w:rPr>
          <w:rFonts w:hint="eastAsia" w:hAnsi="宋体" w:cs="宋体"/>
          <w:color w:val="000000"/>
          <w:kern w:val="0"/>
          <w:szCs w:val="24"/>
        </w:rPr>
        <w:t>超标原因与区域原生水文地质条件有关</w:t>
      </w:r>
      <w:r>
        <w:rPr>
          <w:rFonts w:hint="eastAsia" w:hAnsi="宋体"/>
          <w:color w:val="000000"/>
          <w:szCs w:val="24"/>
        </w:rPr>
        <w:t>。</w:t>
      </w:r>
    </w:p>
    <w:p w14:paraId="541D82E3">
      <w:pPr>
        <w:spacing w:line="480" w:lineRule="exact"/>
        <w:ind w:firstLine="526" w:firstLineChars="200"/>
        <w:rPr>
          <w:rFonts w:hint="eastAsia" w:hAnsi="宋体" w:cs="宋体"/>
          <w:color w:val="000000"/>
          <w:szCs w:val="24"/>
          <w:lang w:bidi="ar"/>
        </w:rPr>
      </w:pPr>
      <w:r>
        <w:rPr>
          <w:rFonts w:hint="eastAsia" w:hAnsi="宋体" w:cs="宋体"/>
          <w:color w:val="000000"/>
          <w:szCs w:val="24"/>
        </w:rPr>
        <w:t>土壤环境质量现状监测表明：拟建工程</w:t>
      </w:r>
      <w:r>
        <w:rPr>
          <w:rFonts w:hint="eastAsia" w:hAnsi="宋体" w:cs="宋体"/>
          <w:color w:val="000000"/>
          <w:szCs w:val="24"/>
          <w:lang w:bidi="ar"/>
        </w:rPr>
        <w:t>占地范围内土壤满足《土壤环境质量 建设用地土壤污染风险管控标准（试行）》（GB36600-2018）中第二类用地土壤污染风险筛选值，同时占地范围内各监测点土壤属于未盐化，无酸化或碱化。</w:t>
      </w:r>
    </w:p>
    <w:p w14:paraId="5F493786">
      <w:pPr>
        <w:spacing w:line="480" w:lineRule="exact"/>
        <w:outlineLvl w:val="2"/>
        <w:rPr>
          <w:rFonts w:hAnsi="宋体"/>
          <w:color w:val="000000"/>
          <w:szCs w:val="24"/>
        </w:rPr>
      </w:pPr>
      <w:r>
        <w:rPr>
          <w:rFonts w:hint="eastAsia" w:hAnsi="宋体"/>
          <w:color w:val="000000"/>
          <w:szCs w:val="24"/>
          <w:lang w:bidi="ar"/>
        </w:rPr>
        <w:t>9.3.2 环境保护目标</w:t>
      </w:r>
    </w:p>
    <w:p w14:paraId="50F7AD66">
      <w:pPr>
        <w:spacing w:line="480" w:lineRule="exact"/>
        <w:ind w:firstLine="526" w:firstLineChars="200"/>
        <w:rPr>
          <w:rFonts w:hAnsi="宋体" w:cs="宋体"/>
          <w:color w:val="000000"/>
          <w:szCs w:val="24"/>
        </w:rPr>
      </w:pPr>
      <w:bookmarkStart w:id="352" w:name="_Toc150690704"/>
      <w:bookmarkStart w:id="353" w:name="_Toc150690758"/>
      <w:bookmarkStart w:id="354" w:name="_Toc20528"/>
      <w:r>
        <w:rPr>
          <w:rFonts w:hint="eastAsia" w:hAnsi="宋体" w:cs="宋体"/>
          <w:color w:val="000000"/>
          <w:lang w:bidi="ar"/>
        </w:rPr>
        <w:t>拟建工程评价区域内无自然保护区、风景名胜区和其他需要特殊保护的区域，以及居住区、文化区和农村地区中人群较集中的区域等，不设置环境空气保护目标；</w:t>
      </w:r>
      <w:r>
        <w:rPr>
          <w:rFonts w:hint="eastAsia" w:hAnsi="宋体" w:cs="宋体"/>
          <w:color w:val="000000"/>
          <w:spacing w:val="0"/>
        </w:rPr>
        <w:t>拟建</w:t>
      </w:r>
      <w:r>
        <w:rPr>
          <w:rFonts w:hint="eastAsia" w:hAnsi="宋体" w:cs="宋体"/>
          <w:color w:val="000000"/>
          <w:lang w:val="zh-CN"/>
        </w:rPr>
        <w:t>工程</w:t>
      </w:r>
      <w:r>
        <w:rPr>
          <w:rFonts w:hint="eastAsia" w:hAnsi="宋体" w:cs="宋体"/>
          <w:color w:val="000000"/>
          <w:spacing w:val="0"/>
        </w:rPr>
        <w:t>周边无地表水体，且项目无废水外排，故不设置地表水保护目标；</w:t>
      </w:r>
      <w:r>
        <w:rPr>
          <w:rFonts w:hint="eastAsia" w:hAnsi="宋体" w:cs="宋体"/>
          <w:color w:val="000000"/>
          <w:lang w:bidi="ar"/>
        </w:rPr>
        <w:t>将地下水评价范围内潜水含水层作为地下水保护目标；工程200m范围内不涉及学校、医院、居住区等，不设置声环境保护目标；土壤</w:t>
      </w:r>
      <w:r>
        <w:rPr>
          <w:rFonts w:hint="eastAsia"/>
          <w:color w:val="000000"/>
        </w:rPr>
        <w:t>评价范围内不涉及耕地、园地、牧草地、饮用水水源地或村庄、学校等敏感点及其他土壤环境敏感目标，</w:t>
      </w:r>
      <w:r>
        <w:rPr>
          <w:rFonts w:hint="eastAsia" w:hAnsi="宋体" w:cs="宋体"/>
          <w:color w:val="000000"/>
          <w:lang w:bidi="ar"/>
        </w:rPr>
        <w:t>不设置</w:t>
      </w:r>
      <w:r>
        <w:rPr>
          <w:rFonts w:hint="eastAsia"/>
          <w:color w:val="000000"/>
        </w:rPr>
        <w:t>土壤环境保护目标</w:t>
      </w:r>
      <w:r>
        <w:rPr>
          <w:rFonts w:hint="eastAsia" w:hAnsi="宋体" w:cs="宋体"/>
          <w:color w:val="000000"/>
          <w:lang w:bidi="ar"/>
        </w:rPr>
        <w:t>；将生态影响评价范围内</w:t>
      </w:r>
      <w:r>
        <w:rPr>
          <w:rFonts w:hint="eastAsia"/>
          <w:color w:val="000000"/>
        </w:rPr>
        <w:t>塔里木河流域水土流失重点治理区</w:t>
      </w:r>
      <w:r>
        <w:rPr>
          <w:rFonts w:hint="eastAsia" w:hAnsi="宋体" w:cs="宋体"/>
          <w:color w:val="000000"/>
          <w:lang w:bidi="ar"/>
        </w:rPr>
        <w:t>作为生态保护目标；</w:t>
      </w:r>
      <w:r>
        <w:rPr>
          <w:rFonts w:hint="eastAsia"/>
          <w:color w:val="000000"/>
        </w:rPr>
        <w:t>将区域环境空气、区域潜水含水层分别作为环境空气风险保护目标和地下水风险保护目标。</w:t>
      </w:r>
    </w:p>
    <w:bookmarkEnd w:id="352"/>
    <w:bookmarkEnd w:id="353"/>
    <w:p w14:paraId="557FCA09">
      <w:pPr>
        <w:spacing w:line="500" w:lineRule="exact"/>
        <w:outlineLvl w:val="1"/>
        <w:rPr>
          <w:rFonts w:hint="eastAsia" w:ascii="黑体" w:hAnsi="黑体" w:eastAsia="黑体" w:cs="黑体"/>
          <w:color w:val="000000"/>
          <w:sz w:val="28"/>
          <w:szCs w:val="28"/>
          <w:lang w:bidi="ar"/>
        </w:rPr>
      </w:pPr>
      <w:bookmarkStart w:id="355" w:name="_Toc230178830"/>
      <w:bookmarkStart w:id="356" w:name="_Toc208474718"/>
      <w:bookmarkStart w:id="357" w:name="_Toc198040226"/>
      <w:bookmarkStart w:id="358" w:name="_Toc198040370"/>
      <w:r>
        <w:rPr>
          <w:rFonts w:hint="eastAsia" w:ascii="黑体" w:hAnsi="黑体" w:eastAsia="黑体" w:cs="黑体"/>
          <w:color w:val="000000"/>
          <w:sz w:val="28"/>
          <w:szCs w:val="28"/>
          <w:lang w:bidi="ar"/>
        </w:rPr>
        <w:t>9.4污染物排放情况</w:t>
      </w:r>
      <w:bookmarkEnd w:id="355"/>
      <w:bookmarkEnd w:id="356"/>
      <w:bookmarkEnd w:id="357"/>
      <w:bookmarkEnd w:id="358"/>
    </w:p>
    <w:p w14:paraId="2C5C6B6F">
      <w:pPr>
        <w:spacing w:line="500" w:lineRule="exact"/>
        <w:ind w:firstLine="526" w:firstLineChars="200"/>
        <w:rPr>
          <w:rFonts w:hint="eastAsia" w:hAnsi="宋体" w:cs="宋体"/>
          <w:color w:val="000000"/>
          <w:szCs w:val="24"/>
          <w:highlight w:val="yellow"/>
          <w:lang w:bidi="ar"/>
        </w:rPr>
      </w:pPr>
      <w:r>
        <w:rPr>
          <w:rFonts w:hint="eastAsia" w:hAnsi="宋体"/>
          <w:color w:val="000000"/>
          <w:szCs w:val="24"/>
        </w:rPr>
        <w:t>拟建项目运营期</w:t>
      </w:r>
      <w:r>
        <w:rPr>
          <w:rFonts w:hint="eastAsia" w:hAnsi="宋体" w:cs="宋体"/>
          <w:color w:val="000000"/>
          <w:szCs w:val="24"/>
          <w:lang w:bidi="ar"/>
        </w:rPr>
        <w:t>不产生废气、废水、噪声、固体废物产生及排放。</w:t>
      </w:r>
    </w:p>
    <w:p w14:paraId="63F5E5C2">
      <w:pPr>
        <w:spacing w:line="500" w:lineRule="exact"/>
        <w:outlineLvl w:val="1"/>
        <w:rPr>
          <w:rFonts w:ascii="黑体" w:hAnsi="黑体" w:eastAsia="黑体" w:cs="黑体"/>
          <w:color w:val="000000"/>
          <w:sz w:val="28"/>
          <w:szCs w:val="28"/>
          <w:lang w:bidi="ar"/>
        </w:rPr>
      </w:pPr>
      <w:bookmarkStart w:id="359" w:name="_Toc30952"/>
      <w:bookmarkStart w:id="360" w:name="_Toc198040371"/>
      <w:bookmarkStart w:id="361" w:name="_Toc208474719"/>
      <w:bookmarkStart w:id="362" w:name="_Toc230178831"/>
      <w:bookmarkStart w:id="363" w:name="_Toc198040227"/>
      <w:r>
        <w:rPr>
          <w:rFonts w:hint="eastAsia" w:ascii="黑体" w:hAnsi="黑体" w:eastAsia="黑体" w:cs="黑体"/>
          <w:color w:val="000000"/>
          <w:sz w:val="28"/>
          <w:szCs w:val="28"/>
          <w:lang w:bidi="ar"/>
        </w:rPr>
        <w:t xml:space="preserve">9.5 </w:t>
      </w:r>
      <w:bookmarkEnd w:id="359"/>
      <w:r>
        <w:rPr>
          <w:rFonts w:hint="eastAsia" w:ascii="黑体" w:hAnsi="黑体" w:eastAsia="黑体" w:cs="黑体"/>
          <w:color w:val="000000"/>
          <w:sz w:val="28"/>
          <w:szCs w:val="28"/>
          <w:lang w:bidi="ar"/>
        </w:rPr>
        <w:t>主要环境影响</w:t>
      </w:r>
      <w:bookmarkEnd w:id="360"/>
      <w:bookmarkEnd w:id="361"/>
      <w:bookmarkEnd w:id="362"/>
      <w:bookmarkEnd w:id="363"/>
    </w:p>
    <w:p w14:paraId="3C75EF42">
      <w:pPr>
        <w:tabs>
          <w:tab w:val="left" w:pos="2371"/>
        </w:tabs>
        <w:spacing w:line="500" w:lineRule="exact"/>
        <w:outlineLvl w:val="2"/>
        <w:rPr>
          <w:rFonts w:hAnsi="宋体"/>
          <w:color w:val="000000"/>
          <w:szCs w:val="24"/>
          <w:lang w:bidi="ar"/>
        </w:rPr>
      </w:pPr>
      <w:r>
        <w:rPr>
          <w:rFonts w:hint="eastAsia" w:hAnsi="宋体"/>
          <w:color w:val="000000"/>
          <w:szCs w:val="24"/>
          <w:lang w:bidi="ar"/>
        </w:rPr>
        <w:t>9.5.1 生态影响</w:t>
      </w:r>
    </w:p>
    <w:p w14:paraId="2FB2644C">
      <w:pPr>
        <w:tabs>
          <w:tab w:val="left" w:pos="2371"/>
        </w:tabs>
        <w:spacing w:line="500" w:lineRule="exact"/>
        <w:ind w:firstLine="526" w:firstLineChars="200"/>
        <w:rPr>
          <w:rFonts w:hAnsi="宋体"/>
          <w:color w:val="000000"/>
          <w:szCs w:val="24"/>
        </w:rPr>
      </w:pPr>
      <w:r>
        <w:rPr>
          <w:rFonts w:hint="eastAsia" w:hAnsi="宋体" w:cs="宋体"/>
          <w:color w:val="000000"/>
          <w:szCs w:val="24"/>
        </w:rPr>
        <w:t>拟建工程不同阶段对生态影响略有不同，施工期主要体现在</w:t>
      </w:r>
      <w:r>
        <w:rPr>
          <w:rFonts w:hint="eastAsia" w:cs="宋体"/>
          <w:color w:val="000000"/>
          <w:kern w:val="0"/>
          <w:szCs w:val="24"/>
        </w:rPr>
        <w:t>地表扰动、土壤肥力、生物多样性、生态系统完整性、水土流失、防沙治沙</w:t>
      </w:r>
      <w:r>
        <w:rPr>
          <w:rFonts w:hint="eastAsia" w:hAnsi="宋体" w:cs="宋体"/>
          <w:color w:val="000000"/>
          <w:szCs w:val="24"/>
        </w:rPr>
        <w:t>等方面，其中对地表扰动、水土流失及防沙治沙的影响相对较大；运营期主要体现在</w:t>
      </w:r>
      <w:r>
        <w:rPr>
          <w:rFonts w:hint="eastAsia" w:cs="宋体"/>
          <w:color w:val="000000"/>
          <w:kern w:val="0"/>
          <w:szCs w:val="24"/>
        </w:rPr>
        <w:t>生态系统完整性</w:t>
      </w:r>
      <w:r>
        <w:rPr>
          <w:rFonts w:hint="eastAsia" w:hAnsi="宋体" w:cs="宋体"/>
          <w:color w:val="000000"/>
          <w:szCs w:val="24"/>
        </w:rPr>
        <w:t>等方面，但影响相对较小。通过采取相应的生态保护与恢复措施后，拟建工程建设对生态影响可得到有效减缓，对生态影响不大；从生态影响的角度看，该项目是可行的。</w:t>
      </w:r>
    </w:p>
    <w:p w14:paraId="7741CDC1">
      <w:pPr>
        <w:spacing w:line="500" w:lineRule="exact"/>
        <w:outlineLvl w:val="2"/>
        <w:rPr>
          <w:rFonts w:hAnsi="宋体"/>
          <w:color w:val="000000"/>
          <w:szCs w:val="24"/>
          <w:lang w:bidi="ar"/>
        </w:rPr>
      </w:pPr>
      <w:r>
        <w:rPr>
          <w:rFonts w:hint="eastAsia" w:hAnsi="宋体"/>
          <w:color w:val="000000"/>
          <w:szCs w:val="24"/>
          <w:lang w:bidi="ar"/>
        </w:rPr>
        <w:t>9.5.2 地下水环境影响</w:t>
      </w:r>
    </w:p>
    <w:p w14:paraId="5443A6E1">
      <w:pPr>
        <w:overflowPunct w:val="0"/>
        <w:autoSpaceDE w:val="0"/>
        <w:autoSpaceDN w:val="0"/>
        <w:spacing w:line="500" w:lineRule="exact"/>
        <w:ind w:firstLine="526" w:firstLineChars="200"/>
        <w:rPr>
          <w:rFonts w:hAnsi="宋体"/>
          <w:color w:val="000000"/>
          <w:szCs w:val="24"/>
          <w:lang w:bidi="ar"/>
        </w:rPr>
      </w:pPr>
      <w:r>
        <w:rPr>
          <w:rFonts w:hint="eastAsia" w:hAnsi="宋体"/>
          <w:color w:val="000000"/>
          <w:szCs w:val="24"/>
        </w:rPr>
        <w:t>拟建工程采取了源头控制、监控措施和应急响应等防控措施，同时制定了合理的地下水污染监控计划。因此，在加强管理并严格落实地下水污染防控措施的前提下，从地下水环境影响的角度分析，拟建工程对地下水环境影响可接受。</w:t>
      </w:r>
    </w:p>
    <w:p w14:paraId="0BD9AED7">
      <w:pPr>
        <w:tabs>
          <w:tab w:val="left" w:pos="2371"/>
        </w:tabs>
        <w:spacing w:line="500" w:lineRule="exact"/>
        <w:outlineLvl w:val="2"/>
        <w:rPr>
          <w:rFonts w:hAnsi="宋体"/>
          <w:color w:val="000000"/>
          <w:szCs w:val="24"/>
          <w:lang w:bidi="ar"/>
        </w:rPr>
      </w:pPr>
      <w:r>
        <w:rPr>
          <w:rFonts w:hint="eastAsia" w:hAnsi="宋体"/>
          <w:color w:val="000000"/>
          <w:szCs w:val="24"/>
          <w:lang w:bidi="ar"/>
        </w:rPr>
        <w:t>9.5.3 土壤影响</w:t>
      </w:r>
    </w:p>
    <w:p w14:paraId="5AC3D6CD">
      <w:pPr>
        <w:spacing w:line="500" w:lineRule="exact"/>
        <w:ind w:firstLine="526" w:firstLineChars="200"/>
        <w:rPr>
          <w:rFonts w:hint="eastAsia" w:hAnsi="宋体"/>
          <w:color w:val="000000"/>
          <w:szCs w:val="24"/>
          <w:lang w:bidi="ar"/>
        </w:rPr>
      </w:pPr>
      <w:r>
        <w:rPr>
          <w:rFonts w:hint="eastAsia" w:hAnsi="宋体" w:cs="宋体"/>
          <w:color w:val="000000"/>
          <w:szCs w:val="24"/>
        </w:rPr>
        <w:t>拟建工程</w:t>
      </w:r>
      <w:r>
        <w:rPr>
          <w:rFonts w:hint="eastAsia" w:hAnsi="宋体" w:cs="宋体"/>
          <w:color w:val="000000"/>
          <w:szCs w:val="24"/>
          <w:lang w:bidi="ar"/>
        </w:rPr>
        <w:t>占地范围内土壤满足《土壤环境质量 建设用地土壤污染风险管控标准（试行）》（GB36600-2018）中第二类用地土壤污染风险筛选值，</w:t>
      </w:r>
      <w:r>
        <w:rPr>
          <w:rFonts w:hint="eastAsia" w:hAnsi="宋体" w:cs="宋体"/>
          <w:color w:val="000000"/>
          <w:szCs w:val="24"/>
        </w:rPr>
        <w:t>同时根据土壤垂直入渗预测结果可知石油烃在土壤中随时间不断向下迁移，</w:t>
      </w:r>
      <w:r>
        <w:rPr>
          <w:rFonts w:hint="eastAsia" w:hAnsi="宋体"/>
          <w:color w:val="000000"/>
          <w:szCs w:val="24"/>
        </w:rPr>
        <w:t>石油烃主要积聚在土壤表层</w:t>
      </w:r>
      <w:r>
        <w:rPr>
          <w:rFonts w:hAnsi="宋体"/>
          <w:color w:val="000000"/>
          <w:szCs w:val="24"/>
        </w:rPr>
        <w:t>50cm</w:t>
      </w:r>
      <w:r>
        <w:rPr>
          <w:rFonts w:hint="eastAsia" w:hAnsi="宋体"/>
          <w:color w:val="000000"/>
          <w:szCs w:val="24"/>
        </w:rPr>
        <w:t>以内，其污染也主要限于地表，土壤底部石油烃浓度未检出</w:t>
      </w:r>
      <w:r>
        <w:rPr>
          <w:rFonts w:hint="eastAsia" w:hAnsi="宋体" w:cs="宋体"/>
          <w:color w:val="000000"/>
          <w:szCs w:val="24"/>
        </w:rPr>
        <w:t>。因此，</w:t>
      </w:r>
      <w:r>
        <w:rPr>
          <w:rFonts w:hint="eastAsia" w:hAnsi="宋体"/>
          <w:color w:val="000000"/>
          <w:szCs w:val="24"/>
        </w:rPr>
        <w:t>拟建工程</w:t>
      </w:r>
      <w:r>
        <w:rPr>
          <w:rFonts w:hint="eastAsia" w:hAnsi="宋体" w:cs="宋体"/>
          <w:color w:val="000000"/>
          <w:szCs w:val="24"/>
        </w:rPr>
        <w:t>需采取土壤防治措施按照“源头控制、过程防控”相结合的原则，并定期开展土壤跟踪监测，在严格按照土壤污染防护措施后，从土壤环境影响的角度，</w:t>
      </w:r>
      <w:r>
        <w:rPr>
          <w:rFonts w:hint="eastAsia" w:hAnsi="宋体"/>
          <w:color w:val="000000"/>
          <w:szCs w:val="24"/>
        </w:rPr>
        <w:t>拟建</w:t>
      </w:r>
      <w:r>
        <w:rPr>
          <w:rFonts w:hint="eastAsia" w:hAnsi="宋体" w:cs="宋体"/>
          <w:color w:val="000000"/>
          <w:szCs w:val="24"/>
        </w:rPr>
        <w:t>工程建设可行。</w:t>
      </w:r>
    </w:p>
    <w:p w14:paraId="3319F42A">
      <w:pPr>
        <w:spacing w:line="480" w:lineRule="exact"/>
        <w:outlineLvl w:val="2"/>
        <w:rPr>
          <w:rFonts w:hAnsi="宋体"/>
          <w:color w:val="000000"/>
          <w:szCs w:val="24"/>
          <w:lang w:bidi="ar"/>
        </w:rPr>
      </w:pPr>
      <w:r>
        <w:rPr>
          <w:rFonts w:hint="eastAsia" w:hAnsi="宋体"/>
          <w:color w:val="000000"/>
          <w:szCs w:val="24"/>
          <w:lang w:bidi="ar"/>
        </w:rPr>
        <w:t>9.5.5 大气环境影响</w:t>
      </w:r>
    </w:p>
    <w:p w14:paraId="0D1A530B">
      <w:pPr>
        <w:spacing w:line="480" w:lineRule="exact"/>
        <w:ind w:firstLine="526" w:firstLineChars="200"/>
        <w:rPr>
          <w:rFonts w:hAnsi="宋体"/>
          <w:color w:val="000000"/>
          <w:szCs w:val="24"/>
          <w:lang w:bidi="ar"/>
        </w:rPr>
      </w:pPr>
      <w:r>
        <w:rPr>
          <w:rFonts w:hint="eastAsia"/>
          <w:color w:val="000000"/>
        </w:rPr>
        <w:t>运营期无废气产生</w:t>
      </w:r>
      <w:r>
        <w:rPr>
          <w:rFonts w:hint="eastAsia" w:hAnsi="宋体"/>
          <w:color w:val="000000"/>
          <w:szCs w:val="24"/>
        </w:rPr>
        <w:t>。</w:t>
      </w:r>
    </w:p>
    <w:p w14:paraId="1B0F76C4">
      <w:pPr>
        <w:spacing w:line="480" w:lineRule="exact"/>
        <w:outlineLvl w:val="2"/>
        <w:rPr>
          <w:rFonts w:hAnsi="宋体"/>
          <w:color w:val="000000"/>
          <w:szCs w:val="24"/>
          <w:lang w:bidi="ar"/>
        </w:rPr>
      </w:pPr>
      <w:r>
        <w:rPr>
          <w:rFonts w:hint="eastAsia" w:hAnsi="宋体"/>
          <w:color w:val="000000"/>
          <w:szCs w:val="24"/>
          <w:lang w:bidi="ar"/>
        </w:rPr>
        <w:t>9.5.6 声环境影响</w:t>
      </w:r>
    </w:p>
    <w:p w14:paraId="77B85097">
      <w:pPr>
        <w:spacing w:line="480" w:lineRule="exact"/>
        <w:ind w:firstLine="526" w:firstLineChars="200"/>
        <w:rPr>
          <w:rFonts w:hAnsi="宋体"/>
          <w:color w:val="000000"/>
          <w:szCs w:val="24"/>
        </w:rPr>
      </w:pPr>
      <w:r>
        <w:rPr>
          <w:rFonts w:hint="eastAsia"/>
          <w:color w:val="000000"/>
        </w:rPr>
        <w:t>运营期无噪声产生</w:t>
      </w:r>
      <w:r>
        <w:rPr>
          <w:rFonts w:hint="eastAsia" w:hAnsi="宋体" w:cs="宋体"/>
          <w:color w:val="000000"/>
          <w:szCs w:val="24"/>
        </w:rPr>
        <w:t>。</w:t>
      </w:r>
    </w:p>
    <w:p w14:paraId="5CF5E5A2">
      <w:pPr>
        <w:spacing w:line="480" w:lineRule="exact"/>
        <w:outlineLvl w:val="2"/>
        <w:rPr>
          <w:rFonts w:hAnsi="宋体"/>
          <w:color w:val="000000"/>
          <w:szCs w:val="24"/>
          <w:lang w:bidi="ar"/>
        </w:rPr>
      </w:pPr>
      <w:r>
        <w:rPr>
          <w:rFonts w:hint="eastAsia" w:hAnsi="宋体"/>
          <w:color w:val="000000"/>
          <w:szCs w:val="24"/>
          <w:lang w:bidi="ar"/>
        </w:rPr>
        <w:t>9.5.7 固体废物环境影响</w:t>
      </w:r>
    </w:p>
    <w:p w14:paraId="7811E32A">
      <w:pPr>
        <w:tabs>
          <w:tab w:val="left" w:pos="2371"/>
        </w:tabs>
        <w:spacing w:line="480" w:lineRule="exact"/>
        <w:ind w:firstLine="526" w:firstLineChars="200"/>
        <w:rPr>
          <w:rFonts w:hAnsi="宋体"/>
          <w:color w:val="000000"/>
          <w:szCs w:val="24"/>
          <w:lang w:val="zh-CN"/>
        </w:rPr>
      </w:pPr>
      <w:r>
        <w:rPr>
          <w:rFonts w:hint="eastAsia" w:hAnsi="宋体" w:cs="宋体"/>
          <w:color w:val="000000"/>
        </w:rPr>
        <w:t>运营期</w:t>
      </w:r>
      <w:r>
        <w:rPr>
          <w:rFonts w:hint="eastAsia" w:hAnsi="宋体"/>
          <w:color w:val="000000"/>
        </w:rPr>
        <w:t>无固废产生</w:t>
      </w:r>
      <w:r>
        <w:rPr>
          <w:rFonts w:hint="eastAsia" w:hAnsi="宋体" w:cs="宋体"/>
          <w:color w:val="000000"/>
          <w:kern w:val="0"/>
          <w:szCs w:val="24"/>
          <w:lang w:bidi="ar"/>
        </w:rPr>
        <w:t>。</w:t>
      </w:r>
    </w:p>
    <w:p w14:paraId="09B5C0BA">
      <w:pPr>
        <w:tabs>
          <w:tab w:val="left" w:pos="2371"/>
        </w:tabs>
        <w:spacing w:line="480" w:lineRule="exact"/>
        <w:outlineLvl w:val="2"/>
        <w:rPr>
          <w:rFonts w:hAnsi="宋体"/>
          <w:color w:val="000000"/>
          <w:szCs w:val="24"/>
          <w:lang w:bidi="ar"/>
        </w:rPr>
      </w:pPr>
      <w:r>
        <w:rPr>
          <w:rFonts w:hint="eastAsia" w:hAnsi="宋体"/>
          <w:color w:val="000000"/>
          <w:szCs w:val="24"/>
          <w:lang w:bidi="ar"/>
        </w:rPr>
        <w:t>9.5.8 环境风险</w:t>
      </w:r>
    </w:p>
    <w:p w14:paraId="674B57E6">
      <w:pPr>
        <w:spacing w:line="480" w:lineRule="exact"/>
        <w:ind w:firstLine="526" w:firstLineChars="200"/>
        <w:rPr>
          <w:rFonts w:hAnsi="宋体"/>
          <w:color w:val="000000"/>
          <w:szCs w:val="24"/>
        </w:rPr>
      </w:pPr>
      <w:r>
        <w:rPr>
          <w:rFonts w:hint="eastAsia" w:hAnsi="宋体"/>
          <w:color w:val="000000"/>
          <w:szCs w:val="24"/>
        </w:rPr>
        <w:t>塔里木油田分公司塔中采油气管理区</w:t>
      </w:r>
      <w:r>
        <w:rPr>
          <w:rFonts w:hint="eastAsia" w:hAnsi="宋体"/>
          <w:color w:val="000000"/>
          <w:szCs w:val="24"/>
          <w:lang w:bidi="ar"/>
        </w:rPr>
        <w:t>制定了应急预案，拟建工程实施后，负责实施的</w:t>
      </w:r>
      <w:r>
        <w:rPr>
          <w:rFonts w:hint="eastAsia" w:hAnsi="宋体"/>
          <w:color w:val="000000"/>
          <w:szCs w:val="24"/>
        </w:rPr>
        <w:t>塔中采油气管理区</w:t>
      </w:r>
      <w:r>
        <w:rPr>
          <w:rFonts w:hint="eastAsia" w:hAnsi="宋体"/>
          <w:color w:val="000000"/>
          <w:szCs w:val="24"/>
          <w:lang w:bidi="ar"/>
        </w:rPr>
        <w:t>将结合项目新增建设内容适时修订现行环境风险应急预案。</w:t>
      </w:r>
      <w:r>
        <w:rPr>
          <w:rFonts w:hint="eastAsia" w:hAnsi="宋体" w:cs="宋体"/>
          <w:color w:val="000000"/>
          <w:kern w:val="21"/>
          <w:szCs w:val="24"/>
        </w:rPr>
        <w:t>项目在制定严格的事故风险防范措施及应急计划后，可将事故发生概率减少到最低，减少事故造成的损失，在可接受范围之内。在</w:t>
      </w:r>
      <w:r>
        <w:rPr>
          <w:rFonts w:hint="eastAsia" w:hAnsi="宋体" w:cs="宋体"/>
          <w:color w:val="000000"/>
          <w:szCs w:val="24"/>
        </w:rPr>
        <w:t>采取严格完善的环境风险防范措施和应急措施前提下，环境风险可防控。</w:t>
      </w:r>
    </w:p>
    <w:p w14:paraId="4C73ABD8">
      <w:pPr>
        <w:spacing w:line="480" w:lineRule="exact"/>
        <w:outlineLvl w:val="1"/>
        <w:rPr>
          <w:rFonts w:ascii="黑体" w:hAnsi="黑体" w:eastAsia="黑体" w:cs="黑体"/>
          <w:color w:val="000000"/>
          <w:sz w:val="28"/>
          <w:szCs w:val="28"/>
          <w:lang w:bidi="ar"/>
        </w:rPr>
      </w:pPr>
      <w:bookmarkStart w:id="364" w:name="_Toc198040228"/>
      <w:bookmarkStart w:id="365" w:name="_Toc208474720"/>
      <w:bookmarkStart w:id="366" w:name="_Toc198040372"/>
      <w:bookmarkStart w:id="367" w:name="_Toc230178832"/>
      <w:r>
        <w:rPr>
          <w:rFonts w:hint="eastAsia" w:ascii="黑体" w:hAnsi="黑体" w:eastAsia="黑体" w:cs="黑体"/>
          <w:color w:val="000000"/>
          <w:sz w:val="28"/>
          <w:szCs w:val="28"/>
          <w:lang w:bidi="ar"/>
        </w:rPr>
        <w:t xml:space="preserve">9.6 </w:t>
      </w:r>
      <w:bookmarkEnd w:id="354"/>
      <w:r>
        <w:rPr>
          <w:rFonts w:hint="eastAsia" w:ascii="黑体" w:hAnsi="黑体" w:eastAsia="黑体" w:cs="黑体"/>
          <w:color w:val="000000"/>
          <w:sz w:val="28"/>
          <w:szCs w:val="28"/>
          <w:lang w:bidi="ar"/>
        </w:rPr>
        <w:t>环境保护措施</w:t>
      </w:r>
      <w:bookmarkEnd w:id="364"/>
      <w:bookmarkEnd w:id="365"/>
      <w:bookmarkEnd w:id="366"/>
      <w:bookmarkEnd w:id="367"/>
    </w:p>
    <w:p w14:paraId="6413A168">
      <w:pPr>
        <w:spacing w:line="480" w:lineRule="exact"/>
        <w:outlineLvl w:val="2"/>
        <w:rPr>
          <w:rFonts w:hAnsi="宋体"/>
          <w:color w:val="000000"/>
          <w:szCs w:val="24"/>
          <w:lang w:bidi="ar"/>
        </w:rPr>
      </w:pPr>
      <w:r>
        <w:rPr>
          <w:rFonts w:hint="eastAsia" w:hAnsi="宋体"/>
          <w:color w:val="000000"/>
          <w:szCs w:val="24"/>
          <w:lang w:bidi="ar"/>
        </w:rPr>
        <w:t>9.6.1 废气污染源及治理措施</w:t>
      </w:r>
    </w:p>
    <w:p w14:paraId="711FC245">
      <w:pPr>
        <w:spacing w:line="480" w:lineRule="exact"/>
        <w:ind w:firstLine="526" w:firstLineChars="200"/>
        <w:rPr>
          <w:rFonts w:hAnsi="宋体" w:cs="宋体"/>
          <w:color w:val="000000"/>
          <w:szCs w:val="24"/>
        </w:rPr>
      </w:pPr>
      <w:r>
        <w:rPr>
          <w:rFonts w:hint="eastAsia" w:hAnsi="宋体"/>
          <w:color w:val="000000"/>
        </w:rPr>
        <w:t>拟建工程运营期无废气产生</w:t>
      </w:r>
      <w:r>
        <w:rPr>
          <w:rFonts w:hint="eastAsia" w:hAnsi="宋体" w:cs="宋体"/>
          <w:color w:val="000000"/>
          <w:szCs w:val="24"/>
        </w:rPr>
        <w:t>。</w:t>
      </w:r>
    </w:p>
    <w:p w14:paraId="1DE7C129">
      <w:pPr>
        <w:spacing w:line="480" w:lineRule="exact"/>
        <w:outlineLvl w:val="2"/>
        <w:rPr>
          <w:rFonts w:hAnsi="宋体"/>
          <w:color w:val="000000"/>
          <w:szCs w:val="24"/>
          <w:lang w:bidi="ar"/>
        </w:rPr>
      </w:pPr>
      <w:r>
        <w:rPr>
          <w:rFonts w:hint="eastAsia" w:hAnsi="宋体"/>
          <w:color w:val="000000"/>
          <w:szCs w:val="24"/>
          <w:lang w:bidi="ar"/>
        </w:rPr>
        <w:t>9.6.2 废水污染源及治理措施</w:t>
      </w:r>
    </w:p>
    <w:p w14:paraId="5A5C4BE1">
      <w:pPr>
        <w:spacing w:line="480" w:lineRule="exact"/>
        <w:ind w:firstLine="526" w:firstLineChars="200"/>
        <w:rPr>
          <w:rFonts w:hAnsi="宋体"/>
          <w:color w:val="000000"/>
          <w:szCs w:val="24"/>
        </w:rPr>
      </w:pPr>
      <w:r>
        <w:rPr>
          <w:rFonts w:hint="eastAsia" w:hAnsi="宋体" w:cs="宋体"/>
          <w:color w:val="000000"/>
        </w:rPr>
        <w:t>拟建工程</w:t>
      </w:r>
      <w:r>
        <w:rPr>
          <w:rFonts w:hint="eastAsia" w:hAnsi="宋体"/>
          <w:color w:val="000000"/>
        </w:rPr>
        <w:t>运营期无废水产生</w:t>
      </w:r>
      <w:r>
        <w:rPr>
          <w:rFonts w:hint="eastAsia" w:hAnsi="宋体"/>
          <w:color w:val="000000"/>
          <w:szCs w:val="24"/>
        </w:rPr>
        <w:t>。</w:t>
      </w:r>
    </w:p>
    <w:p w14:paraId="6EA7F781">
      <w:pPr>
        <w:spacing w:line="480" w:lineRule="exact"/>
        <w:outlineLvl w:val="2"/>
        <w:rPr>
          <w:rFonts w:hAnsi="宋体"/>
          <w:color w:val="000000"/>
          <w:szCs w:val="24"/>
          <w:lang w:bidi="ar"/>
        </w:rPr>
      </w:pPr>
      <w:r>
        <w:rPr>
          <w:rFonts w:hint="eastAsia" w:hAnsi="宋体"/>
          <w:color w:val="000000"/>
          <w:szCs w:val="24"/>
          <w:lang w:bidi="ar"/>
        </w:rPr>
        <w:t>9.6.3 噪声污染源及治理措施</w:t>
      </w:r>
    </w:p>
    <w:p w14:paraId="606EF348">
      <w:pPr>
        <w:spacing w:line="480" w:lineRule="exact"/>
        <w:ind w:firstLine="526" w:firstLineChars="200"/>
        <w:rPr>
          <w:rFonts w:hAnsi="宋体"/>
          <w:color w:val="000000"/>
          <w:szCs w:val="24"/>
        </w:rPr>
      </w:pPr>
      <w:r>
        <w:rPr>
          <w:rFonts w:hint="eastAsia" w:hAnsi="宋体" w:cs="宋体"/>
          <w:color w:val="000000"/>
        </w:rPr>
        <w:t>拟建工程</w:t>
      </w:r>
      <w:r>
        <w:rPr>
          <w:rFonts w:hint="eastAsia" w:hAnsi="宋体"/>
          <w:color w:val="000000"/>
        </w:rPr>
        <w:t>运营期无噪声产生</w:t>
      </w:r>
      <w:r>
        <w:rPr>
          <w:rFonts w:hint="eastAsia" w:hAnsi="宋体"/>
          <w:color w:val="000000"/>
          <w:szCs w:val="24"/>
        </w:rPr>
        <w:t>。</w:t>
      </w:r>
    </w:p>
    <w:p w14:paraId="34FBD989">
      <w:pPr>
        <w:spacing w:line="480" w:lineRule="exact"/>
        <w:outlineLvl w:val="2"/>
        <w:rPr>
          <w:rFonts w:hAnsi="宋体"/>
          <w:color w:val="000000"/>
          <w:szCs w:val="24"/>
          <w:lang w:bidi="ar"/>
        </w:rPr>
      </w:pPr>
      <w:r>
        <w:rPr>
          <w:rFonts w:hint="eastAsia" w:hAnsi="宋体"/>
          <w:color w:val="000000"/>
          <w:szCs w:val="24"/>
          <w:lang w:bidi="ar"/>
        </w:rPr>
        <w:t>9.6.4 固体废物及处理措施</w:t>
      </w:r>
    </w:p>
    <w:p w14:paraId="2BC18F88">
      <w:pPr>
        <w:spacing w:line="480" w:lineRule="exact"/>
        <w:ind w:firstLine="526" w:firstLineChars="200"/>
        <w:rPr>
          <w:rFonts w:hAnsi="宋体" w:cs="宋体"/>
          <w:color w:val="000000"/>
          <w:szCs w:val="24"/>
        </w:rPr>
      </w:pPr>
      <w:r>
        <w:rPr>
          <w:rFonts w:hint="eastAsia" w:hAnsi="宋体"/>
          <w:color w:val="000000"/>
        </w:rPr>
        <w:t>拟建工程运营期无固废产生</w:t>
      </w:r>
      <w:r>
        <w:rPr>
          <w:rFonts w:hint="eastAsia" w:hAnsi="宋体"/>
          <w:color w:val="000000"/>
          <w:szCs w:val="24"/>
        </w:rPr>
        <w:t>。</w:t>
      </w:r>
    </w:p>
    <w:p w14:paraId="09750826">
      <w:pPr>
        <w:spacing w:line="480" w:lineRule="exact"/>
        <w:outlineLvl w:val="1"/>
        <w:rPr>
          <w:rFonts w:ascii="黑体" w:hAnsi="黑体" w:eastAsia="黑体" w:cs="黑体"/>
          <w:color w:val="000000"/>
          <w:sz w:val="28"/>
          <w:szCs w:val="28"/>
          <w:lang w:bidi="ar"/>
        </w:rPr>
      </w:pPr>
      <w:bookmarkStart w:id="368" w:name="_Toc208474721"/>
      <w:bookmarkStart w:id="369" w:name="_Toc198040373"/>
      <w:bookmarkStart w:id="370" w:name="_Toc230178833"/>
      <w:bookmarkStart w:id="371" w:name="_Toc198040229"/>
      <w:bookmarkStart w:id="372" w:name="_Toc8359"/>
      <w:bookmarkStart w:id="373" w:name="_Toc516220411"/>
      <w:r>
        <w:rPr>
          <w:rFonts w:hint="eastAsia" w:ascii="黑体" w:hAnsi="黑体" w:eastAsia="黑体" w:cs="黑体"/>
          <w:color w:val="000000"/>
          <w:sz w:val="28"/>
          <w:szCs w:val="28"/>
          <w:lang w:bidi="ar"/>
        </w:rPr>
        <w:t>9.7 公众意见采纳情况</w:t>
      </w:r>
      <w:bookmarkEnd w:id="368"/>
      <w:bookmarkEnd w:id="369"/>
      <w:bookmarkEnd w:id="370"/>
      <w:bookmarkEnd w:id="371"/>
    </w:p>
    <w:p w14:paraId="2DFEF4B4">
      <w:pPr>
        <w:spacing w:line="480" w:lineRule="exact"/>
        <w:ind w:firstLine="526" w:firstLineChars="200"/>
        <w:rPr>
          <w:rFonts w:hAnsi="宋体"/>
          <w:color w:val="000000"/>
          <w:szCs w:val="24"/>
          <w:lang w:bidi="ar"/>
        </w:rPr>
      </w:pPr>
      <w:r>
        <w:rPr>
          <w:rFonts w:hint="eastAsia" w:hAnsi="宋体"/>
          <w:color w:val="000000"/>
          <w:szCs w:val="24"/>
          <w:lang w:bidi="ar"/>
        </w:rPr>
        <w:t>环评期间，建设单位根据</w:t>
      </w:r>
      <w:r>
        <w:rPr>
          <w:rFonts w:hint="eastAsia" w:hAnsi="宋体"/>
          <w:color w:val="000000"/>
          <w:szCs w:val="24"/>
        </w:rPr>
        <w:t>《环境影响评价公众参与办法》（部令第4号）</w:t>
      </w:r>
      <w:r>
        <w:rPr>
          <w:rFonts w:hint="eastAsia" w:hAnsi="宋体"/>
          <w:color w:val="000000"/>
          <w:szCs w:val="24"/>
          <w:lang w:bidi="ar"/>
        </w:rPr>
        <w:t>的有关要求，</w:t>
      </w:r>
      <w:r>
        <w:rPr>
          <w:rFonts w:hint="eastAsia" w:hAnsi="宋体"/>
          <w:color w:val="000000"/>
          <w:szCs w:val="24"/>
        </w:rPr>
        <w:t>中国石油天然气股份有限公司塔里木油田分公司</w:t>
      </w:r>
      <w:r>
        <w:rPr>
          <w:rFonts w:hint="eastAsia" w:hAnsi="宋体"/>
          <w:color w:val="000000"/>
          <w:szCs w:val="24"/>
          <w:lang w:bidi="ar"/>
        </w:rPr>
        <w:t>通过网络公示、报纸公示征求公众意见。根据塔里木油田分公司提供的</w:t>
      </w:r>
      <w:r>
        <w:rPr>
          <w:rFonts w:hint="eastAsia" w:hAnsi="宋体"/>
          <w:color w:val="000000"/>
          <w:szCs w:val="24"/>
        </w:rPr>
        <w:t>《2号集至塔三联集输管线改造项目公众参与说明书》</w:t>
      </w:r>
      <w:r>
        <w:rPr>
          <w:rFonts w:hint="eastAsia" w:hAnsi="宋体"/>
          <w:color w:val="000000"/>
          <w:szCs w:val="24"/>
          <w:lang w:bidi="ar"/>
        </w:rPr>
        <w:t>，拟建工程公示期间未收到公众反馈意见</w:t>
      </w:r>
      <w:r>
        <w:rPr>
          <w:rFonts w:hint="eastAsia" w:hAnsi="宋体" w:cs="宋体"/>
          <w:color w:val="000000"/>
          <w:szCs w:val="24"/>
          <w:lang w:bidi="ar"/>
        </w:rPr>
        <w:t>。</w:t>
      </w:r>
    </w:p>
    <w:p w14:paraId="03C73A7C">
      <w:pPr>
        <w:spacing w:line="480" w:lineRule="exact"/>
        <w:outlineLvl w:val="1"/>
        <w:rPr>
          <w:rFonts w:ascii="黑体" w:hAnsi="黑体" w:eastAsia="黑体" w:cs="黑体"/>
          <w:color w:val="000000"/>
          <w:sz w:val="28"/>
          <w:szCs w:val="28"/>
          <w:lang w:bidi="ar"/>
        </w:rPr>
      </w:pPr>
      <w:bookmarkStart w:id="374" w:name="_Toc208474722"/>
      <w:bookmarkStart w:id="375" w:name="_Toc198040374"/>
      <w:bookmarkStart w:id="376" w:name="_Toc198040230"/>
      <w:bookmarkStart w:id="377" w:name="_Toc230178834"/>
      <w:r>
        <w:rPr>
          <w:rFonts w:hint="eastAsia" w:ascii="黑体" w:hAnsi="黑体" w:eastAsia="黑体" w:cs="黑体"/>
          <w:color w:val="000000"/>
          <w:sz w:val="28"/>
          <w:szCs w:val="28"/>
          <w:lang w:bidi="ar"/>
        </w:rPr>
        <w:t xml:space="preserve">9.8 </w:t>
      </w:r>
      <w:bookmarkEnd w:id="372"/>
      <w:bookmarkEnd w:id="373"/>
      <w:r>
        <w:rPr>
          <w:rFonts w:hint="eastAsia" w:ascii="黑体" w:hAnsi="黑体" w:eastAsia="黑体" w:cs="黑体"/>
          <w:color w:val="000000"/>
          <w:sz w:val="28"/>
          <w:szCs w:val="28"/>
          <w:lang w:bidi="ar"/>
        </w:rPr>
        <w:t>环境影响经济损益分析</w:t>
      </w:r>
      <w:bookmarkEnd w:id="374"/>
      <w:bookmarkEnd w:id="375"/>
      <w:bookmarkEnd w:id="376"/>
      <w:bookmarkEnd w:id="377"/>
    </w:p>
    <w:p w14:paraId="7A52E7EB">
      <w:pPr>
        <w:adjustRightInd w:val="0"/>
        <w:spacing w:line="480" w:lineRule="exact"/>
        <w:ind w:firstLine="526" w:firstLineChars="200"/>
        <w:rPr>
          <w:rFonts w:hAnsi="宋体"/>
          <w:color w:val="000000"/>
          <w:szCs w:val="24"/>
          <w:lang w:bidi="ar"/>
        </w:rPr>
      </w:pPr>
      <w:r>
        <w:rPr>
          <w:rFonts w:hint="eastAsia" w:hAnsi="宋体"/>
          <w:color w:val="000000"/>
          <w:szCs w:val="24"/>
        </w:rPr>
        <w:t>拟建</w:t>
      </w:r>
      <w:r>
        <w:rPr>
          <w:rFonts w:hint="eastAsia" w:hAnsi="宋体" w:cs="宋体"/>
          <w:color w:val="000000"/>
          <w:szCs w:val="24"/>
        </w:rPr>
        <w:t>工程经分析具有良好的环境效益和社会效益。在建设过程中，由于管线施工需要占用一定量的土地，并因此带来一定的环境损失。因而在油气开采过程中，需要投入必要的资金用于污染防治和恢复地貌等，实施相应的环保措施后，可以起到保护环境的效果。</w:t>
      </w:r>
    </w:p>
    <w:p w14:paraId="44C5B8FF">
      <w:pPr>
        <w:spacing w:line="480" w:lineRule="exact"/>
        <w:outlineLvl w:val="1"/>
        <w:rPr>
          <w:rFonts w:ascii="黑体" w:hAnsi="黑体" w:eastAsia="黑体" w:cs="黑体"/>
          <w:color w:val="000000"/>
          <w:sz w:val="28"/>
          <w:szCs w:val="28"/>
          <w:lang w:bidi="ar"/>
        </w:rPr>
      </w:pPr>
      <w:bookmarkStart w:id="378" w:name="_Toc2786"/>
      <w:bookmarkStart w:id="379" w:name="_Toc516220412"/>
      <w:bookmarkStart w:id="380" w:name="_Toc230178835"/>
      <w:bookmarkStart w:id="381" w:name="_Toc198040231"/>
      <w:bookmarkStart w:id="382" w:name="_Toc208474723"/>
      <w:bookmarkStart w:id="383" w:name="_Toc198040375"/>
      <w:r>
        <w:rPr>
          <w:rFonts w:hint="eastAsia" w:ascii="黑体" w:hAnsi="黑体" w:eastAsia="黑体" w:cs="黑体"/>
          <w:color w:val="000000"/>
          <w:sz w:val="28"/>
          <w:szCs w:val="28"/>
          <w:lang w:bidi="ar"/>
        </w:rPr>
        <w:t xml:space="preserve">9.9 </w:t>
      </w:r>
      <w:bookmarkEnd w:id="378"/>
      <w:bookmarkEnd w:id="379"/>
      <w:r>
        <w:rPr>
          <w:rFonts w:hint="eastAsia" w:ascii="黑体" w:hAnsi="黑体" w:eastAsia="黑体" w:cs="黑体"/>
          <w:color w:val="000000"/>
          <w:sz w:val="28"/>
          <w:szCs w:val="28"/>
          <w:lang w:bidi="ar"/>
        </w:rPr>
        <w:t>环境管理与监测计划</w:t>
      </w:r>
      <w:bookmarkEnd w:id="380"/>
      <w:bookmarkEnd w:id="381"/>
      <w:bookmarkEnd w:id="382"/>
      <w:bookmarkEnd w:id="383"/>
    </w:p>
    <w:p w14:paraId="0583F709">
      <w:pPr>
        <w:spacing w:line="480" w:lineRule="exact"/>
        <w:ind w:firstLine="526" w:firstLineChars="200"/>
        <w:rPr>
          <w:rFonts w:hAnsi="宋体"/>
          <w:color w:val="000000"/>
          <w:szCs w:val="24"/>
          <w:lang w:bidi="ar"/>
        </w:rPr>
      </w:pPr>
      <w:r>
        <w:rPr>
          <w:rFonts w:hint="eastAsia" w:hAnsi="宋体"/>
          <w:color w:val="000000"/>
          <w:szCs w:val="24"/>
        </w:rPr>
        <w:t>中国石油天然气股份有限公司塔里木油田分公司</w:t>
      </w:r>
      <w:r>
        <w:rPr>
          <w:rFonts w:hAnsi="宋体"/>
          <w:snapToGrid w:val="0"/>
          <w:color w:val="000000"/>
          <w:szCs w:val="24"/>
        </w:rPr>
        <w:t>环境管理机构设置健全</w:t>
      </w:r>
      <w:r>
        <w:rPr>
          <w:rFonts w:hint="eastAsia" w:hAnsi="宋体"/>
          <w:snapToGrid w:val="0"/>
          <w:color w:val="000000"/>
          <w:szCs w:val="24"/>
        </w:rPr>
        <w:t>，</w:t>
      </w:r>
      <w:r>
        <w:rPr>
          <w:rFonts w:hAnsi="宋体"/>
          <w:snapToGrid w:val="0"/>
          <w:color w:val="000000"/>
          <w:szCs w:val="24"/>
        </w:rPr>
        <w:t>同时拥有完善的管理体系和管理手段。</w:t>
      </w:r>
      <w:r>
        <w:rPr>
          <w:rFonts w:hint="eastAsia" w:hAnsi="宋体"/>
          <w:snapToGrid w:val="0"/>
          <w:color w:val="000000"/>
          <w:szCs w:val="24"/>
        </w:rPr>
        <w:t>拟建工程</w:t>
      </w:r>
      <w:r>
        <w:rPr>
          <w:rFonts w:hAnsi="宋体"/>
          <w:snapToGrid w:val="0"/>
          <w:color w:val="000000"/>
          <w:szCs w:val="24"/>
        </w:rPr>
        <w:t>制定了施工期环境监理计划、运营期环境监测计划和环保设施竣工验收管理要求</w:t>
      </w:r>
      <w:r>
        <w:rPr>
          <w:rFonts w:hint="eastAsia" w:hAnsi="宋体"/>
          <w:snapToGrid w:val="0"/>
          <w:color w:val="000000"/>
          <w:szCs w:val="24"/>
        </w:rPr>
        <w:t>，</w:t>
      </w:r>
      <w:r>
        <w:rPr>
          <w:rFonts w:hAnsi="宋体"/>
          <w:snapToGrid w:val="0"/>
          <w:color w:val="000000"/>
          <w:szCs w:val="24"/>
        </w:rPr>
        <w:t>针对工程的不同阶段提出了具体的环境管理要求。</w:t>
      </w:r>
    </w:p>
    <w:p w14:paraId="65AE8AB7">
      <w:pPr>
        <w:spacing w:line="480" w:lineRule="exact"/>
        <w:outlineLvl w:val="1"/>
        <w:rPr>
          <w:rFonts w:ascii="黑体" w:hAnsi="黑体" w:eastAsia="黑体" w:cs="黑体"/>
          <w:color w:val="000000"/>
          <w:sz w:val="28"/>
          <w:szCs w:val="28"/>
          <w:lang w:bidi="ar"/>
        </w:rPr>
      </w:pPr>
      <w:bookmarkStart w:id="384" w:name="_Toc230178836"/>
      <w:bookmarkStart w:id="385" w:name="_Toc198040376"/>
      <w:bookmarkStart w:id="386" w:name="_Toc4665"/>
      <w:bookmarkStart w:id="387" w:name="_Toc198040232"/>
      <w:bookmarkStart w:id="388" w:name="_Toc208474724"/>
      <w:r>
        <w:rPr>
          <w:rFonts w:hint="eastAsia" w:ascii="黑体" w:hAnsi="黑体" w:eastAsia="黑体" w:cs="黑体"/>
          <w:color w:val="000000"/>
          <w:sz w:val="28"/>
          <w:szCs w:val="28"/>
          <w:lang w:bidi="ar"/>
        </w:rPr>
        <w:t>9.10 项目可行性结论</w:t>
      </w:r>
      <w:bookmarkEnd w:id="384"/>
      <w:bookmarkEnd w:id="385"/>
      <w:bookmarkEnd w:id="386"/>
      <w:bookmarkEnd w:id="387"/>
      <w:bookmarkEnd w:id="388"/>
    </w:p>
    <w:p w14:paraId="76DE4B20">
      <w:pPr>
        <w:spacing w:line="480" w:lineRule="exact"/>
        <w:ind w:firstLine="526" w:firstLineChars="200"/>
        <w:rPr>
          <w:rFonts w:hAnsi="宋体"/>
          <w:color w:val="000000"/>
          <w:szCs w:val="24"/>
        </w:rPr>
      </w:pPr>
      <w:r>
        <w:rPr>
          <w:rFonts w:hint="eastAsia" w:hAnsi="宋体" w:cs="宋体"/>
          <w:color w:val="000000"/>
          <w:szCs w:val="24"/>
        </w:rPr>
        <w:t>拟建工程的建设符合国家相关产业政策和自治区、阿克苏地区、和田地区生态环境分区管控方案要求，符合《新疆维吾尔自治区国民经济和社会发展第十四个五年规划和2035年远景目标纲要》《塔里木油田分公司“十四五”发展规划》等。项目建成后在落实各项污染防治措施及确保达标的情况下，项目建设对区域环境影响可接受；采取严格的生态恢复、水土保持、防沙治沙措施后，项目建设对区域生态影响可行；采取严格完善的环境风险防范措施和应急措施前提下，环境风险可防控。从环境保护角度出发，项目可行。</w:t>
      </w:r>
    </w:p>
    <w:p w14:paraId="249514CE">
      <w:pPr>
        <w:jc w:val="center"/>
        <w:rPr>
          <w:rFonts w:hAnsi="宋体"/>
          <w:color w:val="000000"/>
          <w:szCs w:val="24"/>
        </w:rPr>
      </w:pPr>
    </w:p>
    <w:p w14:paraId="0D9BAC24">
      <w:pPr>
        <w:spacing w:line="400" w:lineRule="exact"/>
        <w:ind w:firstLine="526" w:firstLineChars="200"/>
        <w:rPr>
          <w:rFonts w:hAnsi="宋体" w:cs="宋体"/>
          <w:color w:val="000000"/>
          <w:szCs w:val="24"/>
        </w:rPr>
      </w:pPr>
    </w:p>
    <w:sectPr>
      <w:headerReference r:id="rId7" w:type="default"/>
      <w:footerReference r:id="rId9" w:type="default"/>
      <w:headerReference r:id="rId8" w:type="even"/>
      <w:footerReference r:id="rId10" w:type="even"/>
      <w:pgSz w:w="11907" w:h="16840"/>
      <w:pgMar w:top="1814" w:right="1474" w:bottom="1474" w:left="1474" w:header="1361" w:footer="1134" w:gutter="0"/>
      <w:pgNumType w:start="1"/>
      <w:cols w:space="708" w:num="1"/>
      <w:docGrid w:type="linesAndChars" w:linePitch="479" w:charSpace="276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8509F50-9F37-4B4A-9F31-E796A3F5501E}"/>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FD4C7A01-F333-43CA-A65B-944DC3017F39}"/>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embedRegular r:id="rId3" w:fontKey="{B135B889-DD82-4DBB-AC2A-98465816028C}"/>
  </w:font>
  <w:font w:name="仿宋_GB2312">
    <w:altName w:val="仿宋"/>
    <w:panose1 w:val="02010609030101010101"/>
    <w:charset w:val="86"/>
    <w:family w:val="modern"/>
    <w:pitch w:val="default"/>
    <w:sig w:usb0="00000000" w:usb1="00000000" w:usb2="00000010" w:usb3="00000000" w:csb0="00040000" w:csb1="00000000"/>
    <w:embedRegular r:id="rId4" w:fontKey="{6B69442A-BF35-41BC-9D47-BC402BFE37EA}"/>
  </w:font>
  <w:font w:name="仿宋">
    <w:panose1 w:val="02010609060101010101"/>
    <w:charset w:val="86"/>
    <w:family w:val="modern"/>
    <w:pitch w:val="default"/>
    <w:sig w:usb0="800002BF" w:usb1="38CF7CFA" w:usb2="00000016" w:usb3="00000000" w:csb0="00040001" w:csb1="00000000"/>
    <w:embedRegular r:id="rId5" w:fontKey="{3745FC34-708C-484B-AB0A-285D26A61F54}"/>
  </w:font>
  <w:font w:name="Courier New">
    <w:panose1 w:val="02070309020205020404"/>
    <w:charset w:val="00"/>
    <w:family w:val="modern"/>
    <w:pitch w:val="default"/>
    <w:sig w:usb0="E0002EFF" w:usb1="C0007843" w:usb2="00000009" w:usb3="00000000" w:csb0="400001FF" w:csb1="FFFF0000"/>
    <w:embedRegular r:id="rId6" w:fontKey="{6CE1F38E-A99F-449E-9CBB-997642F09598}"/>
  </w:font>
  <w:font w:name="TimesNewRomanPSMT">
    <w:altName w:val="Times New Roman"/>
    <w:panose1 w:val="02020503050405090304"/>
    <w:charset w:val="00"/>
    <w:family w:val="roman"/>
    <w:pitch w:val="default"/>
    <w:sig w:usb0="00000000" w:usb1="00000000" w:usb2="00000001" w:usb3="00000000" w:csb0="400001BF" w:csb1="DFF7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10" w:usb3="00000000" w:csb0="00040000" w:csb1="00000000"/>
    <w:embedRegular r:id="rId7" w:fontKey="{0A580F45-D43D-40B7-8A9F-D15EF409DBE7}"/>
  </w:font>
  <w:font w:name="楷体">
    <w:panose1 w:val="02010609060101010101"/>
    <w:charset w:val="86"/>
    <w:family w:val="auto"/>
    <w:pitch w:val="default"/>
    <w:sig w:usb0="800002BF" w:usb1="38CF7CFA" w:usb2="00000016" w:usb3="00000000" w:csb0="00040001" w:csb1="00000000"/>
  </w:font>
  <w:font w:name="Microsoft Uighur">
    <w:panose1 w:val="02000000000000000000"/>
    <w:charset w:val="00"/>
    <w:family w:val="auto"/>
    <w:pitch w:val="default"/>
    <w:sig w:usb0="80002023" w:usb1="80000002" w:usb2="00000008" w:usb3="00000000" w:csb0="00000041" w:csb1="00000000"/>
    <w:embedRegular r:id="rId8" w:fontKey="{57BE105E-2421-4801-9F5C-869C930F2B8E}"/>
  </w:font>
  <w:font w:name="宋">
    <w:altName w:val="宋体"/>
    <w:panose1 w:val="00000000000000000000"/>
    <w:charset w:val="86"/>
    <w:family w:val="roman"/>
    <w:pitch w:val="default"/>
    <w:sig w:usb0="00000000" w:usb1="00000000" w:usb2="00000000" w:usb3="00000000" w:csb0="00040001" w:csb1="00000000"/>
    <w:embedRegular r:id="rId9" w:fontKey="{C63C187D-5519-4CA3-A393-51F892729B32}"/>
  </w:font>
  <w:font w:name="KSOFF9CBECC6">
    <w:panose1 w:val="02010609060101010101"/>
    <w:charset w:val="86"/>
    <w:family w:val="auto"/>
    <w:pitch w:val="default"/>
    <w:sig w:usb0="00000001"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7307B">
    <w:pPr>
      <w:pStyle w:val="30"/>
      <w:framePr w:w="904" w:wrap="around" w:vAnchor="text" w:hAnchor="page" w:x="9500" w:y="3"/>
      <w:jc w:val="right"/>
      <w:rPr>
        <w:rStyle w:val="52"/>
        <w:rFonts w:hAnsi="宋体"/>
        <w:spacing w:val="0"/>
        <w:sz w:val="21"/>
        <w:szCs w:val="21"/>
      </w:rPr>
    </w:pPr>
    <w:r>
      <w:rPr>
        <w:rStyle w:val="52"/>
        <w:rFonts w:hint="eastAsia" w:hAnsi="宋体"/>
        <w:spacing w:val="0"/>
        <w:sz w:val="21"/>
        <w:szCs w:val="21"/>
      </w:rPr>
      <w:t>·</w:t>
    </w:r>
    <w:r>
      <w:rPr>
        <w:rFonts w:hAnsi="宋体"/>
        <w:spacing w:val="0"/>
        <w:sz w:val="21"/>
        <w:szCs w:val="21"/>
      </w:rPr>
      <w:fldChar w:fldCharType="begin"/>
    </w:r>
    <w:r>
      <w:rPr>
        <w:rStyle w:val="52"/>
        <w:rFonts w:hAnsi="宋体"/>
        <w:spacing w:val="0"/>
        <w:sz w:val="21"/>
        <w:szCs w:val="21"/>
      </w:rPr>
      <w:instrText xml:space="preserve">PAGE  </w:instrText>
    </w:r>
    <w:r>
      <w:rPr>
        <w:rFonts w:hAnsi="宋体"/>
        <w:spacing w:val="0"/>
        <w:sz w:val="21"/>
        <w:szCs w:val="21"/>
      </w:rPr>
      <w:fldChar w:fldCharType="separate"/>
    </w:r>
    <w:r>
      <w:rPr>
        <w:rStyle w:val="52"/>
        <w:rFonts w:hAnsi="宋体"/>
        <w:spacing w:val="0"/>
        <w:sz w:val="21"/>
        <w:szCs w:val="21"/>
      </w:rPr>
      <w:t>3</w:t>
    </w:r>
    <w:r>
      <w:rPr>
        <w:rFonts w:hAnsi="宋体"/>
        <w:spacing w:val="0"/>
        <w:sz w:val="21"/>
        <w:szCs w:val="21"/>
      </w:rPr>
      <w:fldChar w:fldCharType="end"/>
    </w:r>
    <w:r>
      <w:rPr>
        <w:rStyle w:val="52"/>
        <w:rFonts w:hint="eastAsia" w:hAnsi="宋体"/>
        <w:spacing w:val="0"/>
        <w:sz w:val="21"/>
        <w:szCs w:val="21"/>
      </w:rPr>
      <w:t>·</w:t>
    </w:r>
  </w:p>
  <w:p w14:paraId="47BABCCC">
    <w:pPr>
      <w:pStyle w:val="30"/>
      <w:rPr>
        <w:rFonts w:hAnsi="宋体"/>
        <w:spacing w:val="0"/>
        <w:sz w:val="21"/>
        <w:szCs w:val="21"/>
      </w:rPr>
    </w:pPr>
    <w:r>
      <w:rPr>
        <w:rFonts w:hAnsi="宋体"/>
        <w:spacing w:val="0"/>
        <w:sz w:val="21"/>
        <w:szCs w:val="21"/>
      </w:rPr>
      <w:pict>
        <v:line id="直线 2" o:spid="_x0000_s2052" o:spt="20" style="position:absolute;left:0pt;margin-left:-1.3pt;margin-top:-2.9pt;height:0pt;width:449.9pt;z-index:251659264;mso-width-relative:page;mso-height-relative:page;" stroked="t" coordsize="21600,21600">
          <v:path arrowok="t"/>
          <v:fill focussize="0,0"/>
          <v:stroke weight="1pt"/>
          <v:imagedata o:title=""/>
          <o:lock v:ext="edit" aspectratio="f"/>
        </v:line>
      </w:pict>
    </w:r>
    <w:r>
      <w:rPr>
        <w:rFonts w:hint="eastAsia" w:hAnsi="宋体"/>
        <w:spacing w:val="0"/>
        <w:sz w:val="21"/>
        <w:szCs w:val="21"/>
      </w:rPr>
      <w:t>河北省众联能源环保科技有限公司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C6714">
    <w:pPr>
      <w:pStyle w:val="30"/>
      <w:framePr w:w="905" w:wrap="around" w:vAnchor="text" w:hAnchor="page" w:x="9845" w:y="42"/>
      <w:rPr>
        <w:rStyle w:val="52"/>
        <w:rFonts w:hAnsi="宋体"/>
        <w:sz w:val="21"/>
        <w:szCs w:val="21"/>
      </w:rPr>
    </w:pPr>
    <w:r>
      <w:rPr>
        <w:rStyle w:val="52"/>
        <w:rFonts w:hint="eastAsia" w:hAnsi="宋体"/>
        <w:sz w:val="21"/>
        <w:szCs w:val="21"/>
      </w:rPr>
      <w:t>·</w:t>
    </w:r>
    <w:r>
      <w:rPr>
        <w:rFonts w:hAnsi="宋体"/>
        <w:sz w:val="21"/>
        <w:szCs w:val="21"/>
      </w:rPr>
      <w:fldChar w:fldCharType="begin"/>
    </w:r>
    <w:r>
      <w:rPr>
        <w:rStyle w:val="52"/>
        <w:rFonts w:hAnsi="宋体"/>
        <w:sz w:val="21"/>
        <w:szCs w:val="21"/>
      </w:rPr>
      <w:instrText xml:space="preserve">PAGE  </w:instrText>
    </w:r>
    <w:r>
      <w:rPr>
        <w:rFonts w:hAnsi="宋体"/>
        <w:sz w:val="21"/>
        <w:szCs w:val="21"/>
      </w:rPr>
      <w:fldChar w:fldCharType="separate"/>
    </w:r>
    <w:r>
      <w:rPr>
        <w:rStyle w:val="52"/>
        <w:rFonts w:hAnsi="宋体"/>
        <w:sz w:val="21"/>
        <w:szCs w:val="21"/>
      </w:rPr>
      <w:t>2</w:t>
    </w:r>
    <w:r>
      <w:rPr>
        <w:rFonts w:hAnsi="宋体"/>
        <w:sz w:val="21"/>
        <w:szCs w:val="21"/>
      </w:rPr>
      <w:fldChar w:fldCharType="end"/>
    </w:r>
    <w:r>
      <w:rPr>
        <w:rStyle w:val="52"/>
        <w:rFonts w:hint="eastAsia" w:hAnsi="宋体"/>
        <w:sz w:val="21"/>
        <w:szCs w:val="21"/>
      </w:rPr>
      <w:t>·</w:t>
    </w:r>
  </w:p>
  <w:p w14:paraId="5CF48E8B">
    <w:pPr>
      <w:pStyle w:val="30"/>
      <w:rPr>
        <w:rFonts w:hAnsi="宋体"/>
        <w:sz w:val="21"/>
        <w:szCs w:val="21"/>
      </w:rPr>
    </w:pPr>
    <w:r>
      <w:rPr>
        <w:rFonts w:hAnsi="宋体"/>
        <w:sz w:val="21"/>
        <w:szCs w:val="21"/>
      </w:rPr>
      <w:pict>
        <v:line id="直线 4" o:spid="_x0000_s2051" o:spt="20" style="position:absolute;left:0pt;margin-left:-1.35pt;margin-top:-2.8pt;height:0pt;width:448.65pt;z-index:251660288;mso-width-relative:page;mso-height-relative:page;" stroked="t" coordsize="21600,21600">
          <v:path arrowok="t"/>
          <v:fill focussize="0,0"/>
          <v:stroke weight="1pt"/>
          <v:imagedata o:title=""/>
          <o:lock v:ext="edit" aspectratio="f"/>
        </v:line>
      </w:pict>
    </w:r>
    <w:r>
      <w:rPr>
        <w:rFonts w:hint="eastAsia" w:hAnsi="宋体"/>
        <w:spacing w:val="-5"/>
        <w:sz w:val="21"/>
        <w:szCs w:val="21"/>
      </w:rPr>
      <w:t>河北省众联能源环保科技有限公司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C3758">
    <w:pPr>
      <w:pStyle w:val="30"/>
      <w:framePr w:w="904" w:wrap="around" w:vAnchor="text" w:hAnchor="page" w:x="9500" w:y="3"/>
      <w:jc w:val="right"/>
      <w:rPr>
        <w:rStyle w:val="52"/>
        <w:rFonts w:hAnsi="宋体"/>
        <w:spacing w:val="0"/>
        <w:sz w:val="21"/>
        <w:szCs w:val="21"/>
      </w:rPr>
    </w:pPr>
    <w:r>
      <w:rPr>
        <w:rStyle w:val="52"/>
        <w:rFonts w:hint="eastAsia" w:hAnsi="宋体"/>
        <w:spacing w:val="0"/>
        <w:sz w:val="21"/>
        <w:szCs w:val="21"/>
      </w:rPr>
      <w:t>·</w:t>
    </w:r>
    <w:r>
      <w:rPr>
        <w:rFonts w:hAnsi="宋体"/>
        <w:spacing w:val="0"/>
        <w:sz w:val="21"/>
        <w:szCs w:val="21"/>
      </w:rPr>
      <w:fldChar w:fldCharType="begin"/>
    </w:r>
    <w:r>
      <w:rPr>
        <w:rStyle w:val="52"/>
        <w:rFonts w:hAnsi="宋体"/>
        <w:spacing w:val="0"/>
        <w:sz w:val="21"/>
        <w:szCs w:val="21"/>
      </w:rPr>
      <w:instrText xml:space="preserve">PAGE  </w:instrText>
    </w:r>
    <w:r>
      <w:rPr>
        <w:rFonts w:hAnsi="宋体"/>
        <w:spacing w:val="0"/>
        <w:sz w:val="21"/>
        <w:szCs w:val="21"/>
      </w:rPr>
      <w:fldChar w:fldCharType="separate"/>
    </w:r>
    <w:r>
      <w:rPr>
        <w:rStyle w:val="52"/>
        <w:rFonts w:hAnsi="宋体"/>
        <w:spacing w:val="0"/>
        <w:sz w:val="21"/>
        <w:szCs w:val="21"/>
      </w:rPr>
      <w:t>189</w:t>
    </w:r>
    <w:r>
      <w:rPr>
        <w:rFonts w:hAnsi="宋体"/>
        <w:spacing w:val="0"/>
        <w:sz w:val="21"/>
        <w:szCs w:val="21"/>
      </w:rPr>
      <w:fldChar w:fldCharType="end"/>
    </w:r>
    <w:r>
      <w:rPr>
        <w:rStyle w:val="52"/>
        <w:rFonts w:hint="eastAsia" w:hAnsi="宋体"/>
        <w:spacing w:val="0"/>
        <w:sz w:val="21"/>
        <w:szCs w:val="21"/>
      </w:rPr>
      <w:t>·</w:t>
    </w:r>
  </w:p>
  <w:p w14:paraId="6AE0AC70">
    <w:pPr>
      <w:pStyle w:val="30"/>
      <w:rPr>
        <w:rFonts w:hAnsi="宋体"/>
        <w:spacing w:val="0"/>
        <w:sz w:val="21"/>
        <w:szCs w:val="21"/>
      </w:rPr>
    </w:pPr>
    <w:r>
      <w:rPr>
        <w:rFonts w:hAnsi="宋体"/>
        <w:spacing w:val="0"/>
        <w:sz w:val="21"/>
        <w:szCs w:val="21"/>
      </w:rPr>
      <w:pict>
        <v:line id="_x0000_s2056" o:spid="_x0000_s2056" o:spt="20" style="position:absolute;left:0pt;margin-left:-1.3pt;margin-top:-2.9pt;height:0pt;width:449.9pt;z-index:251661312;mso-width-relative:page;mso-height-relative:page;" stroked="t" coordsize="21600,21600">
          <v:path arrowok="t"/>
          <v:fill focussize="0,0"/>
          <v:stroke weight="1pt"/>
          <v:imagedata o:title=""/>
          <o:lock v:ext="edit" aspectratio="f"/>
        </v:line>
      </w:pict>
    </w:r>
    <w:r>
      <w:rPr>
        <w:rFonts w:hint="eastAsia" w:hAnsi="宋体"/>
        <w:spacing w:val="0"/>
        <w:sz w:val="21"/>
        <w:szCs w:val="21"/>
      </w:rPr>
      <w:t>河北省众联能源环保科技有限公司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26659">
    <w:pPr>
      <w:pStyle w:val="30"/>
      <w:framePr w:w="904" w:wrap="around" w:vAnchor="text" w:hAnchor="page" w:x="1421" w:y="-3"/>
      <w:jc w:val="both"/>
      <w:rPr>
        <w:rStyle w:val="52"/>
        <w:rFonts w:hAnsi="宋体"/>
        <w:spacing w:val="0"/>
        <w:sz w:val="21"/>
        <w:szCs w:val="21"/>
      </w:rPr>
    </w:pPr>
    <w:r>
      <w:rPr>
        <w:rStyle w:val="52"/>
        <w:rFonts w:hint="eastAsia" w:hAnsi="宋体"/>
        <w:spacing w:val="0"/>
        <w:sz w:val="21"/>
        <w:szCs w:val="21"/>
      </w:rPr>
      <w:t>·</w:t>
    </w:r>
    <w:r>
      <w:rPr>
        <w:rFonts w:hAnsi="宋体"/>
        <w:spacing w:val="0"/>
        <w:sz w:val="21"/>
        <w:szCs w:val="21"/>
      </w:rPr>
      <w:fldChar w:fldCharType="begin"/>
    </w:r>
    <w:r>
      <w:rPr>
        <w:rStyle w:val="52"/>
        <w:rFonts w:hAnsi="宋体"/>
        <w:spacing w:val="0"/>
        <w:sz w:val="21"/>
        <w:szCs w:val="21"/>
      </w:rPr>
      <w:instrText xml:space="preserve">PAGE  </w:instrText>
    </w:r>
    <w:r>
      <w:rPr>
        <w:rFonts w:hAnsi="宋体"/>
        <w:spacing w:val="0"/>
        <w:sz w:val="21"/>
        <w:szCs w:val="21"/>
      </w:rPr>
      <w:fldChar w:fldCharType="separate"/>
    </w:r>
    <w:r>
      <w:rPr>
        <w:rStyle w:val="52"/>
        <w:rFonts w:hAnsi="宋体"/>
        <w:spacing w:val="0"/>
        <w:sz w:val="21"/>
        <w:szCs w:val="21"/>
      </w:rPr>
      <w:t>190</w:t>
    </w:r>
    <w:r>
      <w:rPr>
        <w:rFonts w:hAnsi="宋体"/>
        <w:spacing w:val="0"/>
        <w:sz w:val="21"/>
        <w:szCs w:val="21"/>
      </w:rPr>
      <w:fldChar w:fldCharType="end"/>
    </w:r>
    <w:r>
      <w:rPr>
        <w:rStyle w:val="52"/>
        <w:rFonts w:hint="eastAsia" w:hAnsi="宋体"/>
        <w:spacing w:val="0"/>
        <w:sz w:val="21"/>
        <w:szCs w:val="21"/>
      </w:rPr>
      <w:t>·</w:t>
    </w:r>
  </w:p>
  <w:p w14:paraId="07D2CA3E">
    <w:pPr>
      <w:pStyle w:val="30"/>
      <w:jc w:val="right"/>
      <w:rPr>
        <w:rFonts w:hAnsi="宋体"/>
        <w:spacing w:val="0"/>
        <w:sz w:val="21"/>
        <w:szCs w:val="21"/>
      </w:rPr>
    </w:pPr>
    <w:r>
      <w:rPr>
        <w:rFonts w:hAnsi="宋体"/>
        <w:spacing w:val="0"/>
        <w:sz w:val="21"/>
        <w:szCs w:val="21"/>
      </w:rPr>
      <w:pict>
        <v:line id="_x0000_s2055" o:spid="_x0000_s2055" o:spt="20" style="position:absolute;left:0pt;margin-left:-1.3pt;margin-top:-2.9pt;height:0pt;width:449.9pt;z-index:251662336;mso-width-relative:page;mso-height-relative:page;" stroked="t" coordsize="21600,21600">
          <v:path arrowok="t"/>
          <v:fill focussize="0,0"/>
          <v:stroke weight="1pt"/>
          <v:imagedata o:title=""/>
          <o:lock v:ext="edit" aspectratio="f"/>
        </v:line>
      </w:pict>
    </w:r>
    <w:r>
      <w:rPr>
        <w:rFonts w:hint="eastAsia" w:hAnsi="宋体"/>
        <w:spacing w:val="0"/>
        <w:sz w:val="21"/>
        <w:szCs w:val="21"/>
      </w:rPr>
      <w:t>河北省众联能源环保科技有限公司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8C93E">
    <w:pPr>
      <w:pStyle w:val="31"/>
      <w:pBdr>
        <w:bottom w:val="single" w:color="auto" w:sz="6" w:space="3"/>
      </w:pBdr>
      <w:rPr>
        <w:rFonts w:hAnsi="宋体"/>
        <w:spacing w:val="30"/>
        <w:sz w:val="21"/>
        <w:szCs w:val="21"/>
      </w:rPr>
    </w:pPr>
    <w:r>
      <w:rPr>
        <w:rFonts w:hAnsi="宋体"/>
        <w:spacing w:val="30"/>
        <w:sz w:val="21"/>
        <w:szCs w:val="21"/>
      </w:rPr>
      <w:pict>
        <v:line id="_x0000_s2050" o:spid="_x0000_s2050" o:spt="20" style="position:absolute;left:0pt;margin-left:-1.1pt;margin-top:14.5pt;height:0pt;width:450.45pt;z-index:251661312;mso-width-relative:page;mso-height-relative:page;" stroked="t" coordsize="21600,21600">
          <v:path arrowok="t"/>
          <v:fill focussize="0,0"/>
          <v:stroke weight="1.5pt"/>
          <v:imagedata o:title=""/>
          <o:lock v:ext="edit" aspectratio="f"/>
        </v:line>
      </w:pict>
    </w:r>
    <w:r>
      <w:rPr>
        <w:rFonts w:hint="eastAsia" w:hAnsi="宋体"/>
        <w:spacing w:val="30"/>
        <w:sz w:val="21"/>
        <w:szCs w:val="21"/>
      </w:rPr>
      <w:t>2号集至塔三联集输管线改造项目环境影响报告书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F44560">
    <w:pPr>
      <w:pStyle w:val="31"/>
      <w:pBdr>
        <w:bottom w:val="single" w:color="auto" w:sz="6" w:space="3"/>
      </w:pBdr>
      <w:rPr>
        <w:rFonts w:hAnsi="宋体"/>
        <w:spacing w:val="30"/>
        <w:sz w:val="21"/>
        <w:szCs w:val="21"/>
      </w:rPr>
    </w:pPr>
    <w:r>
      <w:rPr>
        <w:rFonts w:hAnsi="宋体"/>
        <w:spacing w:val="30"/>
        <w:sz w:val="21"/>
        <w:szCs w:val="21"/>
      </w:rPr>
      <w:pict>
        <v:line id="_x0000_s2049" o:spid="_x0000_s2049" o:spt="20" style="position:absolute;left:0pt;margin-left:-1.1pt;margin-top:14.5pt;height:0pt;width:450.45pt;z-index:251662336;mso-width-relative:page;mso-height-relative:page;" stroked="t" coordsize="21600,21600">
          <v:path arrowok="t"/>
          <v:fill focussize="0,0"/>
          <v:stroke weight="1.5pt"/>
          <v:imagedata o:title=""/>
          <o:lock v:ext="edit" aspectratio="f"/>
        </v:line>
      </w:pict>
    </w:r>
    <w:r>
      <w:rPr>
        <w:rFonts w:hint="eastAsia" w:hAnsi="宋体"/>
        <w:spacing w:val="30"/>
        <w:sz w:val="21"/>
        <w:szCs w:val="21"/>
      </w:rPr>
      <w:t>2号集至塔三联集输管线改造项目环境影响报告书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33A379">
    <w:pPr>
      <w:pStyle w:val="31"/>
      <w:pBdr>
        <w:bottom w:val="single" w:color="auto" w:sz="6" w:space="3"/>
      </w:pBdr>
      <w:rPr>
        <w:rFonts w:hAnsi="宋体"/>
        <w:spacing w:val="30"/>
        <w:sz w:val="21"/>
        <w:szCs w:val="21"/>
      </w:rPr>
    </w:pPr>
    <w:r>
      <w:rPr>
        <w:rFonts w:hAnsi="宋体"/>
        <w:spacing w:val="30"/>
        <w:sz w:val="21"/>
        <w:szCs w:val="21"/>
      </w:rPr>
      <w:pict>
        <v:line id="直线 1" o:spid="_x0000_s2054" o:spt="20" style="position:absolute;left:0pt;margin-left:-1.1pt;margin-top:14.5pt;height:0pt;width:450.45pt;z-index:251659264;mso-width-relative:page;mso-height-relative:page;" stroked="t" coordsize="21600,21600">
          <v:path arrowok="t"/>
          <v:fill focussize="0,0"/>
          <v:stroke weight="1.5pt"/>
          <v:imagedata o:title=""/>
          <o:lock v:ext="edit" aspectratio="f"/>
        </v:line>
      </w:pict>
    </w:r>
    <w:r>
      <w:rPr>
        <w:rFonts w:hint="eastAsia" w:hAnsi="宋体"/>
        <w:spacing w:val="30"/>
        <w:sz w:val="21"/>
        <w:szCs w:val="21"/>
      </w:rPr>
      <w:t>2号集至塔三联集输管线改造项目环境影响报告书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F516D">
    <w:pPr>
      <w:pStyle w:val="31"/>
      <w:pBdr>
        <w:bottom w:val="single" w:color="auto" w:sz="6" w:space="3"/>
      </w:pBdr>
      <w:rPr>
        <w:rFonts w:hAnsi="宋体"/>
        <w:spacing w:val="30"/>
        <w:sz w:val="21"/>
        <w:szCs w:val="21"/>
      </w:rPr>
    </w:pPr>
    <w:r>
      <w:rPr>
        <w:rFonts w:hAnsi="宋体"/>
        <w:spacing w:val="30"/>
        <w:sz w:val="21"/>
        <w:szCs w:val="21"/>
      </w:rPr>
      <w:pict>
        <v:line id="_x0000_s2053" o:spid="_x0000_s2053" o:spt="20" style="position:absolute;left:0pt;margin-left:-1.1pt;margin-top:14.5pt;height:0pt;width:450.45pt;z-index:251660288;mso-width-relative:page;mso-height-relative:page;" stroked="t" coordsize="21600,21600">
          <v:path arrowok="t"/>
          <v:fill focussize="0,0"/>
          <v:stroke weight="1.5pt"/>
          <v:imagedata o:title=""/>
          <o:lock v:ext="edit" aspectratio="f"/>
        </v:line>
      </w:pict>
    </w:r>
    <w:r>
      <w:rPr>
        <w:rFonts w:hint="eastAsia" w:hAnsi="宋体"/>
        <w:spacing w:val="30"/>
        <w:sz w:val="21"/>
        <w:szCs w:val="21"/>
      </w:rPr>
      <w:t>2号集至塔三联集输管线改造项目环境影响报告书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F9F4422"/>
    <w:multiLevelType w:val="multilevel"/>
    <w:tmpl w:val="4F9F4422"/>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59FD957B"/>
    <w:multiLevelType w:val="singleLevel"/>
    <w:tmpl w:val="59FD957B"/>
    <w:lvl w:ilvl="0" w:tentative="0">
      <w:start w:val="7"/>
      <w:numFmt w:val="decimal"/>
      <w:pStyle w:val="9"/>
      <w:suff w:val="nothing"/>
      <w:lvlText w:val="%1 "/>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embedTrueTypeFonts/>
  <w:saveSubsetFonts/>
  <w:documentProtection w:enforcement="0"/>
  <w:defaultTabStop w:val="420"/>
  <w:evenAndOddHeaders w:val="1"/>
  <w:drawingGridHorizontalSpacing w:val="3"/>
  <w:drawingGridVerticalSpacing w:val="5"/>
  <w:noPunctuationKerning w:val="1"/>
  <w:characterSpacingControl w:val="compressPunctuation"/>
  <w:noLineBreaksAfter w:lang="zh-CN" w:val="([{·‘“〈《「『【〔〖（．［｛￡￥"/>
  <w:noLineBreaksBefore w:lang="zh-CN" w:val="!),.:;?]}¨·ˇˉ―‖’”…∶、。〃々〉》」』】〕〗！＂＇），．：；？］｀｜｝～￠"/>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mY3ZWRiNjkwYWUyMTc2YTFjZTE0NGZkN2Y1ZTZmY2YifQ=="/>
  </w:docVars>
  <w:rsids>
    <w:rsidRoot w:val="00172A27"/>
    <w:rsid w:val="00000863"/>
    <w:rsid w:val="00003BE2"/>
    <w:rsid w:val="00007B82"/>
    <w:rsid w:val="00011BAC"/>
    <w:rsid w:val="000144DD"/>
    <w:rsid w:val="00014910"/>
    <w:rsid w:val="00020FCD"/>
    <w:rsid w:val="00021BB7"/>
    <w:rsid w:val="000226E7"/>
    <w:rsid w:val="000228C8"/>
    <w:rsid w:val="000265DD"/>
    <w:rsid w:val="00026BE5"/>
    <w:rsid w:val="00027B12"/>
    <w:rsid w:val="00027E8D"/>
    <w:rsid w:val="00030ADA"/>
    <w:rsid w:val="00031BDE"/>
    <w:rsid w:val="00031F6B"/>
    <w:rsid w:val="00034018"/>
    <w:rsid w:val="00035B10"/>
    <w:rsid w:val="00036642"/>
    <w:rsid w:val="000371F2"/>
    <w:rsid w:val="0003781B"/>
    <w:rsid w:val="00040B13"/>
    <w:rsid w:val="00040D63"/>
    <w:rsid w:val="0004342D"/>
    <w:rsid w:val="00044167"/>
    <w:rsid w:val="000441A5"/>
    <w:rsid w:val="00044EF2"/>
    <w:rsid w:val="00045761"/>
    <w:rsid w:val="00046490"/>
    <w:rsid w:val="000464C4"/>
    <w:rsid w:val="00047872"/>
    <w:rsid w:val="00051559"/>
    <w:rsid w:val="00054C0C"/>
    <w:rsid w:val="00055D9C"/>
    <w:rsid w:val="00061272"/>
    <w:rsid w:val="00063033"/>
    <w:rsid w:val="00063726"/>
    <w:rsid w:val="00063A8F"/>
    <w:rsid w:val="00065FD0"/>
    <w:rsid w:val="00071BD3"/>
    <w:rsid w:val="00073F90"/>
    <w:rsid w:val="000750A9"/>
    <w:rsid w:val="0007552F"/>
    <w:rsid w:val="00075BFD"/>
    <w:rsid w:val="0007611A"/>
    <w:rsid w:val="000815F9"/>
    <w:rsid w:val="00081BB9"/>
    <w:rsid w:val="00083A86"/>
    <w:rsid w:val="00084F1D"/>
    <w:rsid w:val="000856A4"/>
    <w:rsid w:val="00086114"/>
    <w:rsid w:val="00087E6C"/>
    <w:rsid w:val="00092D2A"/>
    <w:rsid w:val="000939A6"/>
    <w:rsid w:val="00095FF2"/>
    <w:rsid w:val="00096201"/>
    <w:rsid w:val="000A0032"/>
    <w:rsid w:val="000A02C2"/>
    <w:rsid w:val="000A0D2E"/>
    <w:rsid w:val="000A143A"/>
    <w:rsid w:val="000A3B76"/>
    <w:rsid w:val="000B0199"/>
    <w:rsid w:val="000B0610"/>
    <w:rsid w:val="000B18B8"/>
    <w:rsid w:val="000B30E0"/>
    <w:rsid w:val="000B383C"/>
    <w:rsid w:val="000B3D66"/>
    <w:rsid w:val="000C1E0B"/>
    <w:rsid w:val="000C214D"/>
    <w:rsid w:val="000C2236"/>
    <w:rsid w:val="000C3382"/>
    <w:rsid w:val="000C3DA7"/>
    <w:rsid w:val="000C4205"/>
    <w:rsid w:val="000C5A5A"/>
    <w:rsid w:val="000C715D"/>
    <w:rsid w:val="000D3B85"/>
    <w:rsid w:val="000E0D5F"/>
    <w:rsid w:val="000E0F58"/>
    <w:rsid w:val="000E17B8"/>
    <w:rsid w:val="000E2DEB"/>
    <w:rsid w:val="000E32AB"/>
    <w:rsid w:val="000E3CAB"/>
    <w:rsid w:val="000E47F2"/>
    <w:rsid w:val="000E69D3"/>
    <w:rsid w:val="000E7E54"/>
    <w:rsid w:val="000F0073"/>
    <w:rsid w:val="000F17AA"/>
    <w:rsid w:val="000F27D3"/>
    <w:rsid w:val="000F401D"/>
    <w:rsid w:val="000F4CF3"/>
    <w:rsid w:val="000F70CC"/>
    <w:rsid w:val="000F7E3E"/>
    <w:rsid w:val="00101C90"/>
    <w:rsid w:val="00103803"/>
    <w:rsid w:val="001039D6"/>
    <w:rsid w:val="0010517B"/>
    <w:rsid w:val="00105B0A"/>
    <w:rsid w:val="00106A31"/>
    <w:rsid w:val="00110E90"/>
    <w:rsid w:val="0011111B"/>
    <w:rsid w:val="0011245F"/>
    <w:rsid w:val="00113524"/>
    <w:rsid w:val="00113CE8"/>
    <w:rsid w:val="001140B7"/>
    <w:rsid w:val="00115E72"/>
    <w:rsid w:val="00116F9E"/>
    <w:rsid w:val="0011769E"/>
    <w:rsid w:val="001226C9"/>
    <w:rsid w:val="0012382E"/>
    <w:rsid w:val="001241B7"/>
    <w:rsid w:val="0012518A"/>
    <w:rsid w:val="00130008"/>
    <w:rsid w:val="001315B8"/>
    <w:rsid w:val="00134A01"/>
    <w:rsid w:val="00134E9E"/>
    <w:rsid w:val="001360B8"/>
    <w:rsid w:val="0013627C"/>
    <w:rsid w:val="0013677F"/>
    <w:rsid w:val="001369DB"/>
    <w:rsid w:val="0013725D"/>
    <w:rsid w:val="00141CA9"/>
    <w:rsid w:val="00143EB9"/>
    <w:rsid w:val="00144082"/>
    <w:rsid w:val="00145ECE"/>
    <w:rsid w:val="00146797"/>
    <w:rsid w:val="00151945"/>
    <w:rsid w:val="00152019"/>
    <w:rsid w:val="00152585"/>
    <w:rsid w:val="001527E2"/>
    <w:rsid w:val="00154646"/>
    <w:rsid w:val="00157766"/>
    <w:rsid w:val="00161115"/>
    <w:rsid w:val="00162A4D"/>
    <w:rsid w:val="00163158"/>
    <w:rsid w:val="001632CA"/>
    <w:rsid w:val="00163C88"/>
    <w:rsid w:val="00166241"/>
    <w:rsid w:val="001669D4"/>
    <w:rsid w:val="00172A27"/>
    <w:rsid w:val="00173590"/>
    <w:rsid w:val="00175880"/>
    <w:rsid w:val="00176AA2"/>
    <w:rsid w:val="00177CAE"/>
    <w:rsid w:val="00177DE2"/>
    <w:rsid w:val="001800A9"/>
    <w:rsid w:val="0018191C"/>
    <w:rsid w:val="00182C42"/>
    <w:rsid w:val="00184713"/>
    <w:rsid w:val="00185D1B"/>
    <w:rsid w:val="001868B2"/>
    <w:rsid w:val="00187144"/>
    <w:rsid w:val="00190150"/>
    <w:rsid w:val="00191550"/>
    <w:rsid w:val="00191CEF"/>
    <w:rsid w:val="00192BE0"/>
    <w:rsid w:val="0019314D"/>
    <w:rsid w:val="00195EF3"/>
    <w:rsid w:val="001A0337"/>
    <w:rsid w:val="001A1715"/>
    <w:rsid w:val="001A1881"/>
    <w:rsid w:val="001A1A24"/>
    <w:rsid w:val="001A1C69"/>
    <w:rsid w:val="001A2632"/>
    <w:rsid w:val="001A42E9"/>
    <w:rsid w:val="001A5F37"/>
    <w:rsid w:val="001A6B49"/>
    <w:rsid w:val="001A79C3"/>
    <w:rsid w:val="001A7C08"/>
    <w:rsid w:val="001B0232"/>
    <w:rsid w:val="001B5B4C"/>
    <w:rsid w:val="001B6BDA"/>
    <w:rsid w:val="001B6D8A"/>
    <w:rsid w:val="001C08BD"/>
    <w:rsid w:val="001C4745"/>
    <w:rsid w:val="001C715B"/>
    <w:rsid w:val="001C75D4"/>
    <w:rsid w:val="001D1386"/>
    <w:rsid w:val="001D1947"/>
    <w:rsid w:val="001D24A9"/>
    <w:rsid w:val="001D41D4"/>
    <w:rsid w:val="001D78CD"/>
    <w:rsid w:val="001E18F2"/>
    <w:rsid w:val="001E1D1F"/>
    <w:rsid w:val="001E2F88"/>
    <w:rsid w:val="001E3BA0"/>
    <w:rsid w:val="001E3CAC"/>
    <w:rsid w:val="001E40FA"/>
    <w:rsid w:val="001E6BC2"/>
    <w:rsid w:val="001E77E3"/>
    <w:rsid w:val="001F112B"/>
    <w:rsid w:val="001F2591"/>
    <w:rsid w:val="001F2D0E"/>
    <w:rsid w:val="001F62CB"/>
    <w:rsid w:val="001F70E5"/>
    <w:rsid w:val="001F7542"/>
    <w:rsid w:val="001F790D"/>
    <w:rsid w:val="00200A59"/>
    <w:rsid w:val="0020123D"/>
    <w:rsid w:val="0020272F"/>
    <w:rsid w:val="00202BEE"/>
    <w:rsid w:val="00204A47"/>
    <w:rsid w:val="0020563B"/>
    <w:rsid w:val="00206114"/>
    <w:rsid w:val="00210D14"/>
    <w:rsid w:val="00210F81"/>
    <w:rsid w:val="0021293D"/>
    <w:rsid w:val="002135C0"/>
    <w:rsid w:val="00214882"/>
    <w:rsid w:val="002172E6"/>
    <w:rsid w:val="00217791"/>
    <w:rsid w:val="00230167"/>
    <w:rsid w:val="002310D7"/>
    <w:rsid w:val="002319C5"/>
    <w:rsid w:val="00232C46"/>
    <w:rsid w:val="00232D71"/>
    <w:rsid w:val="00236148"/>
    <w:rsid w:val="0023799F"/>
    <w:rsid w:val="00237FB2"/>
    <w:rsid w:val="00240AA6"/>
    <w:rsid w:val="00243728"/>
    <w:rsid w:val="00245ACA"/>
    <w:rsid w:val="00250FC4"/>
    <w:rsid w:val="002513B4"/>
    <w:rsid w:val="00254B66"/>
    <w:rsid w:val="00254E4C"/>
    <w:rsid w:val="00256F20"/>
    <w:rsid w:val="002571C4"/>
    <w:rsid w:val="00260DDB"/>
    <w:rsid w:val="00260DF7"/>
    <w:rsid w:val="00263675"/>
    <w:rsid w:val="002653DB"/>
    <w:rsid w:val="0026733A"/>
    <w:rsid w:val="00270AF5"/>
    <w:rsid w:val="002715C3"/>
    <w:rsid w:val="00272174"/>
    <w:rsid w:val="00273BCC"/>
    <w:rsid w:val="002752EF"/>
    <w:rsid w:val="0027571A"/>
    <w:rsid w:val="00276861"/>
    <w:rsid w:val="00280ACB"/>
    <w:rsid w:val="00282EE1"/>
    <w:rsid w:val="00283018"/>
    <w:rsid w:val="00283338"/>
    <w:rsid w:val="0028347F"/>
    <w:rsid w:val="00283A36"/>
    <w:rsid w:val="002840EC"/>
    <w:rsid w:val="00285856"/>
    <w:rsid w:val="00286A50"/>
    <w:rsid w:val="00290027"/>
    <w:rsid w:val="002900E7"/>
    <w:rsid w:val="0029071C"/>
    <w:rsid w:val="00297A15"/>
    <w:rsid w:val="002A062A"/>
    <w:rsid w:val="002B0C8D"/>
    <w:rsid w:val="002B11C7"/>
    <w:rsid w:val="002B2090"/>
    <w:rsid w:val="002B2F03"/>
    <w:rsid w:val="002B5D57"/>
    <w:rsid w:val="002B619B"/>
    <w:rsid w:val="002B61F2"/>
    <w:rsid w:val="002C1C4B"/>
    <w:rsid w:val="002C25AD"/>
    <w:rsid w:val="002C2A69"/>
    <w:rsid w:val="002C2CF5"/>
    <w:rsid w:val="002C3A74"/>
    <w:rsid w:val="002C50A0"/>
    <w:rsid w:val="002D0DFD"/>
    <w:rsid w:val="002D1C5C"/>
    <w:rsid w:val="002D2006"/>
    <w:rsid w:val="002D32E9"/>
    <w:rsid w:val="002D54B4"/>
    <w:rsid w:val="002D7084"/>
    <w:rsid w:val="002E084A"/>
    <w:rsid w:val="002E0BFC"/>
    <w:rsid w:val="002E2137"/>
    <w:rsid w:val="002E216B"/>
    <w:rsid w:val="002E6E28"/>
    <w:rsid w:val="002E777D"/>
    <w:rsid w:val="002F117C"/>
    <w:rsid w:val="002F242A"/>
    <w:rsid w:val="002F3CAE"/>
    <w:rsid w:val="002F3CEB"/>
    <w:rsid w:val="0030013F"/>
    <w:rsid w:val="003008FA"/>
    <w:rsid w:val="00301D1C"/>
    <w:rsid w:val="00302E3E"/>
    <w:rsid w:val="0030504C"/>
    <w:rsid w:val="00305583"/>
    <w:rsid w:val="0030693C"/>
    <w:rsid w:val="00306B16"/>
    <w:rsid w:val="00306FCE"/>
    <w:rsid w:val="003074FE"/>
    <w:rsid w:val="00310A48"/>
    <w:rsid w:val="00311180"/>
    <w:rsid w:val="00311F12"/>
    <w:rsid w:val="00312AE8"/>
    <w:rsid w:val="00312EC7"/>
    <w:rsid w:val="00312EF1"/>
    <w:rsid w:val="00313093"/>
    <w:rsid w:val="00314302"/>
    <w:rsid w:val="00314CBD"/>
    <w:rsid w:val="003150BE"/>
    <w:rsid w:val="00315DAD"/>
    <w:rsid w:val="003163C2"/>
    <w:rsid w:val="0031721D"/>
    <w:rsid w:val="003172A3"/>
    <w:rsid w:val="00317E7F"/>
    <w:rsid w:val="003236C1"/>
    <w:rsid w:val="00323A1F"/>
    <w:rsid w:val="00324FD7"/>
    <w:rsid w:val="003336B7"/>
    <w:rsid w:val="003400AB"/>
    <w:rsid w:val="00340D7C"/>
    <w:rsid w:val="003421BE"/>
    <w:rsid w:val="00343187"/>
    <w:rsid w:val="00344FF1"/>
    <w:rsid w:val="003451B0"/>
    <w:rsid w:val="00345DE5"/>
    <w:rsid w:val="00351386"/>
    <w:rsid w:val="00352E2E"/>
    <w:rsid w:val="00353EEC"/>
    <w:rsid w:val="00356014"/>
    <w:rsid w:val="00356C30"/>
    <w:rsid w:val="00356FE1"/>
    <w:rsid w:val="00364EBA"/>
    <w:rsid w:val="0036586A"/>
    <w:rsid w:val="003717BB"/>
    <w:rsid w:val="00372EBD"/>
    <w:rsid w:val="0037538B"/>
    <w:rsid w:val="00375739"/>
    <w:rsid w:val="00376CAF"/>
    <w:rsid w:val="00377266"/>
    <w:rsid w:val="003804ED"/>
    <w:rsid w:val="003816BE"/>
    <w:rsid w:val="003817C2"/>
    <w:rsid w:val="00382022"/>
    <w:rsid w:val="00382F20"/>
    <w:rsid w:val="0038400E"/>
    <w:rsid w:val="00385078"/>
    <w:rsid w:val="00386C7A"/>
    <w:rsid w:val="00390B34"/>
    <w:rsid w:val="00392186"/>
    <w:rsid w:val="0039290E"/>
    <w:rsid w:val="00397749"/>
    <w:rsid w:val="003A4954"/>
    <w:rsid w:val="003B0824"/>
    <w:rsid w:val="003B1F2D"/>
    <w:rsid w:val="003B2E68"/>
    <w:rsid w:val="003B6B2B"/>
    <w:rsid w:val="003B74AC"/>
    <w:rsid w:val="003B756A"/>
    <w:rsid w:val="003C0A2B"/>
    <w:rsid w:val="003C2165"/>
    <w:rsid w:val="003C22C4"/>
    <w:rsid w:val="003C37D0"/>
    <w:rsid w:val="003C4C75"/>
    <w:rsid w:val="003C5958"/>
    <w:rsid w:val="003D09FA"/>
    <w:rsid w:val="003D0D28"/>
    <w:rsid w:val="003D2673"/>
    <w:rsid w:val="003D3910"/>
    <w:rsid w:val="003D6979"/>
    <w:rsid w:val="003D6F0A"/>
    <w:rsid w:val="003D7624"/>
    <w:rsid w:val="003E18E9"/>
    <w:rsid w:val="003E236B"/>
    <w:rsid w:val="003E29D4"/>
    <w:rsid w:val="003E5346"/>
    <w:rsid w:val="003F04F2"/>
    <w:rsid w:val="003F15FB"/>
    <w:rsid w:val="003F2809"/>
    <w:rsid w:val="003F4288"/>
    <w:rsid w:val="003F449F"/>
    <w:rsid w:val="003F4719"/>
    <w:rsid w:val="003F4DEF"/>
    <w:rsid w:val="003F5C86"/>
    <w:rsid w:val="003F6065"/>
    <w:rsid w:val="003F7FF8"/>
    <w:rsid w:val="00400A06"/>
    <w:rsid w:val="004025F4"/>
    <w:rsid w:val="00402ABE"/>
    <w:rsid w:val="0040429E"/>
    <w:rsid w:val="004065CB"/>
    <w:rsid w:val="00411A46"/>
    <w:rsid w:val="00413942"/>
    <w:rsid w:val="00417EBF"/>
    <w:rsid w:val="0042007C"/>
    <w:rsid w:val="00421CFB"/>
    <w:rsid w:val="004227A3"/>
    <w:rsid w:val="00426111"/>
    <w:rsid w:val="00426B60"/>
    <w:rsid w:val="00430BD7"/>
    <w:rsid w:val="00431B8A"/>
    <w:rsid w:val="00433AB8"/>
    <w:rsid w:val="00435736"/>
    <w:rsid w:val="004370A4"/>
    <w:rsid w:val="0044089A"/>
    <w:rsid w:val="00441871"/>
    <w:rsid w:val="00441F66"/>
    <w:rsid w:val="0044496D"/>
    <w:rsid w:val="00444AF9"/>
    <w:rsid w:val="00446169"/>
    <w:rsid w:val="004479E5"/>
    <w:rsid w:val="00452AD0"/>
    <w:rsid w:val="00452CA0"/>
    <w:rsid w:val="00453534"/>
    <w:rsid w:val="00454771"/>
    <w:rsid w:val="004548EB"/>
    <w:rsid w:val="00455985"/>
    <w:rsid w:val="00463A9A"/>
    <w:rsid w:val="004708FB"/>
    <w:rsid w:val="0047468B"/>
    <w:rsid w:val="004764C8"/>
    <w:rsid w:val="0047716E"/>
    <w:rsid w:val="0048711A"/>
    <w:rsid w:val="00487C26"/>
    <w:rsid w:val="0049039F"/>
    <w:rsid w:val="0049057D"/>
    <w:rsid w:val="00490AA6"/>
    <w:rsid w:val="00490D64"/>
    <w:rsid w:val="00491EAF"/>
    <w:rsid w:val="00493539"/>
    <w:rsid w:val="00495999"/>
    <w:rsid w:val="004964DC"/>
    <w:rsid w:val="00496926"/>
    <w:rsid w:val="004A3A0D"/>
    <w:rsid w:val="004A516A"/>
    <w:rsid w:val="004A59DA"/>
    <w:rsid w:val="004A650B"/>
    <w:rsid w:val="004A7942"/>
    <w:rsid w:val="004B4B14"/>
    <w:rsid w:val="004B5622"/>
    <w:rsid w:val="004B7250"/>
    <w:rsid w:val="004C1250"/>
    <w:rsid w:val="004C3B8A"/>
    <w:rsid w:val="004C5C25"/>
    <w:rsid w:val="004C7119"/>
    <w:rsid w:val="004C7C1A"/>
    <w:rsid w:val="004D17CB"/>
    <w:rsid w:val="004D5231"/>
    <w:rsid w:val="004D6522"/>
    <w:rsid w:val="004E2501"/>
    <w:rsid w:val="004E3224"/>
    <w:rsid w:val="004E33B2"/>
    <w:rsid w:val="004E49B9"/>
    <w:rsid w:val="004E6D2F"/>
    <w:rsid w:val="004F0CB7"/>
    <w:rsid w:val="004F3017"/>
    <w:rsid w:val="004F3D30"/>
    <w:rsid w:val="004F69F6"/>
    <w:rsid w:val="004F76B0"/>
    <w:rsid w:val="004F787A"/>
    <w:rsid w:val="004F7FE2"/>
    <w:rsid w:val="00500E52"/>
    <w:rsid w:val="00502594"/>
    <w:rsid w:val="005053A4"/>
    <w:rsid w:val="005057F4"/>
    <w:rsid w:val="0050791C"/>
    <w:rsid w:val="005100B2"/>
    <w:rsid w:val="00511D06"/>
    <w:rsid w:val="005124F5"/>
    <w:rsid w:val="00512EF1"/>
    <w:rsid w:val="00512F35"/>
    <w:rsid w:val="00513D3B"/>
    <w:rsid w:val="00516D54"/>
    <w:rsid w:val="005214D1"/>
    <w:rsid w:val="005214DB"/>
    <w:rsid w:val="00525D36"/>
    <w:rsid w:val="0052757D"/>
    <w:rsid w:val="00527714"/>
    <w:rsid w:val="00530760"/>
    <w:rsid w:val="0053093F"/>
    <w:rsid w:val="00530DC2"/>
    <w:rsid w:val="00532F4E"/>
    <w:rsid w:val="00536D38"/>
    <w:rsid w:val="0054066D"/>
    <w:rsid w:val="00540EC4"/>
    <w:rsid w:val="00540ECF"/>
    <w:rsid w:val="00541043"/>
    <w:rsid w:val="00541439"/>
    <w:rsid w:val="00542DF5"/>
    <w:rsid w:val="00543A5E"/>
    <w:rsid w:val="005463EF"/>
    <w:rsid w:val="00547170"/>
    <w:rsid w:val="0054754D"/>
    <w:rsid w:val="00551F0A"/>
    <w:rsid w:val="0055257E"/>
    <w:rsid w:val="00554EC7"/>
    <w:rsid w:val="00562630"/>
    <w:rsid w:val="005630B0"/>
    <w:rsid w:val="005651B7"/>
    <w:rsid w:val="00567BE1"/>
    <w:rsid w:val="005703CC"/>
    <w:rsid w:val="00571A6E"/>
    <w:rsid w:val="0057204D"/>
    <w:rsid w:val="00573FAE"/>
    <w:rsid w:val="005740AD"/>
    <w:rsid w:val="005755F5"/>
    <w:rsid w:val="00576ACF"/>
    <w:rsid w:val="005806BE"/>
    <w:rsid w:val="00581885"/>
    <w:rsid w:val="00581C5F"/>
    <w:rsid w:val="005852AD"/>
    <w:rsid w:val="005857D7"/>
    <w:rsid w:val="00586895"/>
    <w:rsid w:val="00586A00"/>
    <w:rsid w:val="00587D30"/>
    <w:rsid w:val="0059266C"/>
    <w:rsid w:val="0059606C"/>
    <w:rsid w:val="0059758D"/>
    <w:rsid w:val="005A06D9"/>
    <w:rsid w:val="005A0834"/>
    <w:rsid w:val="005A277B"/>
    <w:rsid w:val="005A4395"/>
    <w:rsid w:val="005A4D79"/>
    <w:rsid w:val="005A568B"/>
    <w:rsid w:val="005A5C8C"/>
    <w:rsid w:val="005A7D91"/>
    <w:rsid w:val="005B5C34"/>
    <w:rsid w:val="005B5FA4"/>
    <w:rsid w:val="005B69B8"/>
    <w:rsid w:val="005B7C85"/>
    <w:rsid w:val="005C1C07"/>
    <w:rsid w:val="005C20BD"/>
    <w:rsid w:val="005C239B"/>
    <w:rsid w:val="005C2A4C"/>
    <w:rsid w:val="005C30BD"/>
    <w:rsid w:val="005C4670"/>
    <w:rsid w:val="005C6015"/>
    <w:rsid w:val="005C741B"/>
    <w:rsid w:val="005D015A"/>
    <w:rsid w:val="005D0434"/>
    <w:rsid w:val="005D0907"/>
    <w:rsid w:val="005D0F81"/>
    <w:rsid w:val="005D20FD"/>
    <w:rsid w:val="005D2772"/>
    <w:rsid w:val="005D4F27"/>
    <w:rsid w:val="005D6FF6"/>
    <w:rsid w:val="005E06BD"/>
    <w:rsid w:val="005E26C4"/>
    <w:rsid w:val="005E41E8"/>
    <w:rsid w:val="005E54CF"/>
    <w:rsid w:val="005E66E4"/>
    <w:rsid w:val="005F0113"/>
    <w:rsid w:val="005F0832"/>
    <w:rsid w:val="005F224D"/>
    <w:rsid w:val="005F76FA"/>
    <w:rsid w:val="00601AC5"/>
    <w:rsid w:val="00605941"/>
    <w:rsid w:val="0060682B"/>
    <w:rsid w:val="00607B5A"/>
    <w:rsid w:val="0061029B"/>
    <w:rsid w:val="00610597"/>
    <w:rsid w:val="0061284D"/>
    <w:rsid w:val="006129CA"/>
    <w:rsid w:val="006131B5"/>
    <w:rsid w:val="00613D75"/>
    <w:rsid w:val="0061502A"/>
    <w:rsid w:val="006162FD"/>
    <w:rsid w:val="00620408"/>
    <w:rsid w:val="00621DAC"/>
    <w:rsid w:val="00622745"/>
    <w:rsid w:val="00623662"/>
    <w:rsid w:val="00625564"/>
    <w:rsid w:val="00625633"/>
    <w:rsid w:val="00625731"/>
    <w:rsid w:val="0062607A"/>
    <w:rsid w:val="00627114"/>
    <w:rsid w:val="00630227"/>
    <w:rsid w:val="00632468"/>
    <w:rsid w:val="0064035C"/>
    <w:rsid w:val="00641A4E"/>
    <w:rsid w:val="0064263B"/>
    <w:rsid w:val="00642D83"/>
    <w:rsid w:val="006440BE"/>
    <w:rsid w:val="0064477E"/>
    <w:rsid w:val="00644A6C"/>
    <w:rsid w:val="006457B9"/>
    <w:rsid w:val="006463AC"/>
    <w:rsid w:val="006465D2"/>
    <w:rsid w:val="00647657"/>
    <w:rsid w:val="00650D92"/>
    <w:rsid w:val="006519EB"/>
    <w:rsid w:val="0065311B"/>
    <w:rsid w:val="00655585"/>
    <w:rsid w:val="00661AD0"/>
    <w:rsid w:val="006620AC"/>
    <w:rsid w:val="00663E59"/>
    <w:rsid w:val="00665696"/>
    <w:rsid w:val="00666A91"/>
    <w:rsid w:val="006673B9"/>
    <w:rsid w:val="00667D5B"/>
    <w:rsid w:val="0067053A"/>
    <w:rsid w:val="00670B93"/>
    <w:rsid w:val="00671FCD"/>
    <w:rsid w:val="00673AAA"/>
    <w:rsid w:val="006777D5"/>
    <w:rsid w:val="00677F18"/>
    <w:rsid w:val="00681BCB"/>
    <w:rsid w:val="00682B6D"/>
    <w:rsid w:val="00685A7B"/>
    <w:rsid w:val="006872C5"/>
    <w:rsid w:val="006916D0"/>
    <w:rsid w:val="006922F9"/>
    <w:rsid w:val="006959D7"/>
    <w:rsid w:val="00695F68"/>
    <w:rsid w:val="006A16F0"/>
    <w:rsid w:val="006A391D"/>
    <w:rsid w:val="006A4ABA"/>
    <w:rsid w:val="006B04B3"/>
    <w:rsid w:val="006B25CA"/>
    <w:rsid w:val="006B3C8E"/>
    <w:rsid w:val="006B5F93"/>
    <w:rsid w:val="006B6622"/>
    <w:rsid w:val="006C1063"/>
    <w:rsid w:val="006C10D4"/>
    <w:rsid w:val="006C1DC2"/>
    <w:rsid w:val="006C1E48"/>
    <w:rsid w:val="006C2EE4"/>
    <w:rsid w:val="006C309D"/>
    <w:rsid w:val="006C48C6"/>
    <w:rsid w:val="006C4DFA"/>
    <w:rsid w:val="006C6D9E"/>
    <w:rsid w:val="006C70E4"/>
    <w:rsid w:val="006D1E7E"/>
    <w:rsid w:val="006D28D2"/>
    <w:rsid w:val="006D4EB8"/>
    <w:rsid w:val="006D5F85"/>
    <w:rsid w:val="006D6885"/>
    <w:rsid w:val="006D79C6"/>
    <w:rsid w:val="006E1A7E"/>
    <w:rsid w:val="006E1E1F"/>
    <w:rsid w:val="006E20C7"/>
    <w:rsid w:val="006E30FF"/>
    <w:rsid w:val="006E3E04"/>
    <w:rsid w:val="006E50CF"/>
    <w:rsid w:val="006E5B23"/>
    <w:rsid w:val="006F11CB"/>
    <w:rsid w:val="006F2B1B"/>
    <w:rsid w:val="006F35E9"/>
    <w:rsid w:val="006F3E87"/>
    <w:rsid w:val="006F4C8C"/>
    <w:rsid w:val="006F585C"/>
    <w:rsid w:val="006F6798"/>
    <w:rsid w:val="006F7F38"/>
    <w:rsid w:val="0070058B"/>
    <w:rsid w:val="00703BB9"/>
    <w:rsid w:val="00704898"/>
    <w:rsid w:val="00704FD7"/>
    <w:rsid w:val="00705C9C"/>
    <w:rsid w:val="007109A4"/>
    <w:rsid w:val="00711EBB"/>
    <w:rsid w:val="00715566"/>
    <w:rsid w:val="0071702F"/>
    <w:rsid w:val="00723BFE"/>
    <w:rsid w:val="007244DB"/>
    <w:rsid w:val="00730375"/>
    <w:rsid w:val="00730505"/>
    <w:rsid w:val="007329C5"/>
    <w:rsid w:val="00732C8B"/>
    <w:rsid w:val="00735662"/>
    <w:rsid w:val="0074102B"/>
    <w:rsid w:val="00743907"/>
    <w:rsid w:val="00743C01"/>
    <w:rsid w:val="00743F8E"/>
    <w:rsid w:val="0074487E"/>
    <w:rsid w:val="00744C8F"/>
    <w:rsid w:val="00745823"/>
    <w:rsid w:val="00746BFC"/>
    <w:rsid w:val="007471C8"/>
    <w:rsid w:val="007500E9"/>
    <w:rsid w:val="007502CC"/>
    <w:rsid w:val="00752280"/>
    <w:rsid w:val="007531A3"/>
    <w:rsid w:val="00753D5A"/>
    <w:rsid w:val="0075603F"/>
    <w:rsid w:val="00760A44"/>
    <w:rsid w:val="00763605"/>
    <w:rsid w:val="00763E49"/>
    <w:rsid w:val="00764AEF"/>
    <w:rsid w:val="00767234"/>
    <w:rsid w:val="007675B0"/>
    <w:rsid w:val="0077239A"/>
    <w:rsid w:val="007727F3"/>
    <w:rsid w:val="00772B35"/>
    <w:rsid w:val="0077628B"/>
    <w:rsid w:val="00777353"/>
    <w:rsid w:val="0078099F"/>
    <w:rsid w:val="007834CA"/>
    <w:rsid w:val="00786221"/>
    <w:rsid w:val="00786D70"/>
    <w:rsid w:val="00787823"/>
    <w:rsid w:val="00791E50"/>
    <w:rsid w:val="00792837"/>
    <w:rsid w:val="00797FBC"/>
    <w:rsid w:val="007A4394"/>
    <w:rsid w:val="007A4D86"/>
    <w:rsid w:val="007A54B5"/>
    <w:rsid w:val="007B1210"/>
    <w:rsid w:val="007B3600"/>
    <w:rsid w:val="007B3887"/>
    <w:rsid w:val="007B48F9"/>
    <w:rsid w:val="007B5F1C"/>
    <w:rsid w:val="007C311F"/>
    <w:rsid w:val="007C587B"/>
    <w:rsid w:val="007C6303"/>
    <w:rsid w:val="007C7B83"/>
    <w:rsid w:val="007D037D"/>
    <w:rsid w:val="007D1E56"/>
    <w:rsid w:val="007D1E69"/>
    <w:rsid w:val="007D2A81"/>
    <w:rsid w:val="007D313F"/>
    <w:rsid w:val="007D31A2"/>
    <w:rsid w:val="007D4F05"/>
    <w:rsid w:val="007D67AD"/>
    <w:rsid w:val="007D6C35"/>
    <w:rsid w:val="007D75B7"/>
    <w:rsid w:val="007E080B"/>
    <w:rsid w:val="007E1507"/>
    <w:rsid w:val="007E4694"/>
    <w:rsid w:val="007E486D"/>
    <w:rsid w:val="007E5B91"/>
    <w:rsid w:val="007E5C75"/>
    <w:rsid w:val="007F1772"/>
    <w:rsid w:val="007F1D0D"/>
    <w:rsid w:val="007F20E0"/>
    <w:rsid w:val="007F3B78"/>
    <w:rsid w:val="007F3E11"/>
    <w:rsid w:val="007F45DC"/>
    <w:rsid w:val="007F469B"/>
    <w:rsid w:val="007F50FB"/>
    <w:rsid w:val="007F70D7"/>
    <w:rsid w:val="007F761B"/>
    <w:rsid w:val="00800496"/>
    <w:rsid w:val="0080452D"/>
    <w:rsid w:val="008046B3"/>
    <w:rsid w:val="00807A5F"/>
    <w:rsid w:val="0081037F"/>
    <w:rsid w:val="00810C55"/>
    <w:rsid w:val="00812C98"/>
    <w:rsid w:val="00814B63"/>
    <w:rsid w:val="00816D20"/>
    <w:rsid w:val="00816EE1"/>
    <w:rsid w:val="00820979"/>
    <w:rsid w:val="00821D5B"/>
    <w:rsid w:val="00823D5E"/>
    <w:rsid w:val="00823D63"/>
    <w:rsid w:val="00824EB5"/>
    <w:rsid w:val="00826424"/>
    <w:rsid w:val="00826F25"/>
    <w:rsid w:val="008324E5"/>
    <w:rsid w:val="00837AB3"/>
    <w:rsid w:val="00842B43"/>
    <w:rsid w:val="00842EC5"/>
    <w:rsid w:val="00843B34"/>
    <w:rsid w:val="00844A98"/>
    <w:rsid w:val="008458DD"/>
    <w:rsid w:val="00850043"/>
    <w:rsid w:val="008513E2"/>
    <w:rsid w:val="008521C3"/>
    <w:rsid w:val="008526E6"/>
    <w:rsid w:val="008546C4"/>
    <w:rsid w:val="00854B44"/>
    <w:rsid w:val="00856F76"/>
    <w:rsid w:val="00857FFD"/>
    <w:rsid w:val="00862730"/>
    <w:rsid w:val="00863C77"/>
    <w:rsid w:val="00864039"/>
    <w:rsid w:val="00864515"/>
    <w:rsid w:val="008645EB"/>
    <w:rsid w:val="00866456"/>
    <w:rsid w:val="00867EC7"/>
    <w:rsid w:val="008715A3"/>
    <w:rsid w:val="0087209D"/>
    <w:rsid w:val="00873249"/>
    <w:rsid w:val="0087382D"/>
    <w:rsid w:val="00875FFA"/>
    <w:rsid w:val="00876F85"/>
    <w:rsid w:val="00877A28"/>
    <w:rsid w:val="00881896"/>
    <w:rsid w:val="008819E0"/>
    <w:rsid w:val="00881BE6"/>
    <w:rsid w:val="008847FF"/>
    <w:rsid w:val="00884A89"/>
    <w:rsid w:val="008851CD"/>
    <w:rsid w:val="0088575B"/>
    <w:rsid w:val="00885DDB"/>
    <w:rsid w:val="008860D2"/>
    <w:rsid w:val="00890B08"/>
    <w:rsid w:val="00891937"/>
    <w:rsid w:val="0089377C"/>
    <w:rsid w:val="008957F1"/>
    <w:rsid w:val="008962B8"/>
    <w:rsid w:val="00896994"/>
    <w:rsid w:val="008A1DC9"/>
    <w:rsid w:val="008A36C1"/>
    <w:rsid w:val="008A388F"/>
    <w:rsid w:val="008B1166"/>
    <w:rsid w:val="008B2FDE"/>
    <w:rsid w:val="008B316B"/>
    <w:rsid w:val="008B3837"/>
    <w:rsid w:val="008B6CD9"/>
    <w:rsid w:val="008B7ABB"/>
    <w:rsid w:val="008C0179"/>
    <w:rsid w:val="008C1888"/>
    <w:rsid w:val="008C28DD"/>
    <w:rsid w:val="008C2F8A"/>
    <w:rsid w:val="008C35DF"/>
    <w:rsid w:val="008C3AA2"/>
    <w:rsid w:val="008C51A2"/>
    <w:rsid w:val="008D1815"/>
    <w:rsid w:val="008D3EB7"/>
    <w:rsid w:val="008D595A"/>
    <w:rsid w:val="008D6F32"/>
    <w:rsid w:val="008E0882"/>
    <w:rsid w:val="008E1953"/>
    <w:rsid w:val="008E1F33"/>
    <w:rsid w:val="008E2A2F"/>
    <w:rsid w:val="008E57FD"/>
    <w:rsid w:val="008E7287"/>
    <w:rsid w:val="008E72A3"/>
    <w:rsid w:val="008F2165"/>
    <w:rsid w:val="008F2E11"/>
    <w:rsid w:val="008F41D4"/>
    <w:rsid w:val="008F6147"/>
    <w:rsid w:val="00902442"/>
    <w:rsid w:val="00902616"/>
    <w:rsid w:val="0090337B"/>
    <w:rsid w:val="00905FEA"/>
    <w:rsid w:val="00907A66"/>
    <w:rsid w:val="00911FF3"/>
    <w:rsid w:val="0091204C"/>
    <w:rsid w:val="00912597"/>
    <w:rsid w:val="00912FD1"/>
    <w:rsid w:val="00913061"/>
    <w:rsid w:val="009138C9"/>
    <w:rsid w:val="009161C2"/>
    <w:rsid w:val="0091655E"/>
    <w:rsid w:val="00917355"/>
    <w:rsid w:val="009174B1"/>
    <w:rsid w:val="00917BFE"/>
    <w:rsid w:val="0092045E"/>
    <w:rsid w:val="00921C46"/>
    <w:rsid w:val="009231C8"/>
    <w:rsid w:val="009245E7"/>
    <w:rsid w:val="00926BE8"/>
    <w:rsid w:val="00927071"/>
    <w:rsid w:val="00931853"/>
    <w:rsid w:val="00931A56"/>
    <w:rsid w:val="00932A8A"/>
    <w:rsid w:val="00935B86"/>
    <w:rsid w:val="00937A8A"/>
    <w:rsid w:val="00937B63"/>
    <w:rsid w:val="00942960"/>
    <w:rsid w:val="009444ED"/>
    <w:rsid w:val="009459BA"/>
    <w:rsid w:val="009465B8"/>
    <w:rsid w:val="00947823"/>
    <w:rsid w:val="009520A1"/>
    <w:rsid w:val="00954722"/>
    <w:rsid w:val="0095677C"/>
    <w:rsid w:val="00956AF2"/>
    <w:rsid w:val="00960694"/>
    <w:rsid w:val="00962162"/>
    <w:rsid w:val="00962959"/>
    <w:rsid w:val="00962D38"/>
    <w:rsid w:val="00963AD8"/>
    <w:rsid w:val="00966EEE"/>
    <w:rsid w:val="009676EC"/>
    <w:rsid w:val="0097109A"/>
    <w:rsid w:val="009722B1"/>
    <w:rsid w:val="0097418A"/>
    <w:rsid w:val="0097590B"/>
    <w:rsid w:val="00976077"/>
    <w:rsid w:val="009818FE"/>
    <w:rsid w:val="00990010"/>
    <w:rsid w:val="009916C0"/>
    <w:rsid w:val="009917CB"/>
    <w:rsid w:val="00992852"/>
    <w:rsid w:val="00993B75"/>
    <w:rsid w:val="0099405A"/>
    <w:rsid w:val="0099538E"/>
    <w:rsid w:val="00995CE3"/>
    <w:rsid w:val="00997096"/>
    <w:rsid w:val="00997D30"/>
    <w:rsid w:val="009A1E15"/>
    <w:rsid w:val="009A23CE"/>
    <w:rsid w:val="009A3576"/>
    <w:rsid w:val="009B0A21"/>
    <w:rsid w:val="009B164C"/>
    <w:rsid w:val="009B6186"/>
    <w:rsid w:val="009C01C9"/>
    <w:rsid w:val="009C030D"/>
    <w:rsid w:val="009C15E8"/>
    <w:rsid w:val="009C166F"/>
    <w:rsid w:val="009C32CE"/>
    <w:rsid w:val="009C3911"/>
    <w:rsid w:val="009C4BB1"/>
    <w:rsid w:val="009C512B"/>
    <w:rsid w:val="009C66B0"/>
    <w:rsid w:val="009C6BF2"/>
    <w:rsid w:val="009C7D2D"/>
    <w:rsid w:val="009D50F8"/>
    <w:rsid w:val="009E0057"/>
    <w:rsid w:val="009E23DA"/>
    <w:rsid w:val="009E244A"/>
    <w:rsid w:val="009E4510"/>
    <w:rsid w:val="009E61B4"/>
    <w:rsid w:val="009F2143"/>
    <w:rsid w:val="009F358F"/>
    <w:rsid w:val="009F4456"/>
    <w:rsid w:val="009F44E1"/>
    <w:rsid w:val="00A011AF"/>
    <w:rsid w:val="00A024C7"/>
    <w:rsid w:val="00A02735"/>
    <w:rsid w:val="00A02CC5"/>
    <w:rsid w:val="00A037BA"/>
    <w:rsid w:val="00A0585C"/>
    <w:rsid w:val="00A05A78"/>
    <w:rsid w:val="00A0785B"/>
    <w:rsid w:val="00A150CC"/>
    <w:rsid w:val="00A16006"/>
    <w:rsid w:val="00A169C8"/>
    <w:rsid w:val="00A22D20"/>
    <w:rsid w:val="00A246D5"/>
    <w:rsid w:val="00A2658A"/>
    <w:rsid w:val="00A266D1"/>
    <w:rsid w:val="00A274A7"/>
    <w:rsid w:val="00A31FBA"/>
    <w:rsid w:val="00A33097"/>
    <w:rsid w:val="00A357B4"/>
    <w:rsid w:val="00A36DF6"/>
    <w:rsid w:val="00A413E5"/>
    <w:rsid w:val="00A416CF"/>
    <w:rsid w:val="00A42056"/>
    <w:rsid w:val="00A43207"/>
    <w:rsid w:val="00A435AA"/>
    <w:rsid w:val="00A44552"/>
    <w:rsid w:val="00A4473E"/>
    <w:rsid w:val="00A4586F"/>
    <w:rsid w:val="00A46161"/>
    <w:rsid w:val="00A4647C"/>
    <w:rsid w:val="00A465E2"/>
    <w:rsid w:val="00A4685B"/>
    <w:rsid w:val="00A47DE8"/>
    <w:rsid w:val="00A5001E"/>
    <w:rsid w:val="00A50A2E"/>
    <w:rsid w:val="00A52864"/>
    <w:rsid w:val="00A52A95"/>
    <w:rsid w:val="00A56452"/>
    <w:rsid w:val="00A56F62"/>
    <w:rsid w:val="00A57D53"/>
    <w:rsid w:val="00A60132"/>
    <w:rsid w:val="00A61409"/>
    <w:rsid w:val="00A62441"/>
    <w:rsid w:val="00A6368E"/>
    <w:rsid w:val="00A63BE0"/>
    <w:rsid w:val="00A63E5B"/>
    <w:rsid w:val="00A63ED8"/>
    <w:rsid w:val="00A64257"/>
    <w:rsid w:val="00A6494A"/>
    <w:rsid w:val="00A64AA4"/>
    <w:rsid w:val="00A65F17"/>
    <w:rsid w:val="00A671B0"/>
    <w:rsid w:val="00A67E34"/>
    <w:rsid w:val="00A735FE"/>
    <w:rsid w:val="00A75063"/>
    <w:rsid w:val="00A76507"/>
    <w:rsid w:val="00A77F11"/>
    <w:rsid w:val="00A80AFB"/>
    <w:rsid w:val="00A81D85"/>
    <w:rsid w:val="00A82297"/>
    <w:rsid w:val="00A82430"/>
    <w:rsid w:val="00A827E9"/>
    <w:rsid w:val="00A84228"/>
    <w:rsid w:val="00A84A99"/>
    <w:rsid w:val="00A866C7"/>
    <w:rsid w:val="00A86CEB"/>
    <w:rsid w:val="00A9020A"/>
    <w:rsid w:val="00A90F90"/>
    <w:rsid w:val="00A91ED9"/>
    <w:rsid w:val="00A942F6"/>
    <w:rsid w:val="00A95ACB"/>
    <w:rsid w:val="00A9740E"/>
    <w:rsid w:val="00AA0E45"/>
    <w:rsid w:val="00AA39B5"/>
    <w:rsid w:val="00AA3EE9"/>
    <w:rsid w:val="00AB2E82"/>
    <w:rsid w:val="00AB3B9D"/>
    <w:rsid w:val="00AB554A"/>
    <w:rsid w:val="00AB5B4F"/>
    <w:rsid w:val="00AB671F"/>
    <w:rsid w:val="00AB7858"/>
    <w:rsid w:val="00AC04DA"/>
    <w:rsid w:val="00AC5703"/>
    <w:rsid w:val="00AD2630"/>
    <w:rsid w:val="00AD4A80"/>
    <w:rsid w:val="00AD7E81"/>
    <w:rsid w:val="00AE1592"/>
    <w:rsid w:val="00AE40E7"/>
    <w:rsid w:val="00AE43EE"/>
    <w:rsid w:val="00AE4CB9"/>
    <w:rsid w:val="00AF0181"/>
    <w:rsid w:val="00AF071C"/>
    <w:rsid w:val="00AF25FD"/>
    <w:rsid w:val="00AF49E6"/>
    <w:rsid w:val="00AF4EC9"/>
    <w:rsid w:val="00AF633B"/>
    <w:rsid w:val="00B0100D"/>
    <w:rsid w:val="00B01D82"/>
    <w:rsid w:val="00B035D5"/>
    <w:rsid w:val="00B05C3A"/>
    <w:rsid w:val="00B12210"/>
    <w:rsid w:val="00B12311"/>
    <w:rsid w:val="00B138B7"/>
    <w:rsid w:val="00B1424A"/>
    <w:rsid w:val="00B142D1"/>
    <w:rsid w:val="00B17482"/>
    <w:rsid w:val="00B21866"/>
    <w:rsid w:val="00B23A15"/>
    <w:rsid w:val="00B27A77"/>
    <w:rsid w:val="00B31767"/>
    <w:rsid w:val="00B3277C"/>
    <w:rsid w:val="00B3506E"/>
    <w:rsid w:val="00B3579A"/>
    <w:rsid w:val="00B35EDF"/>
    <w:rsid w:val="00B37472"/>
    <w:rsid w:val="00B41802"/>
    <w:rsid w:val="00B423FD"/>
    <w:rsid w:val="00B4299A"/>
    <w:rsid w:val="00B4322A"/>
    <w:rsid w:val="00B474DC"/>
    <w:rsid w:val="00B47C40"/>
    <w:rsid w:val="00B50C51"/>
    <w:rsid w:val="00B511DC"/>
    <w:rsid w:val="00B538C6"/>
    <w:rsid w:val="00B548EC"/>
    <w:rsid w:val="00B571DC"/>
    <w:rsid w:val="00B6500B"/>
    <w:rsid w:val="00B65C2B"/>
    <w:rsid w:val="00B65FB0"/>
    <w:rsid w:val="00B674A8"/>
    <w:rsid w:val="00B70099"/>
    <w:rsid w:val="00B7119B"/>
    <w:rsid w:val="00B7372B"/>
    <w:rsid w:val="00B74A7E"/>
    <w:rsid w:val="00B764B9"/>
    <w:rsid w:val="00B777C4"/>
    <w:rsid w:val="00B77FD4"/>
    <w:rsid w:val="00B803BE"/>
    <w:rsid w:val="00B83EDC"/>
    <w:rsid w:val="00B86A45"/>
    <w:rsid w:val="00B90BAE"/>
    <w:rsid w:val="00B92050"/>
    <w:rsid w:val="00B92AA4"/>
    <w:rsid w:val="00B92E64"/>
    <w:rsid w:val="00B93736"/>
    <w:rsid w:val="00B93BF9"/>
    <w:rsid w:val="00B9498E"/>
    <w:rsid w:val="00B95F94"/>
    <w:rsid w:val="00B97B4A"/>
    <w:rsid w:val="00BA1434"/>
    <w:rsid w:val="00BA1F2B"/>
    <w:rsid w:val="00BA7289"/>
    <w:rsid w:val="00BA78CD"/>
    <w:rsid w:val="00BB1289"/>
    <w:rsid w:val="00BB3223"/>
    <w:rsid w:val="00BB3341"/>
    <w:rsid w:val="00BB4365"/>
    <w:rsid w:val="00BB5A28"/>
    <w:rsid w:val="00BC28E2"/>
    <w:rsid w:val="00BC470A"/>
    <w:rsid w:val="00BC5F7D"/>
    <w:rsid w:val="00BC705D"/>
    <w:rsid w:val="00BC765B"/>
    <w:rsid w:val="00BD3095"/>
    <w:rsid w:val="00BD3458"/>
    <w:rsid w:val="00BD357D"/>
    <w:rsid w:val="00BD4383"/>
    <w:rsid w:val="00BE40A0"/>
    <w:rsid w:val="00BE50B1"/>
    <w:rsid w:val="00BE6E0B"/>
    <w:rsid w:val="00BE78AA"/>
    <w:rsid w:val="00BF1388"/>
    <w:rsid w:val="00BF3015"/>
    <w:rsid w:val="00BF3FA2"/>
    <w:rsid w:val="00C006F0"/>
    <w:rsid w:val="00C00CF6"/>
    <w:rsid w:val="00C03D8A"/>
    <w:rsid w:val="00C04EFD"/>
    <w:rsid w:val="00C11911"/>
    <w:rsid w:val="00C11CBA"/>
    <w:rsid w:val="00C12B5B"/>
    <w:rsid w:val="00C1547E"/>
    <w:rsid w:val="00C15755"/>
    <w:rsid w:val="00C165EB"/>
    <w:rsid w:val="00C202C0"/>
    <w:rsid w:val="00C23956"/>
    <w:rsid w:val="00C25BC2"/>
    <w:rsid w:val="00C26747"/>
    <w:rsid w:val="00C32332"/>
    <w:rsid w:val="00C342EC"/>
    <w:rsid w:val="00C40832"/>
    <w:rsid w:val="00C42B86"/>
    <w:rsid w:val="00C43A86"/>
    <w:rsid w:val="00C43ADD"/>
    <w:rsid w:val="00C44DB6"/>
    <w:rsid w:val="00C44DC7"/>
    <w:rsid w:val="00C47956"/>
    <w:rsid w:val="00C47B0F"/>
    <w:rsid w:val="00C50BA1"/>
    <w:rsid w:val="00C51688"/>
    <w:rsid w:val="00C51AE6"/>
    <w:rsid w:val="00C54920"/>
    <w:rsid w:val="00C5678F"/>
    <w:rsid w:val="00C63225"/>
    <w:rsid w:val="00C63C42"/>
    <w:rsid w:val="00C65547"/>
    <w:rsid w:val="00C662C3"/>
    <w:rsid w:val="00C708CA"/>
    <w:rsid w:val="00C70917"/>
    <w:rsid w:val="00C77899"/>
    <w:rsid w:val="00C82CEB"/>
    <w:rsid w:val="00C82D70"/>
    <w:rsid w:val="00C831A8"/>
    <w:rsid w:val="00C85EFE"/>
    <w:rsid w:val="00C86BCF"/>
    <w:rsid w:val="00C907E5"/>
    <w:rsid w:val="00C91AC7"/>
    <w:rsid w:val="00C95D6D"/>
    <w:rsid w:val="00C95FC1"/>
    <w:rsid w:val="00C96E32"/>
    <w:rsid w:val="00CA2B97"/>
    <w:rsid w:val="00CA4741"/>
    <w:rsid w:val="00CA5399"/>
    <w:rsid w:val="00CA54FB"/>
    <w:rsid w:val="00CA585D"/>
    <w:rsid w:val="00CA6453"/>
    <w:rsid w:val="00CA68E3"/>
    <w:rsid w:val="00CA769E"/>
    <w:rsid w:val="00CA7C19"/>
    <w:rsid w:val="00CB146B"/>
    <w:rsid w:val="00CB431D"/>
    <w:rsid w:val="00CC1FCB"/>
    <w:rsid w:val="00CC2E9C"/>
    <w:rsid w:val="00CC3077"/>
    <w:rsid w:val="00CC3EC9"/>
    <w:rsid w:val="00CC4E52"/>
    <w:rsid w:val="00CC53C2"/>
    <w:rsid w:val="00CD0B3D"/>
    <w:rsid w:val="00CD309B"/>
    <w:rsid w:val="00CD39B1"/>
    <w:rsid w:val="00CD4B31"/>
    <w:rsid w:val="00CD5E33"/>
    <w:rsid w:val="00CD7E0C"/>
    <w:rsid w:val="00CE020C"/>
    <w:rsid w:val="00CE2807"/>
    <w:rsid w:val="00CE2D57"/>
    <w:rsid w:val="00CE6C88"/>
    <w:rsid w:val="00CF138B"/>
    <w:rsid w:val="00CF256C"/>
    <w:rsid w:val="00CF3235"/>
    <w:rsid w:val="00D02712"/>
    <w:rsid w:val="00D03026"/>
    <w:rsid w:val="00D037CF"/>
    <w:rsid w:val="00D0427D"/>
    <w:rsid w:val="00D07788"/>
    <w:rsid w:val="00D11111"/>
    <w:rsid w:val="00D12119"/>
    <w:rsid w:val="00D13229"/>
    <w:rsid w:val="00D17A3B"/>
    <w:rsid w:val="00D202B1"/>
    <w:rsid w:val="00D21F22"/>
    <w:rsid w:val="00D22579"/>
    <w:rsid w:val="00D229C0"/>
    <w:rsid w:val="00D230BF"/>
    <w:rsid w:val="00D23290"/>
    <w:rsid w:val="00D24DBB"/>
    <w:rsid w:val="00D25D5E"/>
    <w:rsid w:val="00D25D91"/>
    <w:rsid w:val="00D26EA8"/>
    <w:rsid w:val="00D27B63"/>
    <w:rsid w:val="00D32524"/>
    <w:rsid w:val="00D32B72"/>
    <w:rsid w:val="00D34170"/>
    <w:rsid w:val="00D4075F"/>
    <w:rsid w:val="00D41022"/>
    <w:rsid w:val="00D41658"/>
    <w:rsid w:val="00D438E6"/>
    <w:rsid w:val="00D43FDD"/>
    <w:rsid w:val="00D466FF"/>
    <w:rsid w:val="00D51547"/>
    <w:rsid w:val="00D57C3E"/>
    <w:rsid w:val="00D61C6B"/>
    <w:rsid w:val="00D62218"/>
    <w:rsid w:val="00D63E80"/>
    <w:rsid w:val="00D648AD"/>
    <w:rsid w:val="00D65AA0"/>
    <w:rsid w:val="00D65F17"/>
    <w:rsid w:val="00D66BD1"/>
    <w:rsid w:val="00D672FF"/>
    <w:rsid w:val="00D70AFA"/>
    <w:rsid w:val="00D71324"/>
    <w:rsid w:val="00D7360F"/>
    <w:rsid w:val="00D73984"/>
    <w:rsid w:val="00D7572E"/>
    <w:rsid w:val="00D7609A"/>
    <w:rsid w:val="00D76A59"/>
    <w:rsid w:val="00D8272E"/>
    <w:rsid w:val="00D84619"/>
    <w:rsid w:val="00D84CC3"/>
    <w:rsid w:val="00D84DBD"/>
    <w:rsid w:val="00D87EA7"/>
    <w:rsid w:val="00D9055D"/>
    <w:rsid w:val="00D90E85"/>
    <w:rsid w:val="00D91756"/>
    <w:rsid w:val="00D91D4F"/>
    <w:rsid w:val="00D925FD"/>
    <w:rsid w:val="00D927EA"/>
    <w:rsid w:val="00D940DA"/>
    <w:rsid w:val="00D94FCB"/>
    <w:rsid w:val="00D963C3"/>
    <w:rsid w:val="00D96D3D"/>
    <w:rsid w:val="00DA0C51"/>
    <w:rsid w:val="00DA27B2"/>
    <w:rsid w:val="00DA31C7"/>
    <w:rsid w:val="00DA3B43"/>
    <w:rsid w:val="00DA3CA2"/>
    <w:rsid w:val="00DA4384"/>
    <w:rsid w:val="00DA6514"/>
    <w:rsid w:val="00DB15CB"/>
    <w:rsid w:val="00DB21BA"/>
    <w:rsid w:val="00DB43A6"/>
    <w:rsid w:val="00DB4B46"/>
    <w:rsid w:val="00DB4F1B"/>
    <w:rsid w:val="00DB6CCA"/>
    <w:rsid w:val="00DC00B6"/>
    <w:rsid w:val="00DC0DAD"/>
    <w:rsid w:val="00DC0EBA"/>
    <w:rsid w:val="00DC76B9"/>
    <w:rsid w:val="00DD0D6F"/>
    <w:rsid w:val="00DD115D"/>
    <w:rsid w:val="00DD1A89"/>
    <w:rsid w:val="00DD2CA3"/>
    <w:rsid w:val="00DD2DD5"/>
    <w:rsid w:val="00DD367C"/>
    <w:rsid w:val="00DD6323"/>
    <w:rsid w:val="00DD633F"/>
    <w:rsid w:val="00DD6E82"/>
    <w:rsid w:val="00DE0D05"/>
    <w:rsid w:val="00DE1E19"/>
    <w:rsid w:val="00DE2693"/>
    <w:rsid w:val="00DE3405"/>
    <w:rsid w:val="00DE4B79"/>
    <w:rsid w:val="00DE527A"/>
    <w:rsid w:val="00DE5743"/>
    <w:rsid w:val="00DE5D27"/>
    <w:rsid w:val="00DE61FF"/>
    <w:rsid w:val="00DE6AEE"/>
    <w:rsid w:val="00DE7678"/>
    <w:rsid w:val="00DF0716"/>
    <w:rsid w:val="00DF2CCD"/>
    <w:rsid w:val="00DF3354"/>
    <w:rsid w:val="00DF38A8"/>
    <w:rsid w:val="00DF5146"/>
    <w:rsid w:val="00DF6339"/>
    <w:rsid w:val="00DF67BE"/>
    <w:rsid w:val="00DF7954"/>
    <w:rsid w:val="00E00F08"/>
    <w:rsid w:val="00E01BBA"/>
    <w:rsid w:val="00E03375"/>
    <w:rsid w:val="00E04707"/>
    <w:rsid w:val="00E05413"/>
    <w:rsid w:val="00E054B5"/>
    <w:rsid w:val="00E06D5F"/>
    <w:rsid w:val="00E07C7E"/>
    <w:rsid w:val="00E12313"/>
    <w:rsid w:val="00E1265B"/>
    <w:rsid w:val="00E131CA"/>
    <w:rsid w:val="00E13486"/>
    <w:rsid w:val="00E15413"/>
    <w:rsid w:val="00E15A02"/>
    <w:rsid w:val="00E15B50"/>
    <w:rsid w:val="00E20504"/>
    <w:rsid w:val="00E2229F"/>
    <w:rsid w:val="00E22C3A"/>
    <w:rsid w:val="00E23267"/>
    <w:rsid w:val="00E2647C"/>
    <w:rsid w:val="00E26995"/>
    <w:rsid w:val="00E30C4B"/>
    <w:rsid w:val="00E3327B"/>
    <w:rsid w:val="00E33AA6"/>
    <w:rsid w:val="00E34142"/>
    <w:rsid w:val="00E341CF"/>
    <w:rsid w:val="00E359D1"/>
    <w:rsid w:val="00E370BD"/>
    <w:rsid w:val="00E40718"/>
    <w:rsid w:val="00E4429D"/>
    <w:rsid w:val="00E45C5A"/>
    <w:rsid w:val="00E46820"/>
    <w:rsid w:val="00E47D1C"/>
    <w:rsid w:val="00E52664"/>
    <w:rsid w:val="00E536DD"/>
    <w:rsid w:val="00E5388A"/>
    <w:rsid w:val="00E54499"/>
    <w:rsid w:val="00E5789F"/>
    <w:rsid w:val="00E64D32"/>
    <w:rsid w:val="00E64D7E"/>
    <w:rsid w:val="00E70E60"/>
    <w:rsid w:val="00E723BC"/>
    <w:rsid w:val="00E726C0"/>
    <w:rsid w:val="00E74A1F"/>
    <w:rsid w:val="00E74BE9"/>
    <w:rsid w:val="00E75E42"/>
    <w:rsid w:val="00E776C6"/>
    <w:rsid w:val="00E80971"/>
    <w:rsid w:val="00E81EEC"/>
    <w:rsid w:val="00E8259F"/>
    <w:rsid w:val="00E84044"/>
    <w:rsid w:val="00E843FA"/>
    <w:rsid w:val="00E84724"/>
    <w:rsid w:val="00E84F38"/>
    <w:rsid w:val="00E86FB3"/>
    <w:rsid w:val="00E87158"/>
    <w:rsid w:val="00E8753F"/>
    <w:rsid w:val="00E87E77"/>
    <w:rsid w:val="00E920A7"/>
    <w:rsid w:val="00E93660"/>
    <w:rsid w:val="00E93C52"/>
    <w:rsid w:val="00E965E7"/>
    <w:rsid w:val="00EA1232"/>
    <w:rsid w:val="00EA1FE4"/>
    <w:rsid w:val="00EA6B3C"/>
    <w:rsid w:val="00EA6BE0"/>
    <w:rsid w:val="00EB0903"/>
    <w:rsid w:val="00EB1747"/>
    <w:rsid w:val="00EB1938"/>
    <w:rsid w:val="00EB2546"/>
    <w:rsid w:val="00EB2724"/>
    <w:rsid w:val="00EB2C59"/>
    <w:rsid w:val="00EB2D40"/>
    <w:rsid w:val="00EB44B4"/>
    <w:rsid w:val="00EB684A"/>
    <w:rsid w:val="00EC038A"/>
    <w:rsid w:val="00EC088D"/>
    <w:rsid w:val="00EC1EBB"/>
    <w:rsid w:val="00EC245F"/>
    <w:rsid w:val="00EC2B4E"/>
    <w:rsid w:val="00EC4CFA"/>
    <w:rsid w:val="00EC5B7C"/>
    <w:rsid w:val="00EC7FF6"/>
    <w:rsid w:val="00ED1165"/>
    <w:rsid w:val="00ED2859"/>
    <w:rsid w:val="00ED3CC4"/>
    <w:rsid w:val="00ED46FC"/>
    <w:rsid w:val="00ED4CD3"/>
    <w:rsid w:val="00ED5E68"/>
    <w:rsid w:val="00EE037D"/>
    <w:rsid w:val="00EE197E"/>
    <w:rsid w:val="00EE2869"/>
    <w:rsid w:val="00EE311E"/>
    <w:rsid w:val="00EE37ED"/>
    <w:rsid w:val="00EE543B"/>
    <w:rsid w:val="00EE7052"/>
    <w:rsid w:val="00EE78D3"/>
    <w:rsid w:val="00EF068E"/>
    <w:rsid w:val="00EF0F3D"/>
    <w:rsid w:val="00EF2FAB"/>
    <w:rsid w:val="00EF3215"/>
    <w:rsid w:val="00EF3A0F"/>
    <w:rsid w:val="00EF6542"/>
    <w:rsid w:val="00EF7625"/>
    <w:rsid w:val="00F028AB"/>
    <w:rsid w:val="00F037DC"/>
    <w:rsid w:val="00F0416D"/>
    <w:rsid w:val="00F042B2"/>
    <w:rsid w:val="00F10273"/>
    <w:rsid w:val="00F102D8"/>
    <w:rsid w:val="00F10DE0"/>
    <w:rsid w:val="00F10E7B"/>
    <w:rsid w:val="00F113C2"/>
    <w:rsid w:val="00F126A1"/>
    <w:rsid w:val="00F1785D"/>
    <w:rsid w:val="00F205D3"/>
    <w:rsid w:val="00F20E6D"/>
    <w:rsid w:val="00F21B7C"/>
    <w:rsid w:val="00F21E74"/>
    <w:rsid w:val="00F231ED"/>
    <w:rsid w:val="00F34E7F"/>
    <w:rsid w:val="00F360FB"/>
    <w:rsid w:val="00F40559"/>
    <w:rsid w:val="00F412C3"/>
    <w:rsid w:val="00F43B1A"/>
    <w:rsid w:val="00F43B95"/>
    <w:rsid w:val="00F43CF5"/>
    <w:rsid w:val="00F4512C"/>
    <w:rsid w:val="00F51DCD"/>
    <w:rsid w:val="00F52463"/>
    <w:rsid w:val="00F52C86"/>
    <w:rsid w:val="00F535E6"/>
    <w:rsid w:val="00F54E59"/>
    <w:rsid w:val="00F568E8"/>
    <w:rsid w:val="00F606E8"/>
    <w:rsid w:val="00F62877"/>
    <w:rsid w:val="00F65203"/>
    <w:rsid w:val="00F65983"/>
    <w:rsid w:val="00F717F0"/>
    <w:rsid w:val="00F72DBC"/>
    <w:rsid w:val="00F74E71"/>
    <w:rsid w:val="00F754AC"/>
    <w:rsid w:val="00F76805"/>
    <w:rsid w:val="00F7712F"/>
    <w:rsid w:val="00F800F9"/>
    <w:rsid w:val="00F831EA"/>
    <w:rsid w:val="00F847C1"/>
    <w:rsid w:val="00F84D51"/>
    <w:rsid w:val="00F9094D"/>
    <w:rsid w:val="00F92615"/>
    <w:rsid w:val="00F92E2D"/>
    <w:rsid w:val="00F93F20"/>
    <w:rsid w:val="00F95010"/>
    <w:rsid w:val="00F9502C"/>
    <w:rsid w:val="00F95B83"/>
    <w:rsid w:val="00F963B9"/>
    <w:rsid w:val="00FA058E"/>
    <w:rsid w:val="00FA0BE5"/>
    <w:rsid w:val="00FA2186"/>
    <w:rsid w:val="00FA4366"/>
    <w:rsid w:val="00FA54F8"/>
    <w:rsid w:val="00FA7110"/>
    <w:rsid w:val="00FA7987"/>
    <w:rsid w:val="00FA7C2B"/>
    <w:rsid w:val="00FB0724"/>
    <w:rsid w:val="00FB0EF4"/>
    <w:rsid w:val="00FB0F4D"/>
    <w:rsid w:val="00FB1CC9"/>
    <w:rsid w:val="00FB3766"/>
    <w:rsid w:val="00FB55EA"/>
    <w:rsid w:val="00FC089F"/>
    <w:rsid w:val="00FC1635"/>
    <w:rsid w:val="00FC17FF"/>
    <w:rsid w:val="00FC206D"/>
    <w:rsid w:val="00FC3D9A"/>
    <w:rsid w:val="00FC45EA"/>
    <w:rsid w:val="00FC4850"/>
    <w:rsid w:val="00FC73E7"/>
    <w:rsid w:val="00FD0658"/>
    <w:rsid w:val="00FD31FB"/>
    <w:rsid w:val="00FD428B"/>
    <w:rsid w:val="00FD4519"/>
    <w:rsid w:val="00FD4D06"/>
    <w:rsid w:val="00FD5062"/>
    <w:rsid w:val="00FD7553"/>
    <w:rsid w:val="00FE031D"/>
    <w:rsid w:val="00FE0BC0"/>
    <w:rsid w:val="00FE0CDD"/>
    <w:rsid w:val="00FE47A3"/>
    <w:rsid w:val="00FE4A91"/>
    <w:rsid w:val="00FE6A89"/>
    <w:rsid w:val="00FE7D32"/>
    <w:rsid w:val="00FE7EB1"/>
    <w:rsid w:val="00FF1AEE"/>
    <w:rsid w:val="00FF20A1"/>
    <w:rsid w:val="00FF28A4"/>
    <w:rsid w:val="00FF5988"/>
    <w:rsid w:val="0107586A"/>
    <w:rsid w:val="010D5B08"/>
    <w:rsid w:val="01121BBB"/>
    <w:rsid w:val="011473B7"/>
    <w:rsid w:val="011A052D"/>
    <w:rsid w:val="01251DA8"/>
    <w:rsid w:val="012A2737"/>
    <w:rsid w:val="012B5FFB"/>
    <w:rsid w:val="01341807"/>
    <w:rsid w:val="013531F3"/>
    <w:rsid w:val="013A4E71"/>
    <w:rsid w:val="013B0DE8"/>
    <w:rsid w:val="013F79BD"/>
    <w:rsid w:val="014277E2"/>
    <w:rsid w:val="01437C9C"/>
    <w:rsid w:val="01487061"/>
    <w:rsid w:val="014D4677"/>
    <w:rsid w:val="014D576C"/>
    <w:rsid w:val="01581538"/>
    <w:rsid w:val="015B3238"/>
    <w:rsid w:val="015E4ACC"/>
    <w:rsid w:val="016353FB"/>
    <w:rsid w:val="016907B2"/>
    <w:rsid w:val="017C2523"/>
    <w:rsid w:val="0191744D"/>
    <w:rsid w:val="01957768"/>
    <w:rsid w:val="019D7AF8"/>
    <w:rsid w:val="01A00C4B"/>
    <w:rsid w:val="01A46AF7"/>
    <w:rsid w:val="01A60CEE"/>
    <w:rsid w:val="01A91CBC"/>
    <w:rsid w:val="01AB4A01"/>
    <w:rsid w:val="01AE030F"/>
    <w:rsid w:val="01AF1801"/>
    <w:rsid w:val="01B666C0"/>
    <w:rsid w:val="01BB0723"/>
    <w:rsid w:val="01BB5A85"/>
    <w:rsid w:val="01C20BC1"/>
    <w:rsid w:val="01C56903"/>
    <w:rsid w:val="01D1397B"/>
    <w:rsid w:val="01D16067"/>
    <w:rsid w:val="01D42C43"/>
    <w:rsid w:val="01D55261"/>
    <w:rsid w:val="01D91895"/>
    <w:rsid w:val="01DF2DFD"/>
    <w:rsid w:val="01E23011"/>
    <w:rsid w:val="01E27A17"/>
    <w:rsid w:val="01E46E20"/>
    <w:rsid w:val="01F76791"/>
    <w:rsid w:val="01FA65AD"/>
    <w:rsid w:val="020411DA"/>
    <w:rsid w:val="020568D6"/>
    <w:rsid w:val="02176B4D"/>
    <w:rsid w:val="02242024"/>
    <w:rsid w:val="023016F2"/>
    <w:rsid w:val="023678FA"/>
    <w:rsid w:val="02374BA3"/>
    <w:rsid w:val="023C235A"/>
    <w:rsid w:val="02451546"/>
    <w:rsid w:val="024A274B"/>
    <w:rsid w:val="024B50E5"/>
    <w:rsid w:val="024C2B81"/>
    <w:rsid w:val="02543AFB"/>
    <w:rsid w:val="026006FE"/>
    <w:rsid w:val="026118AE"/>
    <w:rsid w:val="02637F53"/>
    <w:rsid w:val="0265442E"/>
    <w:rsid w:val="02691984"/>
    <w:rsid w:val="02732A09"/>
    <w:rsid w:val="027C3466"/>
    <w:rsid w:val="027F3A06"/>
    <w:rsid w:val="028440C8"/>
    <w:rsid w:val="028A3AC9"/>
    <w:rsid w:val="028D1F0F"/>
    <w:rsid w:val="0293255D"/>
    <w:rsid w:val="02971350"/>
    <w:rsid w:val="029E6D88"/>
    <w:rsid w:val="02A04264"/>
    <w:rsid w:val="02A14C7A"/>
    <w:rsid w:val="02A209F3"/>
    <w:rsid w:val="02A310E6"/>
    <w:rsid w:val="02A508C7"/>
    <w:rsid w:val="02B32E51"/>
    <w:rsid w:val="02B36C65"/>
    <w:rsid w:val="02B654E0"/>
    <w:rsid w:val="02B80216"/>
    <w:rsid w:val="02B9289E"/>
    <w:rsid w:val="02BC1AB4"/>
    <w:rsid w:val="02BF1312"/>
    <w:rsid w:val="02C4662B"/>
    <w:rsid w:val="02C46BBB"/>
    <w:rsid w:val="02CB7CA9"/>
    <w:rsid w:val="02CE18A8"/>
    <w:rsid w:val="02CE632F"/>
    <w:rsid w:val="02D52AF4"/>
    <w:rsid w:val="02D84414"/>
    <w:rsid w:val="02DB2FCC"/>
    <w:rsid w:val="02DD0025"/>
    <w:rsid w:val="02DF39F5"/>
    <w:rsid w:val="02E6766A"/>
    <w:rsid w:val="02EC2B7D"/>
    <w:rsid w:val="02EE2A30"/>
    <w:rsid w:val="02F0063A"/>
    <w:rsid w:val="02F75CCB"/>
    <w:rsid w:val="0300787A"/>
    <w:rsid w:val="030412C4"/>
    <w:rsid w:val="03086AA8"/>
    <w:rsid w:val="030A0A85"/>
    <w:rsid w:val="030B73CC"/>
    <w:rsid w:val="030C44FC"/>
    <w:rsid w:val="031347CE"/>
    <w:rsid w:val="031F3DF1"/>
    <w:rsid w:val="03210258"/>
    <w:rsid w:val="03250FEA"/>
    <w:rsid w:val="03266B6F"/>
    <w:rsid w:val="032C7F14"/>
    <w:rsid w:val="033008C7"/>
    <w:rsid w:val="033020DE"/>
    <w:rsid w:val="03327FC8"/>
    <w:rsid w:val="0334789D"/>
    <w:rsid w:val="03375264"/>
    <w:rsid w:val="03396BA0"/>
    <w:rsid w:val="03443858"/>
    <w:rsid w:val="03452067"/>
    <w:rsid w:val="034B661E"/>
    <w:rsid w:val="03547F3F"/>
    <w:rsid w:val="035E3634"/>
    <w:rsid w:val="036B1C96"/>
    <w:rsid w:val="03710AF1"/>
    <w:rsid w:val="03726636"/>
    <w:rsid w:val="037B371D"/>
    <w:rsid w:val="03826698"/>
    <w:rsid w:val="03844968"/>
    <w:rsid w:val="038A1BB2"/>
    <w:rsid w:val="038D3451"/>
    <w:rsid w:val="03901252"/>
    <w:rsid w:val="039C5442"/>
    <w:rsid w:val="039F3A97"/>
    <w:rsid w:val="03A219EA"/>
    <w:rsid w:val="03A471C1"/>
    <w:rsid w:val="03A74512"/>
    <w:rsid w:val="03AF33C7"/>
    <w:rsid w:val="03B32622"/>
    <w:rsid w:val="03B629A7"/>
    <w:rsid w:val="03BE1243"/>
    <w:rsid w:val="03BE7AAE"/>
    <w:rsid w:val="03C42E7B"/>
    <w:rsid w:val="03CF75C5"/>
    <w:rsid w:val="03D46B3C"/>
    <w:rsid w:val="03DF162E"/>
    <w:rsid w:val="03E00A2D"/>
    <w:rsid w:val="03E30DBA"/>
    <w:rsid w:val="03E4576F"/>
    <w:rsid w:val="03E5778C"/>
    <w:rsid w:val="03E70DB3"/>
    <w:rsid w:val="03E94B2B"/>
    <w:rsid w:val="03EB0A97"/>
    <w:rsid w:val="03EC02D4"/>
    <w:rsid w:val="03F64C89"/>
    <w:rsid w:val="040145E3"/>
    <w:rsid w:val="040556DD"/>
    <w:rsid w:val="0405748B"/>
    <w:rsid w:val="04114082"/>
    <w:rsid w:val="04123B53"/>
    <w:rsid w:val="041F585D"/>
    <w:rsid w:val="04210B99"/>
    <w:rsid w:val="04215461"/>
    <w:rsid w:val="042D0EF8"/>
    <w:rsid w:val="04357D70"/>
    <w:rsid w:val="043658FF"/>
    <w:rsid w:val="04377285"/>
    <w:rsid w:val="043C42A1"/>
    <w:rsid w:val="04414319"/>
    <w:rsid w:val="04485C72"/>
    <w:rsid w:val="044E7716"/>
    <w:rsid w:val="044F0706"/>
    <w:rsid w:val="04502F3E"/>
    <w:rsid w:val="04553F6E"/>
    <w:rsid w:val="045E77E8"/>
    <w:rsid w:val="045F6B9B"/>
    <w:rsid w:val="04651971"/>
    <w:rsid w:val="046D4501"/>
    <w:rsid w:val="04784101"/>
    <w:rsid w:val="0484789B"/>
    <w:rsid w:val="0486318B"/>
    <w:rsid w:val="04912ACD"/>
    <w:rsid w:val="04942960"/>
    <w:rsid w:val="04942992"/>
    <w:rsid w:val="049739B9"/>
    <w:rsid w:val="049820AD"/>
    <w:rsid w:val="049A14C9"/>
    <w:rsid w:val="049C3758"/>
    <w:rsid w:val="049F7277"/>
    <w:rsid w:val="04A3117E"/>
    <w:rsid w:val="04A40A52"/>
    <w:rsid w:val="04A46CA4"/>
    <w:rsid w:val="04AB2821"/>
    <w:rsid w:val="04AD0346"/>
    <w:rsid w:val="04AE1C59"/>
    <w:rsid w:val="04B862AB"/>
    <w:rsid w:val="04BF21CD"/>
    <w:rsid w:val="04C2712A"/>
    <w:rsid w:val="04D806FC"/>
    <w:rsid w:val="04DA650A"/>
    <w:rsid w:val="04E533D3"/>
    <w:rsid w:val="04E62EC6"/>
    <w:rsid w:val="04EB21F1"/>
    <w:rsid w:val="04F662FF"/>
    <w:rsid w:val="04FC088E"/>
    <w:rsid w:val="04FD1C2B"/>
    <w:rsid w:val="04FE63B4"/>
    <w:rsid w:val="050108CF"/>
    <w:rsid w:val="05085485"/>
    <w:rsid w:val="050E7734"/>
    <w:rsid w:val="05111C07"/>
    <w:rsid w:val="05171224"/>
    <w:rsid w:val="05200B1C"/>
    <w:rsid w:val="052633CF"/>
    <w:rsid w:val="05276D42"/>
    <w:rsid w:val="05290C5B"/>
    <w:rsid w:val="052B4CCF"/>
    <w:rsid w:val="052B75CE"/>
    <w:rsid w:val="052D6C99"/>
    <w:rsid w:val="05367AFA"/>
    <w:rsid w:val="054255B1"/>
    <w:rsid w:val="054409DC"/>
    <w:rsid w:val="05473ABC"/>
    <w:rsid w:val="05535400"/>
    <w:rsid w:val="0555574F"/>
    <w:rsid w:val="05572279"/>
    <w:rsid w:val="055A7363"/>
    <w:rsid w:val="055B49B5"/>
    <w:rsid w:val="055E50A5"/>
    <w:rsid w:val="055F2EFD"/>
    <w:rsid w:val="05623D19"/>
    <w:rsid w:val="05665D07"/>
    <w:rsid w:val="056873A4"/>
    <w:rsid w:val="056B7B8A"/>
    <w:rsid w:val="056E57ED"/>
    <w:rsid w:val="05731273"/>
    <w:rsid w:val="05743DD1"/>
    <w:rsid w:val="05897383"/>
    <w:rsid w:val="059900DE"/>
    <w:rsid w:val="059B1E55"/>
    <w:rsid w:val="05A1435E"/>
    <w:rsid w:val="05A23FE4"/>
    <w:rsid w:val="05A30BE6"/>
    <w:rsid w:val="05B13426"/>
    <w:rsid w:val="05BB4F82"/>
    <w:rsid w:val="05C0567F"/>
    <w:rsid w:val="05C701D3"/>
    <w:rsid w:val="05C72C4A"/>
    <w:rsid w:val="05CD4417"/>
    <w:rsid w:val="05D15877"/>
    <w:rsid w:val="05D62E8D"/>
    <w:rsid w:val="05D84E57"/>
    <w:rsid w:val="05DA55AC"/>
    <w:rsid w:val="05DA66B8"/>
    <w:rsid w:val="05DB66F5"/>
    <w:rsid w:val="05DE1000"/>
    <w:rsid w:val="05E03DEB"/>
    <w:rsid w:val="05E06A46"/>
    <w:rsid w:val="05E17A69"/>
    <w:rsid w:val="05E25CD6"/>
    <w:rsid w:val="05E61363"/>
    <w:rsid w:val="05ED43CD"/>
    <w:rsid w:val="05F74035"/>
    <w:rsid w:val="05F94DCD"/>
    <w:rsid w:val="060044A0"/>
    <w:rsid w:val="06021C23"/>
    <w:rsid w:val="06023C82"/>
    <w:rsid w:val="06084810"/>
    <w:rsid w:val="06084DCB"/>
    <w:rsid w:val="060E19D4"/>
    <w:rsid w:val="061D6E58"/>
    <w:rsid w:val="061F3068"/>
    <w:rsid w:val="06292D3B"/>
    <w:rsid w:val="062E611A"/>
    <w:rsid w:val="0635195A"/>
    <w:rsid w:val="06373007"/>
    <w:rsid w:val="063F4ED6"/>
    <w:rsid w:val="063F6654"/>
    <w:rsid w:val="06490FA7"/>
    <w:rsid w:val="06500E91"/>
    <w:rsid w:val="06511EDF"/>
    <w:rsid w:val="06541037"/>
    <w:rsid w:val="06662232"/>
    <w:rsid w:val="066E1EA3"/>
    <w:rsid w:val="06704836"/>
    <w:rsid w:val="06765EB3"/>
    <w:rsid w:val="06790BC2"/>
    <w:rsid w:val="067B57E2"/>
    <w:rsid w:val="068648B3"/>
    <w:rsid w:val="068B16A8"/>
    <w:rsid w:val="068F128E"/>
    <w:rsid w:val="068F6BE5"/>
    <w:rsid w:val="06930D7E"/>
    <w:rsid w:val="0696261C"/>
    <w:rsid w:val="069D39AB"/>
    <w:rsid w:val="06A833D6"/>
    <w:rsid w:val="06AA3194"/>
    <w:rsid w:val="06AB3BA1"/>
    <w:rsid w:val="06AE0073"/>
    <w:rsid w:val="06AE29D2"/>
    <w:rsid w:val="06AF0701"/>
    <w:rsid w:val="06BD5DFB"/>
    <w:rsid w:val="06BF0DB1"/>
    <w:rsid w:val="06C619F9"/>
    <w:rsid w:val="06C65766"/>
    <w:rsid w:val="06D3561E"/>
    <w:rsid w:val="06D53145"/>
    <w:rsid w:val="06D85DD9"/>
    <w:rsid w:val="06DA075B"/>
    <w:rsid w:val="06E33EC7"/>
    <w:rsid w:val="06E659DC"/>
    <w:rsid w:val="06F105E8"/>
    <w:rsid w:val="06F25AAD"/>
    <w:rsid w:val="06F271F7"/>
    <w:rsid w:val="06F864AE"/>
    <w:rsid w:val="06FB7560"/>
    <w:rsid w:val="06FC76C2"/>
    <w:rsid w:val="0701641F"/>
    <w:rsid w:val="07022FE8"/>
    <w:rsid w:val="070337DF"/>
    <w:rsid w:val="070B4DB8"/>
    <w:rsid w:val="070B6D07"/>
    <w:rsid w:val="071057FA"/>
    <w:rsid w:val="0712270F"/>
    <w:rsid w:val="07133C6D"/>
    <w:rsid w:val="07154A53"/>
    <w:rsid w:val="07176FC1"/>
    <w:rsid w:val="071F1BF8"/>
    <w:rsid w:val="07234ED8"/>
    <w:rsid w:val="072B545A"/>
    <w:rsid w:val="072D0043"/>
    <w:rsid w:val="07341635"/>
    <w:rsid w:val="07416A2C"/>
    <w:rsid w:val="07424A17"/>
    <w:rsid w:val="07447ABB"/>
    <w:rsid w:val="0746614E"/>
    <w:rsid w:val="074E161D"/>
    <w:rsid w:val="074F7223"/>
    <w:rsid w:val="07670DFE"/>
    <w:rsid w:val="077021CF"/>
    <w:rsid w:val="078C7ECA"/>
    <w:rsid w:val="078E4E7A"/>
    <w:rsid w:val="07936AE9"/>
    <w:rsid w:val="07940642"/>
    <w:rsid w:val="079B25E0"/>
    <w:rsid w:val="079C2258"/>
    <w:rsid w:val="079F3753"/>
    <w:rsid w:val="07A019A5"/>
    <w:rsid w:val="07A1396F"/>
    <w:rsid w:val="07A413AE"/>
    <w:rsid w:val="07A74D8A"/>
    <w:rsid w:val="07AB20F7"/>
    <w:rsid w:val="07AB39BB"/>
    <w:rsid w:val="07AD5E6F"/>
    <w:rsid w:val="07B832B0"/>
    <w:rsid w:val="07B835B4"/>
    <w:rsid w:val="07BF737D"/>
    <w:rsid w:val="07C139B2"/>
    <w:rsid w:val="07C820AA"/>
    <w:rsid w:val="07CD61D3"/>
    <w:rsid w:val="07D6305C"/>
    <w:rsid w:val="07D72A82"/>
    <w:rsid w:val="07D72EEC"/>
    <w:rsid w:val="07D7654F"/>
    <w:rsid w:val="07DF23AE"/>
    <w:rsid w:val="07E1772A"/>
    <w:rsid w:val="07E54264"/>
    <w:rsid w:val="07E775D3"/>
    <w:rsid w:val="07E95762"/>
    <w:rsid w:val="07EA4131"/>
    <w:rsid w:val="07EB0E6D"/>
    <w:rsid w:val="07F30183"/>
    <w:rsid w:val="07F846F9"/>
    <w:rsid w:val="07FC75ED"/>
    <w:rsid w:val="08031A3C"/>
    <w:rsid w:val="08036451"/>
    <w:rsid w:val="08066C96"/>
    <w:rsid w:val="0808579C"/>
    <w:rsid w:val="080A1757"/>
    <w:rsid w:val="0812565C"/>
    <w:rsid w:val="081B0B65"/>
    <w:rsid w:val="081B57BD"/>
    <w:rsid w:val="08217978"/>
    <w:rsid w:val="08244374"/>
    <w:rsid w:val="0825128C"/>
    <w:rsid w:val="0826583C"/>
    <w:rsid w:val="08274D71"/>
    <w:rsid w:val="08386799"/>
    <w:rsid w:val="083C39D9"/>
    <w:rsid w:val="084367D4"/>
    <w:rsid w:val="08485B98"/>
    <w:rsid w:val="084C1B44"/>
    <w:rsid w:val="084F33CB"/>
    <w:rsid w:val="084F5307"/>
    <w:rsid w:val="0850455A"/>
    <w:rsid w:val="08545254"/>
    <w:rsid w:val="08580825"/>
    <w:rsid w:val="085A5FF7"/>
    <w:rsid w:val="085D0526"/>
    <w:rsid w:val="085E792F"/>
    <w:rsid w:val="08685313"/>
    <w:rsid w:val="08712654"/>
    <w:rsid w:val="087A0447"/>
    <w:rsid w:val="087A4FBF"/>
    <w:rsid w:val="087B0530"/>
    <w:rsid w:val="08826089"/>
    <w:rsid w:val="088272FC"/>
    <w:rsid w:val="08835998"/>
    <w:rsid w:val="08841E38"/>
    <w:rsid w:val="08862D45"/>
    <w:rsid w:val="088E3EF3"/>
    <w:rsid w:val="08950582"/>
    <w:rsid w:val="089C73B1"/>
    <w:rsid w:val="089F3360"/>
    <w:rsid w:val="08A059D4"/>
    <w:rsid w:val="08A91113"/>
    <w:rsid w:val="08A9139C"/>
    <w:rsid w:val="08AB4062"/>
    <w:rsid w:val="08B3133C"/>
    <w:rsid w:val="08B42391"/>
    <w:rsid w:val="08B7786D"/>
    <w:rsid w:val="08B8130F"/>
    <w:rsid w:val="08C25591"/>
    <w:rsid w:val="08C47696"/>
    <w:rsid w:val="08C80352"/>
    <w:rsid w:val="08CA34D3"/>
    <w:rsid w:val="08CB1D3A"/>
    <w:rsid w:val="08CB3D8E"/>
    <w:rsid w:val="08D235AE"/>
    <w:rsid w:val="08D2712E"/>
    <w:rsid w:val="08D42E56"/>
    <w:rsid w:val="08E20D7A"/>
    <w:rsid w:val="08E225E5"/>
    <w:rsid w:val="08F065A2"/>
    <w:rsid w:val="08F913E5"/>
    <w:rsid w:val="08FA1588"/>
    <w:rsid w:val="08FA7E97"/>
    <w:rsid w:val="08FF20D0"/>
    <w:rsid w:val="09003FD2"/>
    <w:rsid w:val="09061CDB"/>
    <w:rsid w:val="090926C7"/>
    <w:rsid w:val="090D12BC"/>
    <w:rsid w:val="091038C6"/>
    <w:rsid w:val="092404C5"/>
    <w:rsid w:val="092B6D44"/>
    <w:rsid w:val="092F1B09"/>
    <w:rsid w:val="092F6FCD"/>
    <w:rsid w:val="093050A1"/>
    <w:rsid w:val="09305239"/>
    <w:rsid w:val="09322AD0"/>
    <w:rsid w:val="093525C0"/>
    <w:rsid w:val="093A3733"/>
    <w:rsid w:val="093F39B9"/>
    <w:rsid w:val="09445C43"/>
    <w:rsid w:val="094C76B5"/>
    <w:rsid w:val="095567BF"/>
    <w:rsid w:val="095E7175"/>
    <w:rsid w:val="096300E9"/>
    <w:rsid w:val="0967108D"/>
    <w:rsid w:val="096B3E41"/>
    <w:rsid w:val="09714C39"/>
    <w:rsid w:val="09732BED"/>
    <w:rsid w:val="097436F1"/>
    <w:rsid w:val="09750D49"/>
    <w:rsid w:val="09873EF8"/>
    <w:rsid w:val="09960F41"/>
    <w:rsid w:val="09990131"/>
    <w:rsid w:val="09992B4F"/>
    <w:rsid w:val="099B6FD9"/>
    <w:rsid w:val="099E1F14"/>
    <w:rsid w:val="09A10C72"/>
    <w:rsid w:val="09A333BD"/>
    <w:rsid w:val="09AB79F4"/>
    <w:rsid w:val="09AE4BD5"/>
    <w:rsid w:val="09B01C47"/>
    <w:rsid w:val="09B21DDC"/>
    <w:rsid w:val="09B35852"/>
    <w:rsid w:val="09B81C10"/>
    <w:rsid w:val="09C01FBF"/>
    <w:rsid w:val="09C90C9E"/>
    <w:rsid w:val="09CC0A0F"/>
    <w:rsid w:val="09CD45A7"/>
    <w:rsid w:val="09CF031F"/>
    <w:rsid w:val="09D00565"/>
    <w:rsid w:val="09D61653"/>
    <w:rsid w:val="09DB6AD2"/>
    <w:rsid w:val="09DD1BC8"/>
    <w:rsid w:val="09E0077E"/>
    <w:rsid w:val="09E638BB"/>
    <w:rsid w:val="09EB60AF"/>
    <w:rsid w:val="09F02A87"/>
    <w:rsid w:val="09FB08D8"/>
    <w:rsid w:val="0A017EC9"/>
    <w:rsid w:val="0A054415"/>
    <w:rsid w:val="0A057F3C"/>
    <w:rsid w:val="0A075F99"/>
    <w:rsid w:val="0A0E1B0A"/>
    <w:rsid w:val="0A10538C"/>
    <w:rsid w:val="0A113078"/>
    <w:rsid w:val="0A1341F3"/>
    <w:rsid w:val="0A187F18"/>
    <w:rsid w:val="0A272B79"/>
    <w:rsid w:val="0A290389"/>
    <w:rsid w:val="0A2E2D1E"/>
    <w:rsid w:val="0A3525AE"/>
    <w:rsid w:val="0A381A3F"/>
    <w:rsid w:val="0A3B48B9"/>
    <w:rsid w:val="0A3C34DB"/>
    <w:rsid w:val="0A50275C"/>
    <w:rsid w:val="0A506580"/>
    <w:rsid w:val="0A5D3B7D"/>
    <w:rsid w:val="0A5F7613"/>
    <w:rsid w:val="0A65607D"/>
    <w:rsid w:val="0A680E2B"/>
    <w:rsid w:val="0A682522"/>
    <w:rsid w:val="0A692F6B"/>
    <w:rsid w:val="0A6C0264"/>
    <w:rsid w:val="0A6E5D8A"/>
    <w:rsid w:val="0A766BCC"/>
    <w:rsid w:val="0A7E2C47"/>
    <w:rsid w:val="0A8401E3"/>
    <w:rsid w:val="0A8C14B4"/>
    <w:rsid w:val="0A8F3F52"/>
    <w:rsid w:val="0A9617A0"/>
    <w:rsid w:val="0AA43DC8"/>
    <w:rsid w:val="0AAD66B4"/>
    <w:rsid w:val="0AB063A2"/>
    <w:rsid w:val="0ACC0D02"/>
    <w:rsid w:val="0AD72291"/>
    <w:rsid w:val="0AD81C39"/>
    <w:rsid w:val="0AD82F9C"/>
    <w:rsid w:val="0AD906E4"/>
    <w:rsid w:val="0ADE6740"/>
    <w:rsid w:val="0AE100F8"/>
    <w:rsid w:val="0AE54FA1"/>
    <w:rsid w:val="0AE820C8"/>
    <w:rsid w:val="0AEE2EDE"/>
    <w:rsid w:val="0AEE69B6"/>
    <w:rsid w:val="0AEE6ECB"/>
    <w:rsid w:val="0AEF054D"/>
    <w:rsid w:val="0AF54EFB"/>
    <w:rsid w:val="0AFA761E"/>
    <w:rsid w:val="0AFB1231"/>
    <w:rsid w:val="0AFB3B7A"/>
    <w:rsid w:val="0B037879"/>
    <w:rsid w:val="0B076671"/>
    <w:rsid w:val="0B093D05"/>
    <w:rsid w:val="0B0A3FAF"/>
    <w:rsid w:val="0B0B0FC6"/>
    <w:rsid w:val="0B177C5F"/>
    <w:rsid w:val="0B197C79"/>
    <w:rsid w:val="0B1A65E0"/>
    <w:rsid w:val="0B2520EF"/>
    <w:rsid w:val="0B2E0F2D"/>
    <w:rsid w:val="0B324A99"/>
    <w:rsid w:val="0B3D0738"/>
    <w:rsid w:val="0B41524D"/>
    <w:rsid w:val="0B4711D5"/>
    <w:rsid w:val="0B4908C6"/>
    <w:rsid w:val="0B494101"/>
    <w:rsid w:val="0B4E4554"/>
    <w:rsid w:val="0B510EC7"/>
    <w:rsid w:val="0B574D6E"/>
    <w:rsid w:val="0B5D1032"/>
    <w:rsid w:val="0B5E1AC2"/>
    <w:rsid w:val="0B6131F9"/>
    <w:rsid w:val="0B6158EF"/>
    <w:rsid w:val="0B6349BF"/>
    <w:rsid w:val="0B6C7360"/>
    <w:rsid w:val="0B6D45ED"/>
    <w:rsid w:val="0B704EB3"/>
    <w:rsid w:val="0B711D5A"/>
    <w:rsid w:val="0B73117E"/>
    <w:rsid w:val="0B753148"/>
    <w:rsid w:val="0B76644E"/>
    <w:rsid w:val="0B8157A2"/>
    <w:rsid w:val="0B8B7BA7"/>
    <w:rsid w:val="0B912AC0"/>
    <w:rsid w:val="0B935FBC"/>
    <w:rsid w:val="0B9848F3"/>
    <w:rsid w:val="0BA36AF5"/>
    <w:rsid w:val="0BA56A3C"/>
    <w:rsid w:val="0BA852CC"/>
    <w:rsid w:val="0BB738F6"/>
    <w:rsid w:val="0BC324DF"/>
    <w:rsid w:val="0BC55E7E"/>
    <w:rsid w:val="0BC75351"/>
    <w:rsid w:val="0BCD088E"/>
    <w:rsid w:val="0BCD18C8"/>
    <w:rsid w:val="0BDA7FDF"/>
    <w:rsid w:val="0BDF2148"/>
    <w:rsid w:val="0BE00FEC"/>
    <w:rsid w:val="0BF64075"/>
    <w:rsid w:val="0BFA3F90"/>
    <w:rsid w:val="0BFF457D"/>
    <w:rsid w:val="0C003EE3"/>
    <w:rsid w:val="0C0A3209"/>
    <w:rsid w:val="0C1C1816"/>
    <w:rsid w:val="0C210BDA"/>
    <w:rsid w:val="0C252478"/>
    <w:rsid w:val="0C254F07"/>
    <w:rsid w:val="0C344DB1"/>
    <w:rsid w:val="0C380BE4"/>
    <w:rsid w:val="0C3E0055"/>
    <w:rsid w:val="0C44180B"/>
    <w:rsid w:val="0C49750C"/>
    <w:rsid w:val="0C5D426A"/>
    <w:rsid w:val="0C676F35"/>
    <w:rsid w:val="0C682DB5"/>
    <w:rsid w:val="0C727688"/>
    <w:rsid w:val="0C742E66"/>
    <w:rsid w:val="0C752DEE"/>
    <w:rsid w:val="0C822209"/>
    <w:rsid w:val="0C911E7B"/>
    <w:rsid w:val="0C992E66"/>
    <w:rsid w:val="0C9C32A7"/>
    <w:rsid w:val="0C9C64B3"/>
    <w:rsid w:val="0C9E7A71"/>
    <w:rsid w:val="0CA116FD"/>
    <w:rsid w:val="0CAD0AD3"/>
    <w:rsid w:val="0CAF268A"/>
    <w:rsid w:val="0CB030D4"/>
    <w:rsid w:val="0CB3217A"/>
    <w:rsid w:val="0CBD45C2"/>
    <w:rsid w:val="0CC07278"/>
    <w:rsid w:val="0CC15CA8"/>
    <w:rsid w:val="0CC17815"/>
    <w:rsid w:val="0CC17C52"/>
    <w:rsid w:val="0CC4270B"/>
    <w:rsid w:val="0CC62C96"/>
    <w:rsid w:val="0CC917D9"/>
    <w:rsid w:val="0CCA4628"/>
    <w:rsid w:val="0CCA74C4"/>
    <w:rsid w:val="0CD32D88"/>
    <w:rsid w:val="0CD37595"/>
    <w:rsid w:val="0CD65E68"/>
    <w:rsid w:val="0CD679BD"/>
    <w:rsid w:val="0CDE4E57"/>
    <w:rsid w:val="0CDF2F6F"/>
    <w:rsid w:val="0CE1105E"/>
    <w:rsid w:val="0CE62DDE"/>
    <w:rsid w:val="0CED7EF3"/>
    <w:rsid w:val="0CEF2A86"/>
    <w:rsid w:val="0CF2451C"/>
    <w:rsid w:val="0CF63E15"/>
    <w:rsid w:val="0D021921"/>
    <w:rsid w:val="0D051949"/>
    <w:rsid w:val="0D062A3C"/>
    <w:rsid w:val="0D065EB8"/>
    <w:rsid w:val="0D0753D1"/>
    <w:rsid w:val="0D0A2BEA"/>
    <w:rsid w:val="0D0C3638"/>
    <w:rsid w:val="0D1129FD"/>
    <w:rsid w:val="0D153D97"/>
    <w:rsid w:val="0D15598B"/>
    <w:rsid w:val="0D1628D9"/>
    <w:rsid w:val="0D180002"/>
    <w:rsid w:val="0D1E24FA"/>
    <w:rsid w:val="0D25786F"/>
    <w:rsid w:val="0D270620"/>
    <w:rsid w:val="0D271798"/>
    <w:rsid w:val="0D295F98"/>
    <w:rsid w:val="0D2C42DE"/>
    <w:rsid w:val="0D3207C7"/>
    <w:rsid w:val="0D352B8F"/>
    <w:rsid w:val="0D4574E8"/>
    <w:rsid w:val="0D4F04FA"/>
    <w:rsid w:val="0D501777"/>
    <w:rsid w:val="0D52312C"/>
    <w:rsid w:val="0D5D72D0"/>
    <w:rsid w:val="0D646BE9"/>
    <w:rsid w:val="0D690A8B"/>
    <w:rsid w:val="0D6A6DA9"/>
    <w:rsid w:val="0D6E006D"/>
    <w:rsid w:val="0D6E60A1"/>
    <w:rsid w:val="0D6E7E4F"/>
    <w:rsid w:val="0D701E19"/>
    <w:rsid w:val="0D73531D"/>
    <w:rsid w:val="0D744827"/>
    <w:rsid w:val="0D7511DD"/>
    <w:rsid w:val="0D756C81"/>
    <w:rsid w:val="0D7F205C"/>
    <w:rsid w:val="0D883C4C"/>
    <w:rsid w:val="0D8C237B"/>
    <w:rsid w:val="0D95362E"/>
    <w:rsid w:val="0D9A01F3"/>
    <w:rsid w:val="0D9F37F2"/>
    <w:rsid w:val="0DA10F9C"/>
    <w:rsid w:val="0DA442E1"/>
    <w:rsid w:val="0DBE0DD6"/>
    <w:rsid w:val="0DC664BC"/>
    <w:rsid w:val="0DD028B8"/>
    <w:rsid w:val="0DDB70DA"/>
    <w:rsid w:val="0DDE26E1"/>
    <w:rsid w:val="0DEB3CF9"/>
    <w:rsid w:val="0DEB5944"/>
    <w:rsid w:val="0DED346A"/>
    <w:rsid w:val="0DEF32DD"/>
    <w:rsid w:val="0DF3408A"/>
    <w:rsid w:val="0DF418E9"/>
    <w:rsid w:val="0DF732B0"/>
    <w:rsid w:val="0E034B42"/>
    <w:rsid w:val="0E076439"/>
    <w:rsid w:val="0E0B11FA"/>
    <w:rsid w:val="0E163F22"/>
    <w:rsid w:val="0E1A2A75"/>
    <w:rsid w:val="0E1A4FFE"/>
    <w:rsid w:val="0E1E0E57"/>
    <w:rsid w:val="0E286250"/>
    <w:rsid w:val="0E2E0E4E"/>
    <w:rsid w:val="0E3015A8"/>
    <w:rsid w:val="0E3A1911"/>
    <w:rsid w:val="0E3E23C2"/>
    <w:rsid w:val="0E433C09"/>
    <w:rsid w:val="0E456E02"/>
    <w:rsid w:val="0E4C5AFC"/>
    <w:rsid w:val="0E4C6C96"/>
    <w:rsid w:val="0E4D5FAE"/>
    <w:rsid w:val="0E625C06"/>
    <w:rsid w:val="0E635D43"/>
    <w:rsid w:val="0E7B66BB"/>
    <w:rsid w:val="0E7D386D"/>
    <w:rsid w:val="0E835F5E"/>
    <w:rsid w:val="0E8C4A31"/>
    <w:rsid w:val="0E90420D"/>
    <w:rsid w:val="0E9D5645"/>
    <w:rsid w:val="0EA578A0"/>
    <w:rsid w:val="0EAC1DBE"/>
    <w:rsid w:val="0EB21A94"/>
    <w:rsid w:val="0EB600FB"/>
    <w:rsid w:val="0EBC26D6"/>
    <w:rsid w:val="0EBE0962"/>
    <w:rsid w:val="0EBE4368"/>
    <w:rsid w:val="0EBF433E"/>
    <w:rsid w:val="0EC10BC1"/>
    <w:rsid w:val="0ECD09CD"/>
    <w:rsid w:val="0ED26F75"/>
    <w:rsid w:val="0ED27A26"/>
    <w:rsid w:val="0ED27D1E"/>
    <w:rsid w:val="0EE91E83"/>
    <w:rsid w:val="0EE95F3F"/>
    <w:rsid w:val="0EED03E6"/>
    <w:rsid w:val="0EEE0F81"/>
    <w:rsid w:val="0EF94CC5"/>
    <w:rsid w:val="0F1208E0"/>
    <w:rsid w:val="0F19203C"/>
    <w:rsid w:val="0F2031F8"/>
    <w:rsid w:val="0F2033CB"/>
    <w:rsid w:val="0F227143"/>
    <w:rsid w:val="0F334EAC"/>
    <w:rsid w:val="0F3550C8"/>
    <w:rsid w:val="0F363986"/>
    <w:rsid w:val="0F390677"/>
    <w:rsid w:val="0F410916"/>
    <w:rsid w:val="0F5441BB"/>
    <w:rsid w:val="0F5512C6"/>
    <w:rsid w:val="0F561981"/>
    <w:rsid w:val="0F5D017B"/>
    <w:rsid w:val="0F5F0642"/>
    <w:rsid w:val="0F6A69DA"/>
    <w:rsid w:val="0F713C26"/>
    <w:rsid w:val="0F7A6F7F"/>
    <w:rsid w:val="0F7C24AA"/>
    <w:rsid w:val="0F7E74C8"/>
    <w:rsid w:val="0F800B80"/>
    <w:rsid w:val="0F803E6A"/>
    <w:rsid w:val="0F83228E"/>
    <w:rsid w:val="0F8A6A96"/>
    <w:rsid w:val="0F8B6A48"/>
    <w:rsid w:val="0F8D27DC"/>
    <w:rsid w:val="0F8D47D6"/>
    <w:rsid w:val="0F8E6586"/>
    <w:rsid w:val="0F9D429A"/>
    <w:rsid w:val="0FA1275E"/>
    <w:rsid w:val="0FA56C54"/>
    <w:rsid w:val="0FAC739F"/>
    <w:rsid w:val="0FB06DB3"/>
    <w:rsid w:val="0FB54219"/>
    <w:rsid w:val="0FB97EAE"/>
    <w:rsid w:val="0FBA6877"/>
    <w:rsid w:val="0FBB0301"/>
    <w:rsid w:val="0FBF6BD6"/>
    <w:rsid w:val="0FC30ED9"/>
    <w:rsid w:val="0FCD3553"/>
    <w:rsid w:val="0FCD5369"/>
    <w:rsid w:val="0FD10C10"/>
    <w:rsid w:val="0FD35A29"/>
    <w:rsid w:val="0FDF2B03"/>
    <w:rsid w:val="0FDF5034"/>
    <w:rsid w:val="0FE35C25"/>
    <w:rsid w:val="0FE80FB7"/>
    <w:rsid w:val="0FEF1FD3"/>
    <w:rsid w:val="0FFA3C1C"/>
    <w:rsid w:val="0FFF7484"/>
    <w:rsid w:val="100030EB"/>
    <w:rsid w:val="10033834"/>
    <w:rsid w:val="100446DF"/>
    <w:rsid w:val="100F5919"/>
    <w:rsid w:val="10101691"/>
    <w:rsid w:val="10132AE3"/>
    <w:rsid w:val="10142978"/>
    <w:rsid w:val="101C0036"/>
    <w:rsid w:val="101E4C86"/>
    <w:rsid w:val="101F18D4"/>
    <w:rsid w:val="102760C7"/>
    <w:rsid w:val="102C6A89"/>
    <w:rsid w:val="102F4630"/>
    <w:rsid w:val="103E3CA8"/>
    <w:rsid w:val="103E61FE"/>
    <w:rsid w:val="10402B5A"/>
    <w:rsid w:val="10444FAD"/>
    <w:rsid w:val="1052083D"/>
    <w:rsid w:val="10587CDD"/>
    <w:rsid w:val="105A0491"/>
    <w:rsid w:val="105A290D"/>
    <w:rsid w:val="10607B05"/>
    <w:rsid w:val="106A6FF4"/>
    <w:rsid w:val="106E7252"/>
    <w:rsid w:val="10701822"/>
    <w:rsid w:val="107026E9"/>
    <w:rsid w:val="10731EA3"/>
    <w:rsid w:val="107D43E9"/>
    <w:rsid w:val="10806817"/>
    <w:rsid w:val="108B76EB"/>
    <w:rsid w:val="109B71AD"/>
    <w:rsid w:val="10AA37FD"/>
    <w:rsid w:val="10B41CDF"/>
    <w:rsid w:val="10B66BC9"/>
    <w:rsid w:val="10B67B93"/>
    <w:rsid w:val="10B71B0D"/>
    <w:rsid w:val="10B8096B"/>
    <w:rsid w:val="10B90219"/>
    <w:rsid w:val="10B96CC9"/>
    <w:rsid w:val="10BD2BF4"/>
    <w:rsid w:val="10C44237"/>
    <w:rsid w:val="10CC1FC5"/>
    <w:rsid w:val="10D5027A"/>
    <w:rsid w:val="10F13271"/>
    <w:rsid w:val="10F240BA"/>
    <w:rsid w:val="10F874E4"/>
    <w:rsid w:val="10FB396F"/>
    <w:rsid w:val="110A553C"/>
    <w:rsid w:val="110F36F7"/>
    <w:rsid w:val="110F6BA1"/>
    <w:rsid w:val="11104E9C"/>
    <w:rsid w:val="11116044"/>
    <w:rsid w:val="11134FB7"/>
    <w:rsid w:val="11196324"/>
    <w:rsid w:val="1122342A"/>
    <w:rsid w:val="112A6F67"/>
    <w:rsid w:val="112C7A85"/>
    <w:rsid w:val="112C7DF0"/>
    <w:rsid w:val="112D6EFE"/>
    <w:rsid w:val="112E0021"/>
    <w:rsid w:val="112F1315"/>
    <w:rsid w:val="11384F52"/>
    <w:rsid w:val="113E090C"/>
    <w:rsid w:val="11404FFF"/>
    <w:rsid w:val="1145536B"/>
    <w:rsid w:val="114A1BBA"/>
    <w:rsid w:val="11516297"/>
    <w:rsid w:val="115708DB"/>
    <w:rsid w:val="115C00D7"/>
    <w:rsid w:val="116203FE"/>
    <w:rsid w:val="11642BE0"/>
    <w:rsid w:val="11692E07"/>
    <w:rsid w:val="116D725F"/>
    <w:rsid w:val="11757EEE"/>
    <w:rsid w:val="117A7C69"/>
    <w:rsid w:val="117E43EC"/>
    <w:rsid w:val="11812847"/>
    <w:rsid w:val="11844B5F"/>
    <w:rsid w:val="11857388"/>
    <w:rsid w:val="118B2F30"/>
    <w:rsid w:val="118C2781"/>
    <w:rsid w:val="118D50D6"/>
    <w:rsid w:val="11991E1B"/>
    <w:rsid w:val="119E3805"/>
    <w:rsid w:val="11A65EF9"/>
    <w:rsid w:val="11A75163"/>
    <w:rsid w:val="11B60016"/>
    <w:rsid w:val="11BC7F56"/>
    <w:rsid w:val="11CD7FE3"/>
    <w:rsid w:val="11D306DE"/>
    <w:rsid w:val="11D842E9"/>
    <w:rsid w:val="11D97709"/>
    <w:rsid w:val="11DA36A8"/>
    <w:rsid w:val="11DC3DCD"/>
    <w:rsid w:val="11DC5317"/>
    <w:rsid w:val="11DE3411"/>
    <w:rsid w:val="11E8678B"/>
    <w:rsid w:val="11EE5453"/>
    <w:rsid w:val="11F07FC5"/>
    <w:rsid w:val="11F61489"/>
    <w:rsid w:val="11FA7F03"/>
    <w:rsid w:val="12053745"/>
    <w:rsid w:val="12062D4C"/>
    <w:rsid w:val="1209283C"/>
    <w:rsid w:val="12157764"/>
    <w:rsid w:val="12176D07"/>
    <w:rsid w:val="121D1E44"/>
    <w:rsid w:val="12252B65"/>
    <w:rsid w:val="12291BED"/>
    <w:rsid w:val="122E0D67"/>
    <w:rsid w:val="122F22A3"/>
    <w:rsid w:val="12364B98"/>
    <w:rsid w:val="123A0C48"/>
    <w:rsid w:val="123F1EBF"/>
    <w:rsid w:val="124A35F2"/>
    <w:rsid w:val="124D7972"/>
    <w:rsid w:val="124F64A1"/>
    <w:rsid w:val="12570193"/>
    <w:rsid w:val="125A6232"/>
    <w:rsid w:val="12653F39"/>
    <w:rsid w:val="12673730"/>
    <w:rsid w:val="126B32F7"/>
    <w:rsid w:val="126F6D64"/>
    <w:rsid w:val="127260FC"/>
    <w:rsid w:val="127D74D5"/>
    <w:rsid w:val="127E6D86"/>
    <w:rsid w:val="1285717F"/>
    <w:rsid w:val="128807D2"/>
    <w:rsid w:val="1288550F"/>
    <w:rsid w:val="128A05F2"/>
    <w:rsid w:val="128D618E"/>
    <w:rsid w:val="129B0715"/>
    <w:rsid w:val="129B0930"/>
    <w:rsid w:val="12A01831"/>
    <w:rsid w:val="12A75A70"/>
    <w:rsid w:val="12A85BB1"/>
    <w:rsid w:val="12AA4741"/>
    <w:rsid w:val="12AE17A3"/>
    <w:rsid w:val="12B1710A"/>
    <w:rsid w:val="12B333AB"/>
    <w:rsid w:val="12B35891"/>
    <w:rsid w:val="12BA1E53"/>
    <w:rsid w:val="12BA7C1F"/>
    <w:rsid w:val="12BF3EDA"/>
    <w:rsid w:val="12C01CF1"/>
    <w:rsid w:val="12CD4BAE"/>
    <w:rsid w:val="12CF2A35"/>
    <w:rsid w:val="12CF72F0"/>
    <w:rsid w:val="12D746E8"/>
    <w:rsid w:val="12D9220E"/>
    <w:rsid w:val="12DC35F7"/>
    <w:rsid w:val="12E017EF"/>
    <w:rsid w:val="12EF7170"/>
    <w:rsid w:val="12F15453"/>
    <w:rsid w:val="12F2507E"/>
    <w:rsid w:val="12F66B21"/>
    <w:rsid w:val="12FE7B0A"/>
    <w:rsid w:val="12FF4CC4"/>
    <w:rsid w:val="1305690E"/>
    <w:rsid w:val="13085B4B"/>
    <w:rsid w:val="130B54F4"/>
    <w:rsid w:val="130D4090"/>
    <w:rsid w:val="13111B1B"/>
    <w:rsid w:val="131507D3"/>
    <w:rsid w:val="131C67EC"/>
    <w:rsid w:val="132330E7"/>
    <w:rsid w:val="13277FF4"/>
    <w:rsid w:val="132A7B46"/>
    <w:rsid w:val="13313C85"/>
    <w:rsid w:val="133C6965"/>
    <w:rsid w:val="13497394"/>
    <w:rsid w:val="134F7B21"/>
    <w:rsid w:val="13544B6A"/>
    <w:rsid w:val="1367371E"/>
    <w:rsid w:val="136C7D4D"/>
    <w:rsid w:val="13716203"/>
    <w:rsid w:val="1376760D"/>
    <w:rsid w:val="137B36E9"/>
    <w:rsid w:val="137D3871"/>
    <w:rsid w:val="13806AD7"/>
    <w:rsid w:val="13863494"/>
    <w:rsid w:val="138C7281"/>
    <w:rsid w:val="13901FBE"/>
    <w:rsid w:val="13906D71"/>
    <w:rsid w:val="139A7CE0"/>
    <w:rsid w:val="139E0D62"/>
    <w:rsid w:val="139F4EE3"/>
    <w:rsid w:val="13B42C58"/>
    <w:rsid w:val="13B76BA2"/>
    <w:rsid w:val="13B87D60"/>
    <w:rsid w:val="13CC67DF"/>
    <w:rsid w:val="13D23D2F"/>
    <w:rsid w:val="13D34EB0"/>
    <w:rsid w:val="13DD188A"/>
    <w:rsid w:val="13DE22BD"/>
    <w:rsid w:val="13EF1B85"/>
    <w:rsid w:val="13F30CE2"/>
    <w:rsid w:val="13F35552"/>
    <w:rsid w:val="13FA068E"/>
    <w:rsid w:val="13FD57AB"/>
    <w:rsid w:val="1401138E"/>
    <w:rsid w:val="140158FC"/>
    <w:rsid w:val="14045069"/>
    <w:rsid w:val="14052375"/>
    <w:rsid w:val="140E0083"/>
    <w:rsid w:val="14184FB8"/>
    <w:rsid w:val="141D4B61"/>
    <w:rsid w:val="142138F7"/>
    <w:rsid w:val="142C5DFB"/>
    <w:rsid w:val="14301281"/>
    <w:rsid w:val="143309DE"/>
    <w:rsid w:val="14376940"/>
    <w:rsid w:val="144638D4"/>
    <w:rsid w:val="144A5A37"/>
    <w:rsid w:val="144E0F46"/>
    <w:rsid w:val="14515DD5"/>
    <w:rsid w:val="14557210"/>
    <w:rsid w:val="14626532"/>
    <w:rsid w:val="14645078"/>
    <w:rsid w:val="146975C2"/>
    <w:rsid w:val="146E386F"/>
    <w:rsid w:val="147A1067"/>
    <w:rsid w:val="147D6BCA"/>
    <w:rsid w:val="147F6DE6"/>
    <w:rsid w:val="148D63AE"/>
    <w:rsid w:val="149209A4"/>
    <w:rsid w:val="14950344"/>
    <w:rsid w:val="149B6B6A"/>
    <w:rsid w:val="149C1746"/>
    <w:rsid w:val="149C2240"/>
    <w:rsid w:val="14A12D99"/>
    <w:rsid w:val="14A53592"/>
    <w:rsid w:val="14A8188C"/>
    <w:rsid w:val="14AD5701"/>
    <w:rsid w:val="14B051F1"/>
    <w:rsid w:val="14B64C8E"/>
    <w:rsid w:val="14C01DB8"/>
    <w:rsid w:val="14C11485"/>
    <w:rsid w:val="14C5751E"/>
    <w:rsid w:val="14C600EB"/>
    <w:rsid w:val="14CE3B89"/>
    <w:rsid w:val="14D26F15"/>
    <w:rsid w:val="14D30DA0"/>
    <w:rsid w:val="14D40218"/>
    <w:rsid w:val="14E01018"/>
    <w:rsid w:val="14ED484E"/>
    <w:rsid w:val="14F05A03"/>
    <w:rsid w:val="14F4650D"/>
    <w:rsid w:val="14F670A8"/>
    <w:rsid w:val="14FA03E6"/>
    <w:rsid w:val="14FE41AE"/>
    <w:rsid w:val="15001CD4"/>
    <w:rsid w:val="15022ED8"/>
    <w:rsid w:val="150345D0"/>
    <w:rsid w:val="15082475"/>
    <w:rsid w:val="150E5355"/>
    <w:rsid w:val="150F32B8"/>
    <w:rsid w:val="150F4598"/>
    <w:rsid w:val="1512652D"/>
    <w:rsid w:val="151406FC"/>
    <w:rsid w:val="151702A5"/>
    <w:rsid w:val="15175DE3"/>
    <w:rsid w:val="15285979"/>
    <w:rsid w:val="152911A5"/>
    <w:rsid w:val="152B6A56"/>
    <w:rsid w:val="153A1682"/>
    <w:rsid w:val="153E45AB"/>
    <w:rsid w:val="15426280"/>
    <w:rsid w:val="15473317"/>
    <w:rsid w:val="15511622"/>
    <w:rsid w:val="15521690"/>
    <w:rsid w:val="155D6037"/>
    <w:rsid w:val="155F4C89"/>
    <w:rsid w:val="15640338"/>
    <w:rsid w:val="1567237C"/>
    <w:rsid w:val="156A35F2"/>
    <w:rsid w:val="156F203E"/>
    <w:rsid w:val="15704A83"/>
    <w:rsid w:val="15727818"/>
    <w:rsid w:val="157E7AEC"/>
    <w:rsid w:val="15820E0E"/>
    <w:rsid w:val="158333AF"/>
    <w:rsid w:val="15856079"/>
    <w:rsid w:val="158E065E"/>
    <w:rsid w:val="158E1C47"/>
    <w:rsid w:val="1594066F"/>
    <w:rsid w:val="15966195"/>
    <w:rsid w:val="159A2FBB"/>
    <w:rsid w:val="159A517C"/>
    <w:rsid w:val="15A21952"/>
    <w:rsid w:val="15A316D4"/>
    <w:rsid w:val="15A959CF"/>
    <w:rsid w:val="15AB6757"/>
    <w:rsid w:val="15B361DE"/>
    <w:rsid w:val="15B50F51"/>
    <w:rsid w:val="15B66837"/>
    <w:rsid w:val="15BC1FAF"/>
    <w:rsid w:val="15BD0FF3"/>
    <w:rsid w:val="15C54E34"/>
    <w:rsid w:val="15CB0A65"/>
    <w:rsid w:val="15CB1A2F"/>
    <w:rsid w:val="15D72532"/>
    <w:rsid w:val="15D97C62"/>
    <w:rsid w:val="15E0481E"/>
    <w:rsid w:val="15E37FD3"/>
    <w:rsid w:val="15EA0E76"/>
    <w:rsid w:val="15F1161D"/>
    <w:rsid w:val="15FD7FC2"/>
    <w:rsid w:val="1601265C"/>
    <w:rsid w:val="16040B84"/>
    <w:rsid w:val="160B6B83"/>
    <w:rsid w:val="161D586D"/>
    <w:rsid w:val="161F35E0"/>
    <w:rsid w:val="161F409A"/>
    <w:rsid w:val="16203543"/>
    <w:rsid w:val="162C08A7"/>
    <w:rsid w:val="163119CE"/>
    <w:rsid w:val="163A5B6F"/>
    <w:rsid w:val="163C6D3C"/>
    <w:rsid w:val="16406AF0"/>
    <w:rsid w:val="164200CB"/>
    <w:rsid w:val="164B51D1"/>
    <w:rsid w:val="164E394A"/>
    <w:rsid w:val="16556050"/>
    <w:rsid w:val="16564333"/>
    <w:rsid w:val="16591A2D"/>
    <w:rsid w:val="1668553E"/>
    <w:rsid w:val="166A67DA"/>
    <w:rsid w:val="166F5EEF"/>
    <w:rsid w:val="167023FF"/>
    <w:rsid w:val="16774218"/>
    <w:rsid w:val="168309CB"/>
    <w:rsid w:val="168A26BC"/>
    <w:rsid w:val="168C10F2"/>
    <w:rsid w:val="16930FED"/>
    <w:rsid w:val="16991D9B"/>
    <w:rsid w:val="169C639C"/>
    <w:rsid w:val="169C77DB"/>
    <w:rsid w:val="16A20B69"/>
    <w:rsid w:val="16A502D0"/>
    <w:rsid w:val="16AC125D"/>
    <w:rsid w:val="16B261D6"/>
    <w:rsid w:val="16BD44B8"/>
    <w:rsid w:val="16BF6D46"/>
    <w:rsid w:val="16C25EDB"/>
    <w:rsid w:val="16CA15E2"/>
    <w:rsid w:val="16CF1E5C"/>
    <w:rsid w:val="16D0184C"/>
    <w:rsid w:val="16D86AF3"/>
    <w:rsid w:val="16E309FA"/>
    <w:rsid w:val="16E87EB1"/>
    <w:rsid w:val="16F12BB1"/>
    <w:rsid w:val="16F2777A"/>
    <w:rsid w:val="16FA3135"/>
    <w:rsid w:val="16FF7D6A"/>
    <w:rsid w:val="17090292"/>
    <w:rsid w:val="1710077C"/>
    <w:rsid w:val="17143815"/>
    <w:rsid w:val="17165A8F"/>
    <w:rsid w:val="17196183"/>
    <w:rsid w:val="171C4D7B"/>
    <w:rsid w:val="171E357C"/>
    <w:rsid w:val="172B1987"/>
    <w:rsid w:val="17424CA8"/>
    <w:rsid w:val="174F0D0F"/>
    <w:rsid w:val="1754587C"/>
    <w:rsid w:val="176435AF"/>
    <w:rsid w:val="176C468E"/>
    <w:rsid w:val="17731092"/>
    <w:rsid w:val="17826889"/>
    <w:rsid w:val="17874176"/>
    <w:rsid w:val="17895B6D"/>
    <w:rsid w:val="178B7795"/>
    <w:rsid w:val="17957055"/>
    <w:rsid w:val="1796247C"/>
    <w:rsid w:val="17A367A4"/>
    <w:rsid w:val="17A43BED"/>
    <w:rsid w:val="17A64281"/>
    <w:rsid w:val="17A80401"/>
    <w:rsid w:val="17AB6075"/>
    <w:rsid w:val="17B40B54"/>
    <w:rsid w:val="17B51AA3"/>
    <w:rsid w:val="17B521EA"/>
    <w:rsid w:val="17BC5D71"/>
    <w:rsid w:val="17C729BC"/>
    <w:rsid w:val="17C84DD7"/>
    <w:rsid w:val="17CA0EC3"/>
    <w:rsid w:val="17D140B8"/>
    <w:rsid w:val="17D32FA5"/>
    <w:rsid w:val="17E520D8"/>
    <w:rsid w:val="17E779F5"/>
    <w:rsid w:val="17ED5DF9"/>
    <w:rsid w:val="17EE50C0"/>
    <w:rsid w:val="17F6707C"/>
    <w:rsid w:val="17FC737D"/>
    <w:rsid w:val="1804308A"/>
    <w:rsid w:val="18076058"/>
    <w:rsid w:val="180A31F3"/>
    <w:rsid w:val="18101B13"/>
    <w:rsid w:val="18115297"/>
    <w:rsid w:val="18131D1F"/>
    <w:rsid w:val="1815425A"/>
    <w:rsid w:val="18225A6D"/>
    <w:rsid w:val="182C2745"/>
    <w:rsid w:val="182D12DD"/>
    <w:rsid w:val="182E2C26"/>
    <w:rsid w:val="18351218"/>
    <w:rsid w:val="18377B03"/>
    <w:rsid w:val="183813D4"/>
    <w:rsid w:val="183A5435"/>
    <w:rsid w:val="1840063A"/>
    <w:rsid w:val="18462DF9"/>
    <w:rsid w:val="184C491F"/>
    <w:rsid w:val="184E71FB"/>
    <w:rsid w:val="185E1A61"/>
    <w:rsid w:val="185F7A70"/>
    <w:rsid w:val="18607A0B"/>
    <w:rsid w:val="18660ABD"/>
    <w:rsid w:val="1867505D"/>
    <w:rsid w:val="18716994"/>
    <w:rsid w:val="18775C69"/>
    <w:rsid w:val="18786C7D"/>
    <w:rsid w:val="187B091F"/>
    <w:rsid w:val="187D363C"/>
    <w:rsid w:val="187E6574"/>
    <w:rsid w:val="188574E5"/>
    <w:rsid w:val="188855CA"/>
    <w:rsid w:val="188E75F7"/>
    <w:rsid w:val="18910E95"/>
    <w:rsid w:val="189310B2"/>
    <w:rsid w:val="18940F68"/>
    <w:rsid w:val="189A5F9C"/>
    <w:rsid w:val="189E3CDE"/>
    <w:rsid w:val="18A07CAB"/>
    <w:rsid w:val="18AA2C88"/>
    <w:rsid w:val="18B12B41"/>
    <w:rsid w:val="18B43502"/>
    <w:rsid w:val="18B50489"/>
    <w:rsid w:val="18B73122"/>
    <w:rsid w:val="18B90B18"/>
    <w:rsid w:val="18BE2746"/>
    <w:rsid w:val="18C82BDD"/>
    <w:rsid w:val="18C9361E"/>
    <w:rsid w:val="18CA2E04"/>
    <w:rsid w:val="18CA596E"/>
    <w:rsid w:val="18D314AE"/>
    <w:rsid w:val="18D712BE"/>
    <w:rsid w:val="18DA45EA"/>
    <w:rsid w:val="18DD6C9F"/>
    <w:rsid w:val="18E30057"/>
    <w:rsid w:val="18E447FF"/>
    <w:rsid w:val="18E45469"/>
    <w:rsid w:val="18ED4334"/>
    <w:rsid w:val="18EE62E8"/>
    <w:rsid w:val="18F36E6F"/>
    <w:rsid w:val="18F9232B"/>
    <w:rsid w:val="18FA2EDF"/>
    <w:rsid w:val="18FB5440"/>
    <w:rsid w:val="19056A67"/>
    <w:rsid w:val="19080281"/>
    <w:rsid w:val="190B2632"/>
    <w:rsid w:val="190B2D72"/>
    <w:rsid w:val="190E1F8C"/>
    <w:rsid w:val="19157D18"/>
    <w:rsid w:val="192B3098"/>
    <w:rsid w:val="192E1954"/>
    <w:rsid w:val="192F6F1F"/>
    <w:rsid w:val="192F70D4"/>
    <w:rsid w:val="19385377"/>
    <w:rsid w:val="193A32DB"/>
    <w:rsid w:val="193B398E"/>
    <w:rsid w:val="19420BA9"/>
    <w:rsid w:val="19433422"/>
    <w:rsid w:val="19497D53"/>
    <w:rsid w:val="194B43FA"/>
    <w:rsid w:val="19516FA3"/>
    <w:rsid w:val="1951726B"/>
    <w:rsid w:val="19561BB8"/>
    <w:rsid w:val="19610321"/>
    <w:rsid w:val="19612842"/>
    <w:rsid w:val="19620090"/>
    <w:rsid w:val="19621BDB"/>
    <w:rsid w:val="19623716"/>
    <w:rsid w:val="196A103C"/>
    <w:rsid w:val="196B4771"/>
    <w:rsid w:val="1974331B"/>
    <w:rsid w:val="197D4D53"/>
    <w:rsid w:val="197D7D98"/>
    <w:rsid w:val="198561B8"/>
    <w:rsid w:val="198B5FD7"/>
    <w:rsid w:val="198E6518"/>
    <w:rsid w:val="19A1051E"/>
    <w:rsid w:val="19A223C6"/>
    <w:rsid w:val="19A22731"/>
    <w:rsid w:val="19A6160E"/>
    <w:rsid w:val="19AA0461"/>
    <w:rsid w:val="19AF1F1B"/>
    <w:rsid w:val="19B457BE"/>
    <w:rsid w:val="19BA161A"/>
    <w:rsid w:val="19BC3174"/>
    <w:rsid w:val="19C23053"/>
    <w:rsid w:val="19C41002"/>
    <w:rsid w:val="19C5236C"/>
    <w:rsid w:val="19CE793C"/>
    <w:rsid w:val="19D0232C"/>
    <w:rsid w:val="19D92AF4"/>
    <w:rsid w:val="19E420C7"/>
    <w:rsid w:val="19E547DC"/>
    <w:rsid w:val="19F142E2"/>
    <w:rsid w:val="19F53DD2"/>
    <w:rsid w:val="19F56F86"/>
    <w:rsid w:val="19F9397A"/>
    <w:rsid w:val="19FA7B06"/>
    <w:rsid w:val="1A0329EF"/>
    <w:rsid w:val="1A0359B2"/>
    <w:rsid w:val="1A0758B3"/>
    <w:rsid w:val="1A0A0C58"/>
    <w:rsid w:val="1A1324AA"/>
    <w:rsid w:val="1A147FD0"/>
    <w:rsid w:val="1A166F21"/>
    <w:rsid w:val="1A1678A4"/>
    <w:rsid w:val="1A1D06F2"/>
    <w:rsid w:val="1A2039F3"/>
    <w:rsid w:val="1A293A7B"/>
    <w:rsid w:val="1A2C70C8"/>
    <w:rsid w:val="1A2E0D57"/>
    <w:rsid w:val="1A3648C5"/>
    <w:rsid w:val="1A366198"/>
    <w:rsid w:val="1A3F329F"/>
    <w:rsid w:val="1A42491C"/>
    <w:rsid w:val="1A444411"/>
    <w:rsid w:val="1A444C1F"/>
    <w:rsid w:val="1A4962F0"/>
    <w:rsid w:val="1A4B3138"/>
    <w:rsid w:val="1A516B2E"/>
    <w:rsid w:val="1A5C6727"/>
    <w:rsid w:val="1A644484"/>
    <w:rsid w:val="1A663D17"/>
    <w:rsid w:val="1A6A4C5B"/>
    <w:rsid w:val="1A7C35A3"/>
    <w:rsid w:val="1A806271"/>
    <w:rsid w:val="1A8E1084"/>
    <w:rsid w:val="1A9165C6"/>
    <w:rsid w:val="1A94081F"/>
    <w:rsid w:val="1AAC0209"/>
    <w:rsid w:val="1AB8095B"/>
    <w:rsid w:val="1AC47300"/>
    <w:rsid w:val="1AC601CC"/>
    <w:rsid w:val="1ACD08AB"/>
    <w:rsid w:val="1ACE1F88"/>
    <w:rsid w:val="1ACE3A6D"/>
    <w:rsid w:val="1AD6541D"/>
    <w:rsid w:val="1AE11EBC"/>
    <w:rsid w:val="1AE44224"/>
    <w:rsid w:val="1AE72C9B"/>
    <w:rsid w:val="1AEB2ADF"/>
    <w:rsid w:val="1AEB543D"/>
    <w:rsid w:val="1AF1038D"/>
    <w:rsid w:val="1AF13750"/>
    <w:rsid w:val="1AF14653"/>
    <w:rsid w:val="1AF220BF"/>
    <w:rsid w:val="1AF44089"/>
    <w:rsid w:val="1AF51BB0"/>
    <w:rsid w:val="1AF73CDB"/>
    <w:rsid w:val="1AF916A0"/>
    <w:rsid w:val="1AF94261"/>
    <w:rsid w:val="1AFA49EA"/>
    <w:rsid w:val="1AFF24AC"/>
    <w:rsid w:val="1B027E29"/>
    <w:rsid w:val="1B173D6F"/>
    <w:rsid w:val="1B1D66B9"/>
    <w:rsid w:val="1B1D74DF"/>
    <w:rsid w:val="1B2307A1"/>
    <w:rsid w:val="1B2544B9"/>
    <w:rsid w:val="1B2670A9"/>
    <w:rsid w:val="1B283D33"/>
    <w:rsid w:val="1B28739D"/>
    <w:rsid w:val="1B2C1F89"/>
    <w:rsid w:val="1B324BB2"/>
    <w:rsid w:val="1B340308"/>
    <w:rsid w:val="1B36766B"/>
    <w:rsid w:val="1B3A3A66"/>
    <w:rsid w:val="1B3E70B3"/>
    <w:rsid w:val="1B401413"/>
    <w:rsid w:val="1B474838"/>
    <w:rsid w:val="1B4813E0"/>
    <w:rsid w:val="1B483976"/>
    <w:rsid w:val="1B494818"/>
    <w:rsid w:val="1B5468D6"/>
    <w:rsid w:val="1B621D6F"/>
    <w:rsid w:val="1B7426F8"/>
    <w:rsid w:val="1B874E57"/>
    <w:rsid w:val="1B8A6582"/>
    <w:rsid w:val="1B8C1C72"/>
    <w:rsid w:val="1B8C6BFC"/>
    <w:rsid w:val="1B9C3F88"/>
    <w:rsid w:val="1BA2791B"/>
    <w:rsid w:val="1BAB1AAC"/>
    <w:rsid w:val="1BAB3772"/>
    <w:rsid w:val="1BB26233"/>
    <w:rsid w:val="1BB37A17"/>
    <w:rsid w:val="1BD611C2"/>
    <w:rsid w:val="1BD631A1"/>
    <w:rsid w:val="1BD774E9"/>
    <w:rsid w:val="1BDE2644"/>
    <w:rsid w:val="1BDF3F3C"/>
    <w:rsid w:val="1BE258FF"/>
    <w:rsid w:val="1BE265D2"/>
    <w:rsid w:val="1BEC6B0F"/>
    <w:rsid w:val="1BF956CF"/>
    <w:rsid w:val="1BFF5F3F"/>
    <w:rsid w:val="1C056EB4"/>
    <w:rsid w:val="1C0B0F76"/>
    <w:rsid w:val="1C0C4D76"/>
    <w:rsid w:val="1C0D7505"/>
    <w:rsid w:val="1C0E4685"/>
    <w:rsid w:val="1C11441E"/>
    <w:rsid w:val="1C197B20"/>
    <w:rsid w:val="1C1A6860"/>
    <w:rsid w:val="1C1C5446"/>
    <w:rsid w:val="1C202C5C"/>
    <w:rsid w:val="1C256CA0"/>
    <w:rsid w:val="1C26359D"/>
    <w:rsid w:val="1C264AF6"/>
    <w:rsid w:val="1C274C72"/>
    <w:rsid w:val="1C2B4FE1"/>
    <w:rsid w:val="1C3109C5"/>
    <w:rsid w:val="1C3149CD"/>
    <w:rsid w:val="1C492974"/>
    <w:rsid w:val="1C4A0332"/>
    <w:rsid w:val="1C4C7258"/>
    <w:rsid w:val="1C4F625B"/>
    <w:rsid w:val="1C536B8E"/>
    <w:rsid w:val="1C703E93"/>
    <w:rsid w:val="1C7334A6"/>
    <w:rsid w:val="1C750501"/>
    <w:rsid w:val="1C7A236C"/>
    <w:rsid w:val="1C8925AF"/>
    <w:rsid w:val="1C8A6EEB"/>
    <w:rsid w:val="1C8E3B33"/>
    <w:rsid w:val="1C9630F3"/>
    <w:rsid w:val="1C983B4F"/>
    <w:rsid w:val="1C992477"/>
    <w:rsid w:val="1CA810E8"/>
    <w:rsid w:val="1CA8319C"/>
    <w:rsid w:val="1CA87482"/>
    <w:rsid w:val="1CB773A1"/>
    <w:rsid w:val="1CB810E7"/>
    <w:rsid w:val="1CBA4E5F"/>
    <w:rsid w:val="1CBC5F22"/>
    <w:rsid w:val="1CC7711F"/>
    <w:rsid w:val="1CCC6940"/>
    <w:rsid w:val="1CD64CCD"/>
    <w:rsid w:val="1CE72716"/>
    <w:rsid w:val="1CE81A7F"/>
    <w:rsid w:val="1CEF165F"/>
    <w:rsid w:val="1CF16E6C"/>
    <w:rsid w:val="1CF20817"/>
    <w:rsid w:val="1CF30371"/>
    <w:rsid w:val="1CFB0CEA"/>
    <w:rsid w:val="1D0253E4"/>
    <w:rsid w:val="1D033C42"/>
    <w:rsid w:val="1D0B56BA"/>
    <w:rsid w:val="1D1843C6"/>
    <w:rsid w:val="1D1B48D4"/>
    <w:rsid w:val="1D1C5DF1"/>
    <w:rsid w:val="1D1F0D8A"/>
    <w:rsid w:val="1D205779"/>
    <w:rsid w:val="1D282738"/>
    <w:rsid w:val="1D28626C"/>
    <w:rsid w:val="1D290DA3"/>
    <w:rsid w:val="1D291A21"/>
    <w:rsid w:val="1D2A05D5"/>
    <w:rsid w:val="1D385D84"/>
    <w:rsid w:val="1D3900C3"/>
    <w:rsid w:val="1D3D61D7"/>
    <w:rsid w:val="1D456E66"/>
    <w:rsid w:val="1D500F2A"/>
    <w:rsid w:val="1D522602"/>
    <w:rsid w:val="1D5C5F16"/>
    <w:rsid w:val="1D5E6E5C"/>
    <w:rsid w:val="1D604C2D"/>
    <w:rsid w:val="1D6228AA"/>
    <w:rsid w:val="1D7613B5"/>
    <w:rsid w:val="1D785D1E"/>
    <w:rsid w:val="1D7908AE"/>
    <w:rsid w:val="1D7925BE"/>
    <w:rsid w:val="1D7B2012"/>
    <w:rsid w:val="1D7D6026"/>
    <w:rsid w:val="1D7E40DE"/>
    <w:rsid w:val="1D8E2B76"/>
    <w:rsid w:val="1D9B5B7E"/>
    <w:rsid w:val="1D9E208B"/>
    <w:rsid w:val="1D9F27F6"/>
    <w:rsid w:val="1DA25D61"/>
    <w:rsid w:val="1DA43419"/>
    <w:rsid w:val="1DB7059F"/>
    <w:rsid w:val="1DB76AB9"/>
    <w:rsid w:val="1DBF6C2E"/>
    <w:rsid w:val="1DC7696E"/>
    <w:rsid w:val="1DC83ED6"/>
    <w:rsid w:val="1DC92C25"/>
    <w:rsid w:val="1DC95AC2"/>
    <w:rsid w:val="1DCD26CC"/>
    <w:rsid w:val="1DD5224D"/>
    <w:rsid w:val="1DDD39FE"/>
    <w:rsid w:val="1DE47737"/>
    <w:rsid w:val="1DE50633"/>
    <w:rsid w:val="1DFB4592"/>
    <w:rsid w:val="1E0563C6"/>
    <w:rsid w:val="1E0C13CE"/>
    <w:rsid w:val="1E0C793C"/>
    <w:rsid w:val="1E1311BF"/>
    <w:rsid w:val="1E141EBA"/>
    <w:rsid w:val="1E2819EA"/>
    <w:rsid w:val="1E2865EC"/>
    <w:rsid w:val="1E343FC5"/>
    <w:rsid w:val="1E34479D"/>
    <w:rsid w:val="1E3466C2"/>
    <w:rsid w:val="1E3B5C0C"/>
    <w:rsid w:val="1E546BED"/>
    <w:rsid w:val="1E5669A4"/>
    <w:rsid w:val="1E5818E7"/>
    <w:rsid w:val="1E5B1377"/>
    <w:rsid w:val="1E5B32E0"/>
    <w:rsid w:val="1E5F08AD"/>
    <w:rsid w:val="1E673559"/>
    <w:rsid w:val="1E734B49"/>
    <w:rsid w:val="1E743833"/>
    <w:rsid w:val="1E763007"/>
    <w:rsid w:val="1E786A08"/>
    <w:rsid w:val="1E7E372A"/>
    <w:rsid w:val="1E8F7C25"/>
    <w:rsid w:val="1EA40771"/>
    <w:rsid w:val="1EA65EE6"/>
    <w:rsid w:val="1EA717C5"/>
    <w:rsid w:val="1EA731C1"/>
    <w:rsid w:val="1EAB444B"/>
    <w:rsid w:val="1EAE00DE"/>
    <w:rsid w:val="1EB22117"/>
    <w:rsid w:val="1EB93F48"/>
    <w:rsid w:val="1EBD0C36"/>
    <w:rsid w:val="1EC577E2"/>
    <w:rsid w:val="1ECA73B2"/>
    <w:rsid w:val="1ED11DB3"/>
    <w:rsid w:val="1EDC730E"/>
    <w:rsid w:val="1EDC7F5E"/>
    <w:rsid w:val="1EDE0EA9"/>
    <w:rsid w:val="1EDF49ED"/>
    <w:rsid w:val="1EE03CB3"/>
    <w:rsid w:val="1EE066D3"/>
    <w:rsid w:val="1EE2244B"/>
    <w:rsid w:val="1EE6018D"/>
    <w:rsid w:val="1EE97E37"/>
    <w:rsid w:val="1EF63B7C"/>
    <w:rsid w:val="1EF6578A"/>
    <w:rsid w:val="1EFB52BB"/>
    <w:rsid w:val="1EFD66A6"/>
    <w:rsid w:val="1F033EB2"/>
    <w:rsid w:val="1F037EAA"/>
    <w:rsid w:val="1F0423C1"/>
    <w:rsid w:val="1F063671"/>
    <w:rsid w:val="1F0B00AA"/>
    <w:rsid w:val="1F132C38"/>
    <w:rsid w:val="1F15637C"/>
    <w:rsid w:val="1F17056C"/>
    <w:rsid w:val="1F172EB5"/>
    <w:rsid w:val="1F1B7FE9"/>
    <w:rsid w:val="1F2124B1"/>
    <w:rsid w:val="1F2221CB"/>
    <w:rsid w:val="1F2557B5"/>
    <w:rsid w:val="1F2568F1"/>
    <w:rsid w:val="1F2D7520"/>
    <w:rsid w:val="1F3233D2"/>
    <w:rsid w:val="1F32665A"/>
    <w:rsid w:val="1F3A2A6B"/>
    <w:rsid w:val="1F3D47DC"/>
    <w:rsid w:val="1F3E77A1"/>
    <w:rsid w:val="1F4850C3"/>
    <w:rsid w:val="1F486935"/>
    <w:rsid w:val="1F4A3C5B"/>
    <w:rsid w:val="1F4B6242"/>
    <w:rsid w:val="1F514F87"/>
    <w:rsid w:val="1F533349"/>
    <w:rsid w:val="1F5D53A5"/>
    <w:rsid w:val="1F6665A8"/>
    <w:rsid w:val="1F6C1E9B"/>
    <w:rsid w:val="1F7A6B27"/>
    <w:rsid w:val="1F81583C"/>
    <w:rsid w:val="1F8A4FBC"/>
    <w:rsid w:val="1F8B4667"/>
    <w:rsid w:val="1F8D0609"/>
    <w:rsid w:val="1F8E4834"/>
    <w:rsid w:val="1F913231"/>
    <w:rsid w:val="1F940A6B"/>
    <w:rsid w:val="1F9B3C00"/>
    <w:rsid w:val="1FA37E2C"/>
    <w:rsid w:val="1FA42F71"/>
    <w:rsid w:val="1FA75F7B"/>
    <w:rsid w:val="1FAF4FBC"/>
    <w:rsid w:val="1FB127F3"/>
    <w:rsid w:val="1FB5190D"/>
    <w:rsid w:val="1FB931AC"/>
    <w:rsid w:val="1FBC0EB5"/>
    <w:rsid w:val="1FBF673C"/>
    <w:rsid w:val="1FC772DE"/>
    <w:rsid w:val="1FD643C6"/>
    <w:rsid w:val="1FE71490"/>
    <w:rsid w:val="1FEB135E"/>
    <w:rsid w:val="1FF4311A"/>
    <w:rsid w:val="1FFD529D"/>
    <w:rsid w:val="20000F5F"/>
    <w:rsid w:val="200E038C"/>
    <w:rsid w:val="201258BC"/>
    <w:rsid w:val="20126D60"/>
    <w:rsid w:val="20130316"/>
    <w:rsid w:val="20135C1B"/>
    <w:rsid w:val="20244DB2"/>
    <w:rsid w:val="202B1BD0"/>
    <w:rsid w:val="202B7837"/>
    <w:rsid w:val="202D1DEC"/>
    <w:rsid w:val="202F3999"/>
    <w:rsid w:val="2034777F"/>
    <w:rsid w:val="203501F6"/>
    <w:rsid w:val="203537E8"/>
    <w:rsid w:val="203B66A0"/>
    <w:rsid w:val="203C3F13"/>
    <w:rsid w:val="203E1903"/>
    <w:rsid w:val="204A7214"/>
    <w:rsid w:val="205B427C"/>
    <w:rsid w:val="205C384D"/>
    <w:rsid w:val="205E0313"/>
    <w:rsid w:val="205E3D53"/>
    <w:rsid w:val="206164F6"/>
    <w:rsid w:val="206204A7"/>
    <w:rsid w:val="206770AC"/>
    <w:rsid w:val="206979A8"/>
    <w:rsid w:val="207E7D24"/>
    <w:rsid w:val="20842D5D"/>
    <w:rsid w:val="20855784"/>
    <w:rsid w:val="20894A2B"/>
    <w:rsid w:val="208A4BEF"/>
    <w:rsid w:val="208A6CE1"/>
    <w:rsid w:val="20926121"/>
    <w:rsid w:val="209307E6"/>
    <w:rsid w:val="20943E0F"/>
    <w:rsid w:val="209F6845"/>
    <w:rsid w:val="20A064E3"/>
    <w:rsid w:val="20B1352E"/>
    <w:rsid w:val="20C53DD2"/>
    <w:rsid w:val="20C932CD"/>
    <w:rsid w:val="20C93457"/>
    <w:rsid w:val="20CB7D3E"/>
    <w:rsid w:val="20D0314D"/>
    <w:rsid w:val="20D77EB9"/>
    <w:rsid w:val="20DC70AF"/>
    <w:rsid w:val="20E21FD6"/>
    <w:rsid w:val="20E2758A"/>
    <w:rsid w:val="20E942F0"/>
    <w:rsid w:val="20EB5CF5"/>
    <w:rsid w:val="20EF09AB"/>
    <w:rsid w:val="20F22B93"/>
    <w:rsid w:val="20FD356C"/>
    <w:rsid w:val="20FF68BA"/>
    <w:rsid w:val="210335CB"/>
    <w:rsid w:val="21075F2F"/>
    <w:rsid w:val="210E4B7A"/>
    <w:rsid w:val="2110329F"/>
    <w:rsid w:val="21130FE1"/>
    <w:rsid w:val="21156B08"/>
    <w:rsid w:val="211A168E"/>
    <w:rsid w:val="211D2ED8"/>
    <w:rsid w:val="211D776A"/>
    <w:rsid w:val="2122788E"/>
    <w:rsid w:val="212A48AF"/>
    <w:rsid w:val="21302432"/>
    <w:rsid w:val="213F1FA9"/>
    <w:rsid w:val="2144119B"/>
    <w:rsid w:val="21441C6E"/>
    <w:rsid w:val="214C6AEF"/>
    <w:rsid w:val="21572A68"/>
    <w:rsid w:val="215F5FD5"/>
    <w:rsid w:val="21637981"/>
    <w:rsid w:val="216C6FEF"/>
    <w:rsid w:val="21717AB6"/>
    <w:rsid w:val="217230A0"/>
    <w:rsid w:val="217901EB"/>
    <w:rsid w:val="217A1EA3"/>
    <w:rsid w:val="217A23C3"/>
    <w:rsid w:val="21870169"/>
    <w:rsid w:val="218C2EA1"/>
    <w:rsid w:val="218D461D"/>
    <w:rsid w:val="219448BC"/>
    <w:rsid w:val="21951279"/>
    <w:rsid w:val="219C0FD7"/>
    <w:rsid w:val="21A35A6C"/>
    <w:rsid w:val="21A517EF"/>
    <w:rsid w:val="21A571AA"/>
    <w:rsid w:val="21A77AE0"/>
    <w:rsid w:val="21AA0B3D"/>
    <w:rsid w:val="21AE661F"/>
    <w:rsid w:val="21BB4B27"/>
    <w:rsid w:val="21BC13EC"/>
    <w:rsid w:val="21BC76DD"/>
    <w:rsid w:val="21C026AF"/>
    <w:rsid w:val="21C71AFA"/>
    <w:rsid w:val="21C83115"/>
    <w:rsid w:val="21D2742D"/>
    <w:rsid w:val="21DE4BF8"/>
    <w:rsid w:val="21E23CDF"/>
    <w:rsid w:val="21E63D8F"/>
    <w:rsid w:val="21E917DC"/>
    <w:rsid w:val="21EE1AC1"/>
    <w:rsid w:val="21F04E7F"/>
    <w:rsid w:val="220A6852"/>
    <w:rsid w:val="220D7D69"/>
    <w:rsid w:val="22114CAA"/>
    <w:rsid w:val="22192627"/>
    <w:rsid w:val="221A0D83"/>
    <w:rsid w:val="221F7512"/>
    <w:rsid w:val="222028C7"/>
    <w:rsid w:val="22250889"/>
    <w:rsid w:val="222F7BA7"/>
    <w:rsid w:val="223B41F8"/>
    <w:rsid w:val="223F5FB6"/>
    <w:rsid w:val="224761C1"/>
    <w:rsid w:val="224E2666"/>
    <w:rsid w:val="22552F34"/>
    <w:rsid w:val="226338A3"/>
    <w:rsid w:val="22673393"/>
    <w:rsid w:val="226C5BEF"/>
    <w:rsid w:val="226E1C50"/>
    <w:rsid w:val="226E1E10"/>
    <w:rsid w:val="22771730"/>
    <w:rsid w:val="2277734E"/>
    <w:rsid w:val="227F3FC9"/>
    <w:rsid w:val="22883309"/>
    <w:rsid w:val="229722EC"/>
    <w:rsid w:val="229B303C"/>
    <w:rsid w:val="22A7378F"/>
    <w:rsid w:val="22B436B7"/>
    <w:rsid w:val="22B934C3"/>
    <w:rsid w:val="22C277D1"/>
    <w:rsid w:val="22C716B1"/>
    <w:rsid w:val="22C76885"/>
    <w:rsid w:val="22CA5443"/>
    <w:rsid w:val="22CE1684"/>
    <w:rsid w:val="22CF368F"/>
    <w:rsid w:val="22D36C7A"/>
    <w:rsid w:val="22DB5B2F"/>
    <w:rsid w:val="22DC0C54"/>
    <w:rsid w:val="22E14581"/>
    <w:rsid w:val="22E20638"/>
    <w:rsid w:val="22E76282"/>
    <w:rsid w:val="22F77E40"/>
    <w:rsid w:val="22FB2D4B"/>
    <w:rsid w:val="22FD3CF7"/>
    <w:rsid w:val="22FD749C"/>
    <w:rsid w:val="23087AFD"/>
    <w:rsid w:val="23091C4F"/>
    <w:rsid w:val="23104742"/>
    <w:rsid w:val="2311495A"/>
    <w:rsid w:val="23130E25"/>
    <w:rsid w:val="231F5A1C"/>
    <w:rsid w:val="232105B2"/>
    <w:rsid w:val="23211EE9"/>
    <w:rsid w:val="23294AEC"/>
    <w:rsid w:val="23411D90"/>
    <w:rsid w:val="234A68AA"/>
    <w:rsid w:val="234A6FEC"/>
    <w:rsid w:val="23594007"/>
    <w:rsid w:val="235B3089"/>
    <w:rsid w:val="236544B8"/>
    <w:rsid w:val="23690459"/>
    <w:rsid w:val="23692D30"/>
    <w:rsid w:val="23715C05"/>
    <w:rsid w:val="23743318"/>
    <w:rsid w:val="23764AF4"/>
    <w:rsid w:val="23884A40"/>
    <w:rsid w:val="238B4C82"/>
    <w:rsid w:val="239A1546"/>
    <w:rsid w:val="239D4B92"/>
    <w:rsid w:val="239E7171"/>
    <w:rsid w:val="23A41537"/>
    <w:rsid w:val="23AE4FF1"/>
    <w:rsid w:val="23B220EA"/>
    <w:rsid w:val="23BB0781"/>
    <w:rsid w:val="23C15AB0"/>
    <w:rsid w:val="23D5316D"/>
    <w:rsid w:val="23D54F24"/>
    <w:rsid w:val="23DA351D"/>
    <w:rsid w:val="23DD3B82"/>
    <w:rsid w:val="23F1697E"/>
    <w:rsid w:val="23F23130"/>
    <w:rsid w:val="23F24C6A"/>
    <w:rsid w:val="23F9357A"/>
    <w:rsid w:val="23FC79C3"/>
    <w:rsid w:val="23FD5187"/>
    <w:rsid w:val="23FE7D27"/>
    <w:rsid w:val="240557D8"/>
    <w:rsid w:val="240B78D1"/>
    <w:rsid w:val="240F662A"/>
    <w:rsid w:val="24101808"/>
    <w:rsid w:val="24117358"/>
    <w:rsid w:val="242B7882"/>
    <w:rsid w:val="242D3921"/>
    <w:rsid w:val="242E760E"/>
    <w:rsid w:val="242F7EE0"/>
    <w:rsid w:val="2435301D"/>
    <w:rsid w:val="2436509F"/>
    <w:rsid w:val="24455AB5"/>
    <w:rsid w:val="24487BCC"/>
    <w:rsid w:val="24496D8D"/>
    <w:rsid w:val="244B2840"/>
    <w:rsid w:val="244D6B40"/>
    <w:rsid w:val="24506E1F"/>
    <w:rsid w:val="24524F92"/>
    <w:rsid w:val="24532A74"/>
    <w:rsid w:val="24561DB9"/>
    <w:rsid w:val="24780045"/>
    <w:rsid w:val="247B08DC"/>
    <w:rsid w:val="24865B61"/>
    <w:rsid w:val="24866AC8"/>
    <w:rsid w:val="248E263D"/>
    <w:rsid w:val="248F222F"/>
    <w:rsid w:val="24927D1C"/>
    <w:rsid w:val="24A338AE"/>
    <w:rsid w:val="24A4217B"/>
    <w:rsid w:val="24B236CD"/>
    <w:rsid w:val="24BC2370"/>
    <w:rsid w:val="24C9545D"/>
    <w:rsid w:val="24D6382E"/>
    <w:rsid w:val="24D66466"/>
    <w:rsid w:val="24DE2655"/>
    <w:rsid w:val="24DE5C91"/>
    <w:rsid w:val="24E862E1"/>
    <w:rsid w:val="24E94D13"/>
    <w:rsid w:val="24EA3D79"/>
    <w:rsid w:val="24EF58C2"/>
    <w:rsid w:val="24F443AF"/>
    <w:rsid w:val="24FA46C9"/>
    <w:rsid w:val="24FD7FDE"/>
    <w:rsid w:val="24FF3D57"/>
    <w:rsid w:val="25022FDC"/>
    <w:rsid w:val="251651A8"/>
    <w:rsid w:val="251962E2"/>
    <w:rsid w:val="2519649B"/>
    <w:rsid w:val="251D78B1"/>
    <w:rsid w:val="251E582B"/>
    <w:rsid w:val="252469E6"/>
    <w:rsid w:val="25266D80"/>
    <w:rsid w:val="2527683A"/>
    <w:rsid w:val="252C0DB5"/>
    <w:rsid w:val="252C2672"/>
    <w:rsid w:val="253231BF"/>
    <w:rsid w:val="253E4E64"/>
    <w:rsid w:val="25420FFA"/>
    <w:rsid w:val="25476B1B"/>
    <w:rsid w:val="254A0D4A"/>
    <w:rsid w:val="254A7D27"/>
    <w:rsid w:val="254C2D14"/>
    <w:rsid w:val="254D18B8"/>
    <w:rsid w:val="254D19D5"/>
    <w:rsid w:val="25571ED4"/>
    <w:rsid w:val="2557617D"/>
    <w:rsid w:val="255B2F57"/>
    <w:rsid w:val="255D690A"/>
    <w:rsid w:val="256162F1"/>
    <w:rsid w:val="256618A6"/>
    <w:rsid w:val="25683DEF"/>
    <w:rsid w:val="256B5BB0"/>
    <w:rsid w:val="256E7DD3"/>
    <w:rsid w:val="25742D65"/>
    <w:rsid w:val="257512FE"/>
    <w:rsid w:val="257E5CA2"/>
    <w:rsid w:val="25825F9B"/>
    <w:rsid w:val="25861D82"/>
    <w:rsid w:val="258F49C8"/>
    <w:rsid w:val="259D6DA5"/>
    <w:rsid w:val="25A56B0D"/>
    <w:rsid w:val="25A77F4A"/>
    <w:rsid w:val="25A92E69"/>
    <w:rsid w:val="25AD2B44"/>
    <w:rsid w:val="25AD5EC2"/>
    <w:rsid w:val="25AD6B4E"/>
    <w:rsid w:val="25B6018D"/>
    <w:rsid w:val="25B74631"/>
    <w:rsid w:val="25BA76A8"/>
    <w:rsid w:val="25C32FD6"/>
    <w:rsid w:val="25C44658"/>
    <w:rsid w:val="25C44844"/>
    <w:rsid w:val="25C95258"/>
    <w:rsid w:val="25CD10ED"/>
    <w:rsid w:val="25CE197B"/>
    <w:rsid w:val="25CE7CE7"/>
    <w:rsid w:val="25DB216E"/>
    <w:rsid w:val="25E7048C"/>
    <w:rsid w:val="25F72A35"/>
    <w:rsid w:val="25FA451E"/>
    <w:rsid w:val="26064C51"/>
    <w:rsid w:val="26066C8A"/>
    <w:rsid w:val="26121868"/>
    <w:rsid w:val="261660D6"/>
    <w:rsid w:val="26176E7E"/>
    <w:rsid w:val="261A696E"/>
    <w:rsid w:val="261B47DF"/>
    <w:rsid w:val="262064DC"/>
    <w:rsid w:val="26213C64"/>
    <w:rsid w:val="262B0B7B"/>
    <w:rsid w:val="262D0FFE"/>
    <w:rsid w:val="263135A5"/>
    <w:rsid w:val="26327B01"/>
    <w:rsid w:val="26385E8A"/>
    <w:rsid w:val="263F63D5"/>
    <w:rsid w:val="26437C73"/>
    <w:rsid w:val="26467763"/>
    <w:rsid w:val="26487037"/>
    <w:rsid w:val="265433B2"/>
    <w:rsid w:val="26591245"/>
    <w:rsid w:val="26655E3B"/>
    <w:rsid w:val="266879AE"/>
    <w:rsid w:val="266A0D63"/>
    <w:rsid w:val="267F0A80"/>
    <w:rsid w:val="267F67D1"/>
    <w:rsid w:val="268171D1"/>
    <w:rsid w:val="26866228"/>
    <w:rsid w:val="268D1B0E"/>
    <w:rsid w:val="268D6098"/>
    <w:rsid w:val="26982A81"/>
    <w:rsid w:val="26995A83"/>
    <w:rsid w:val="26995AE5"/>
    <w:rsid w:val="26997893"/>
    <w:rsid w:val="26A505DA"/>
    <w:rsid w:val="26A83F7A"/>
    <w:rsid w:val="26B06968"/>
    <w:rsid w:val="26B75F6B"/>
    <w:rsid w:val="26B80661"/>
    <w:rsid w:val="26B91E68"/>
    <w:rsid w:val="26B95D15"/>
    <w:rsid w:val="26BD1A51"/>
    <w:rsid w:val="26BE763B"/>
    <w:rsid w:val="26C14C9F"/>
    <w:rsid w:val="26C847ED"/>
    <w:rsid w:val="26CA0394"/>
    <w:rsid w:val="26D83255"/>
    <w:rsid w:val="26DB4B00"/>
    <w:rsid w:val="26E57395"/>
    <w:rsid w:val="26EC484E"/>
    <w:rsid w:val="26F15921"/>
    <w:rsid w:val="26F471BF"/>
    <w:rsid w:val="26F71B78"/>
    <w:rsid w:val="26FC0376"/>
    <w:rsid w:val="26FD2518"/>
    <w:rsid w:val="26FD7067"/>
    <w:rsid w:val="27006809"/>
    <w:rsid w:val="270B4A44"/>
    <w:rsid w:val="270C58D7"/>
    <w:rsid w:val="270E482C"/>
    <w:rsid w:val="270F224B"/>
    <w:rsid w:val="270F5F8B"/>
    <w:rsid w:val="271319F0"/>
    <w:rsid w:val="27162C5F"/>
    <w:rsid w:val="27174C5C"/>
    <w:rsid w:val="271E248E"/>
    <w:rsid w:val="27256104"/>
    <w:rsid w:val="273B4DEE"/>
    <w:rsid w:val="27441EF5"/>
    <w:rsid w:val="27463561"/>
    <w:rsid w:val="274A3283"/>
    <w:rsid w:val="27532138"/>
    <w:rsid w:val="275814FC"/>
    <w:rsid w:val="27590E42"/>
    <w:rsid w:val="27596D5E"/>
    <w:rsid w:val="276C23D4"/>
    <w:rsid w:val="276F7252"/>
    <w:rsid w:val="2775082D"/>
    <w:rsid w:val="27826579"/>
    <w:rsid w:val="27837853"/>
    <w:rsid w:val="278728BB"/>
    <w:rsid w:val="278F76F5"/>
    <w:rsid w:val="27916018"/>
    <w:rsid w:val="279739A6"/>
    <w:rsid w:val="279909CB"/>
    <w:rsid w:val="279F3BFB"/>
    <w:rsid w:val="27A6670B"/>
    <w:rsid w:val="27A67664"/>
    <w:rsid w:val="27A733E3"/>
    <w:rsid w:val="27AA485B"/>
    <w:rsid w:val="27AE69DB"/>
    <w:rsid w:val="27BF77CD"/>
    <w:rsid w:val="27C8378C"/>
    <w:rsid w:val="27D33279"/>
    <w:rsid w:val="27D54D33"/>
    <w:rsid w:val="27DB0E1D"/>
    <w:rsid w:val="27DD5EA5"/>
    <w:rsid w:val="27EB05C2"/>
    <w:rsid w:val="27EC1266"/>
    <w:rsid w:val="27EE0059"/>
    <w:rsid w:val="27F65BC8"/>
    <w:rsid w:val="27F67661"/>
    <w:rsid w:val="27FB6CC1"/>
    <w:rsid w:val="2801174A"/>
    <w:rsid w:val="2801390B"/>
    <w:rsid w:val="280255D6"/>
    <w:rsid w:val="28092D7E"/>
    <w:rsid w:val="28110042"/>
    <w:rsid w:val="28136044"/>
    <w:rsid w:val="281921C7"/>
    <w:rsid w:val="281B7830"/>
    <w:rsid w:val="281C6748"/>
    <w:rsid w:val="281C69CE"/>
    <w:rsid w:val="2821644C"/>
    <w:rsid w:val="282362AE"/>
    <w:rsid w:val="28245882"/>
    <w:rsid w:val="282B28BC"/>
    <w:rsid w:val="282B6C11"/>
    <w:rsid w:val="28310783"/>
    <w:rsid w:val="28317164"/>
    <w:rsid w:val="28321D4D"/>
    <w:rsid w:val="28322D61"/>
    <w:rsid w:val="283C0E1E"/>
    <w:rsid w:val="283C353F"/>
    <w:rsid w:val="283D69F1"/>
    <w:rsid w:val="28461973"/>
    <w:rsid w:val="28506677"/>
    <w:rsid w:val="28551EE0"/>
    <w:rsid w:val="285C5E53"/>
    <w:rsid w:val="285F2031"/>
    <w:rsid w:val="28635A76"/>
    <w:rsid w:val="286C0D17"/>
    <w:rsid w:val="2870777C"/>
    <w:rsid w:val="287B058E"/>
    <w:rsid w:val="28823E37"/>
    <w:rsid w:val="2882631D"/>
    <w:rsid w:val="288551E7"/>
    <w:rsid w:val="28865961"/>
    <w:rsid w:val="288F5240"/>
    <w:rsid w:val="289208F6"/>
    <w:rsid w:val="289A5920"/>
    <w:rsid w:val="289F6D73"/>
    <w:rsid w:val="28AE4515"/>
    <w:rsid w:val="28B37AEE"/>
    <w:rsid w:val="28B463AE"/>
    <w:rsid w:val="28B60AC2"/>
    <w:rsid w:val="28B85CFC"/>
    <w:rsid w:val="28BA534D"/>
    <w:rsid w:val="28C268EA"/>
    <w:rsid w:val="28C45688"/>
    <w:rsid w:val="28C61FE9"/>
    <w:rsid w:val="28CD6E8D"/>
    <w:rsid w:val="28D41056"/>
    <w:rsid w:val="28D6195D"/>
    <w:rsid w:val="28D861AE"/>
    <w:rsid w:val="28DE2C54"/>
    <w:rsid w:val="28E374EB"/>
    <w:rsid w:val="28EA5551"/>
    <w:rsid w:val="28EB0DF4"/>
    <w:rsid w:val="28F15583"/>
    <w:rsid w:val="28F951A2"/>
    <w:rsid w:val="290A1EBC"/>
    <w:rsid w:val="29111818"/>
    <w:rsid w:val="29124D01"/>
    <w:rsid w:val="291458F7"/>
    <w:rsid w:val="29177D96"/>
    <w:rsid w:val="291B26A4"/>
    <w:rsid w:val="292875F4"/>
    <w:rsid w:val="293154D6"/>
    <w:rsid w:val="29347D47"/>
    <w:rsid w:val="29355251"/>
    <w:rsid w:val="293F0948"/>
    <w:rsid w:val="29474AEB"/>
    <w:rsid w:val="294E0E09"/>
    <w:rsid w:val="294F7FF9"/>
    <w:rsid w:val="29507B3D"/>
    <w:rsid w:val="29562C6A"/>
    <w:rsid w:val="29564161"/>
    <w:rsid w:val="296579EB"/>
    <w:rsid w:val="296A0961"/>
    <w:rsid w:val="296C74E1"/>
    <w:rsid w:val="29736AC1"/>
    <w:rsid w:val="29777572"/>
    <w:rsid w:val="297E036A"/>
    <w:rsid w:val="297F7956"/>
    <w:rsid w:val="29822AD3"/>
    <w:rsid w:val="298A3909"/>
    <w:rsid w:val="29991B22"/>
    <w:rsid w:val="29A023B4"/>
    <w:rsid w:val="29A63AA4"/>
    <w:rsid w:val="29AD4B5E"/>
    <w:rsid w:val="29AF138D"/>
    <w:rsid w:val="29B65C3C"/>
    <w:rsid w:val="29B726F0"/>
    <w:rsid w:val="29C015DB"/>
    <w:rsid w:val="29C03461"/>
    <w:rsid w:val="29C15A7E"/>
    <w:rsid w:val="29CB28CE"/>
    <w:rsid w:val="29CC2E51"/>
    <w:rsid w:val="29CC4ABF"/>
    <w:rsid w:val="29DF7C36"/>
    <w:rsid w:val="29E0570A"/>
    <w:rsid w:val="29E5351D"/>
    <w:rsid w:val="29E74DB9"/>
    <w:rsid w:val="29E96D83"/>
    <w:rsid w:val="29EE7EF6"/>
    <w:rsid w:val="29F02A7E"/>
    <w:rsid w:val="29F179E6"/>
    <w:rsid w:val="29FE5DBA"/>
    <w:rsid w:val="2A034460"/>
    <w:rsid w:val="2A0A24C3"/>
    <w:rsid w:val="2A0B6C5F"/>
    <w:rsid w:val="2A0B6CFA"/>
    <w:rsid w:val="2A202633"/>
    <w:rsid w:val="2A27165A"/>
    <w:rsid w:val="2A2C0A1E"/>
    <w:rsid w:val="2A2F1F1C"/>
    <w:rsid w:val="2A306760"/>
    <w:rsid w:val="2A334412"/>
    <w:rsid w:val="2A342FBE"/>
    <w:rsid w:val="2A3B0A2F"/>
    <w:rsid w:val="2A497A00"/>
    <w:rsid w:val="2A5012A5"/>
    <w:rsid w:val="2A504414"/>
    <w:rsid w:val="2A510485"/>
    <w:rsid w:val="2A5C7555"/>
    <w:rsid w:val="2A612DBE"/>
    <w:rsid w:val="2A633C03"/>
    <w:rsid w:val="2A6E1037"/>
    <w:rsid w:val="2A731B6B"/>
    <w:rsid w:val="2A735E71"/>
    <w:rsid w:val="2A752031"/>
    <w:rsid w:val="2A7530F1"/>
    <w:rsid w:val="2A7F140A"/>
    <w:rsid w:val="2A8368A0"/>
    <w:rsid w:val="2A8504D6"/>
    <w:rsid w:val="2A887746"/>
    <w:rsid w:val="2A891567"/>
    <w:rsid w:val="2A8A52BE"/>
    <w:rsid w:val="2A8C0ACC"/>
    <w:rsid w:val="2A8C323E"/>
    <w:rsid w:val="2A90189D"/>
    <w:rsid w:val="2A906F28"/>
    <w:rsid w:val="2A940B2C"/>
    <w:rsid w:val="2A954815"/>
    <w:rsid w:val="2A9B6CD2"/>
    <w:rsid w:val="2AA0743E"/>
    <w:rsid w:val="2AAA4765"/>
    <w:rsid w:val="2AB033FD"/>
    <w:rsid w:val="2ABC015F"/>
    <w:rsid w:val="2ABF1892"/>
    <w:rsid w:val="2AC101AE"/>
    <w:rsid w:val="2AC375D4"/>
    <w:rsid w:val="2AC82A75"/>
    <w:rsid w:val="2ACE5668"/>
    <w:rsid w:val="2AD45D29"/>
    <w:rsid w:val="2ADD6CF5"/>
    <w:rsid w:val="2AE03B9A"/>
    <w:rsid w:val="2AE64B74"/>
    <w:rsid w:val="2AE705FB"/>
    <w:rsid w:val="2AE74787"/>
    <w:rsid w:val="2AE840B0"/>
    <w:rsid w:val="2AE86CE5"/>
    <w:rsid w:val="2AF04670"/>
    <w:rsid w:val="2AF059EC"/>
    <w:rsid w:val="2AF112E3"/>
    <w:rsid w:val="2AF37B03"/>
    <w:rsid w:val="2AF74677"/>
    <w:rsid w:val="2AFE5064"/>
    <w:rsid w:val="2B061011"/>
    <w:rsid w:val="2B0B501A"/>
    <w:rsid w:val="2B126E05"/>
    <w:rsid w:val="2B1C0A93"/>
    <w:rsid w:val="2B1D49CC"/>
    <w:rsid w:val="2B2160A9"/>
    <w:rsid w:val="2B221CCB"/>
    <w:rsid w:val="2B225B04"/>
    <w:rsid w:val="2B2905B9"/>
    <w:rsid w:val="2B294864"/>
    <w:rsid w:val="2B297D8B"/>
    <w:rsid w:val="2B300496"/>
    <w:rsid w:val="2B37353D"/>
    <w:rsid w:val="2B377690"/>
    <w:rsid w:val="2B4177EB"/>
    <w:rsid w:val="2B5153A7"/>
    <w:rsid w:val="2B561DD3"/>
    <w:rsid w:val="2B595843"/>
    <w:rsid w:val="2B5A478A"/>
    <w:rsid w:val="2B5C6B16"/>
    <w:rsid w:val="2B5D17D7"/>
    <w:rsid w:val="2B632B65"/>
    <w:rsid w:val="2B642B6F"/>
    <w:rsid w:val="2B726905"/>
    <w:rsid w:val="2B741201"/>
    <w:rsid w:val="2B754FCE"/>
    <w:rsid w:val="2B7D59D5"/>
    <w:rsid w:val="2B7E7F10"/>
    <w:rsid w:val="2B831DAE"/>
    <w:rsid w:val="2B864B78"/>
    <w:rsid w:val="2B9062ED"/>
    <w:rsid w:val="2B925DF5"/>
    <w:rsid w:val="2B944ACD"/>
    <w:rsid w:val="2B983F97"/>
    <w:rsid w:val="2BA503A5"/>
    <w:rsid w:val="2BAC62BA"/>
    <w:rsid w:val="2BAE2033"/>
    <w:rsid w:val="2BB52DD3"/>
    <w:rsid w:val="2BB804EE"/>
    <w:rsid w:val="2BBD2276"/>
    <w:rsid w:val="2BC1720F"/>
    <w:rsid w:val="2BC26D9E"/>
    <w:rsid w:val="2BC2717E"/>
    <w:rsid w:val="2BC67763"/>
    <w:rsid w:val="2BC805E8"/>
    <w:rsid w:val="2BCA7CBF"/>
    <w:rsid w:val="2BCE2330"/>
    <w:rsid w:val="2BCF0AA4"/>
    <w:rsid w:val="2BD02324"/>
    <w:rsid w:val="2BD200F8"/>
    <w:rsid w:val="2BD377C9"/>
    <w:rsid w:val="2BD524BD"/>
    <w:rsid w:val="2BD575BF"/>
    <w:rsid w:val="2BDA589A"/>
    <w:rsid w:val="2BE23A8A"/>
    <w:rsid w:val="2BE37BED"/>
    <w:rsid w:val="2BE91AB6"/>
    <w:rsid w:val="2BEB0038"/>
    <w:rsid w:val="2BED3BE3"/>
    <w:rsid w:val="2BF1185C"/>
    <w:rsid w:val="2BF37A45"/>
    <w:rsid w:val="2BF5382C"/>
    <w:rsid w:val="2BFA7026"/>
    <w:rsid w:val="2C026220"/>
    <w:rsid w:val="2C0C092E"/>
    <w:rsid w:val="2C0D1C52"/>
    <w:rsid w:val="2C131E96"/>
    <w:rsid w:val="2C143CF4"/>
    <w:rsid w:val="2C242297"/>
    <w:rsid w:val="2C251FFA"/>
    <w:rsid w:val="2C255D7B"/>
    <w:rsid w:val="2C347FC6"/>
    <w:rsid w:val="2C365A9F"/>
    <w:rsid w:val="2C372028"/>
    <w:rsid w:val="2C4605C2"/>
    <w:rsid w:val="2C46226B"/>
    <w:rsid w:val="2C4D184B"/>
    <w:rsid w:val="2C57575E"/>
    <w:rsid w:val="2C583D4C"/>
    <w:rsid w:val="2C5A1872"/>
    <w:rsid w:val="2C5E66B5"/>
    <w:rsid w:val="2C622E1D"/>
    <w:rsid w:val="2C7620FD"/>
    <w:rsid w:val="2C770676"/>
    <w:rsid w:val="2C7E7C57"/>
    <w:rsid w:val="2C8A3BBB"/>
    <w:rsid w:val="2C8D7CCB"/>
    <w:rsid w:val="2C91021D"/>
    <w:rsid w:val="2C920BF7"/>
    <w:rsid w:val="2C932FD6"/>
    <w:rsid w:val="2C9A0C93"/>
    <w:rsid w:val="2C9E3E55"/>
    <w:rsid w:val="2C9F25CE"/>
    <w:rsid w:val="2CA378BE"/>
    <w:rsid w:val="2CB11CB4"/>
    <w:rsid w:val="2CB573F1"/>
    <w:rsid w:val="2CB678E9"/>
    <w:rsid w:val="2CB872D2"/>
    <w:rsid w:val="2CB90C8F"/>
    <w:rsid w:val="2CBC04A2"/>
    <w:rsid w:val="2CC113FA"/>
    <w:rsid w:val="2CC17B44"/>
    <w:rsid w:val="2CC2469D"/>
    <w:rsid w:val="2CD930DF"/>
    <w:rsid w:val="2CDA64F2"/>
    <w:rsid w:val="2CDA6E57"/>
    <w:rsid w:val="2CE33F5E"/>
    <w:rsid w:val="2CE81574"/>
    <w:rsid w:val="2CE961EE"/>
    <w:rsid w:val="2CED6B8B"/>
    <w:rsid w:val="2CEF2D30"/>
    <w:rsid w:val="2CF33E7C"/>
    <w:rsid w:val="2CF3756D"/>
    <w:rsid w:val="2CF868FB"/>
    <w:rsid w:val="2D014005"/>
    <w:rsid w:val="2D0412A4"/>
    <w:rsid w:val="2D0B0DBF"/>
    <w:rsid w:val="2D0E188C"/>
    <w:rsid w:val="2D1063D5"/>
    <w:rsid w:val="2D125F24"/>
    <w:rsid w:val="2D132B3A"/>
    <w:rsid w:val="2D141140"/>
    <w:rsid w:val="2D190D7B"/>
    <w:rsid w:val="2D1C4D7A"/>
    <w:rsid w:val="2D2500D2"/>
    <w:rsid w:val="2D2B5E8D"/>
    <w:rsid w:val="2D2E4EB4"/>
    <w:rsid w:val="2D2F5CF9"/>
    <w:rsid w:val="2D386B29"/>
    <w:rsid w:val="2D3B0998"/>
    <w:rsid w:val="2D4A5D90"/>
    <w:rsid w:val="2D547A35"/>
    <w:rsid w:val="2D575C6A"/>
    <w:rsid w:val="2D592582"/>
    <w:rsid w:val="2D5B3AF4"/>
    <w:rsid w:val="2D5C425C"/>
    <w:rsid w:val="2D5F4DF5"/>
    <w:rsid w:val="2D6374C8"/>
    <w:rsid w:val="2D6A0F01"/>
    <w:rsid w:val="2D6F75A0"/>
    <w:rsid w:val="2D70417B"/>
    <w:rsid w:val="2D74105A"/>
    <w:rsid w:val="2D7B3627"/>
    <w:rsid w:val="2D7F7889"/>
    <w:rsid w:val="2D83129D"/>
    <w:rsid w:val="2D8356F1"/>
    <w:rsid w:val="2D8F0687"/>
    <w:rsid w:val="2D946F89"/>
    <w:rsid w:val="2D970D3C"/>
    <w:rsid w:val="2D9B4590"/>
    <w:rsid w:val="2D9B5BCA"/>
    <w:rsid w:val="2D9C512F"/>
    <w:rsid w:val="2DAD00C8"/>
    <w:rsid w:val="2DAF2092"/>
    <w:rsid w:val="2DB72CF5"/>
    <w:rsid w:val="2DB90CBD"/>
    <w:rsid w:val="2DC56BE1"/>
    <w:rsid w:val="2DCA2A28"/>
    <w:rsid w:val="2DCD781E"/>
    <w:rsid w:val="2DCF1999"/>
    <w:rsid w:val="2DCF6290"/>
    <w:rsid w:val="2DD1025A"/>
    <w:rsid w:val="2DDB56A6"/>
    <w:rsid w:val="2DDC5E7F"/>
    <w:rsid w:val="2DE37F8C"/>
    <w:rsid w:val="2DE95531"/>
    <w:rsid w:val="2DEB6A75"/>
    <w:rsid w:val="2E07421B"/>
    <w:rsid w:val="2E114AFB"/>
    <w:rsid w:val="2E13617D"/>
    <w:rsid w:val="2E166977"/>
    <w:rsid w:val="2E1C4C24"/>
    <w:rsid w:val="2E254102"/>
    <w:rsid w:val="2E284F10"/>
    <w:rsid w:val="2E2B4950"/>
    <w:rsid w:val="2E312239"/>
    <w:rsid w:val="2E33418C"/>
    <w:rsid w:val="2E3975CA"/>
    <w:rsid w:val="2E3A45F1"/>
    <w:rsid w:val="2E3F51C4"/>
    <w:rsid w:val="2E474078"/>
    <w:rsid w:val="2E4A73DB"/>
    <w:rsid w:val="2E4E0114"/>
    <w:rsid w:val="2E530C6F"/>
    <w:rsid w:val="2E532A34"/>
    <w:rsid w:val="2E61664A"/>
    <w:rsid w:val="2E6241C8"/>
    <w:rsid w:val="2E633966"/>
    <w:rsid w:val="2E662357"/>
    <w:rsid w:val="2E6D6953"/>
    <w:rsid w:val="2E725511"/>
    <w:rsid w:val="2E7D2441"/>
    <w:rsid w:val="2E81758A"/>
    <w:rsid w:val="2E843BCC"/>
    <w:rsid w:val="2E850976"/>
    <w:rsid w:val="2E89196A"/>
    <w:rsid w:val="2E8A5DA6"/>
    <w:rsid w:val="2E8B21B7"/>
    <w:rsid w:val="2E8C0B63"/>
    <w:rsid w:val="2E8D0030"/>
    <w:rsid w:val="2E922DB9"/>
    <w:rsid w:val="2E96604C"/>
    <w:rsid w:val="2E994775"/>
    <w:rsid w:val="2E9B1469"/>
    <w:rsid w:val="2EAE2C45"/>
    <w:rsid w:val="2EAE5EA6"/>
    <w:rsid w:val="2EB23BE8"/>
    <w:rsid w:val="2EB84E3B"/>
    <w:rsid w:val="2EB92C29"/>
    <w:rsid w:val="2EBC6814"/>
    <w:rsid w:val="2EBF2E24"/>
    <w:rsid w:val="2ECF39F6"/>
    <w:rsid w:val="2EDE4AB4"/>
    <w:rsid w:val="2EE07B07"/>
    <w:rsid w:val="2EE4145B"/>
    <w:rsid w:val="2EE67135"/>
    <w:rsid w:val="2EEA4731"/>
    <w:rsid w:val="2EEF50E6"/>
    <w:rsid w:val="2EF21577"/>
    <w:rsid w:val="2EF51D26"/>
    <w:rsid w:val="2EF57EF8"/>
    <w:rsid w:val="2EF70B35"/>
    <w:rsid w:val="2EFB7018"/>
    <w:rsid w:val="2EFF288B"/>
    <w:rsid w:val="2F065CE2"/>
    <w:rsid w:val="2F1021F5"/>
    <w:rsid w:val="2F151A6E"/>
    <w:rsid w:val="2F153988"/>
    <w:rsid w:val="2F154731"/>
    <w:rsid w:val="2F162BDB"/>
    <w:rsid w:val="2F1A09EA"/>
    <w:rsid w:val="2F1C5505"/>
    <w:rsid w:val="2F1D1FEE"/>
    <w:rsid w:val="2F1D6F37"/>
    <w:rsid w:val="2F215261"/>
    <w:rsid w:val="2F224986"/>
    <w:rsid w:val="2F2D7CFE"/>
    <w:rsid w:val="2F362947"/>
    <w:rsid w:val="2F384E37"/>
    <w:rsid w:val="2F3925CB"/>
    <w:rsid w:val="2F3A3948"/>
    <w:rsid w:val="2F4862FA"/>
    <w:rsid w:val="2F4E5192"/>
    <w:rsid w:val="2F520F27"/>
    <w:rsid w:val="2F524A74"/>
    <w:rsid w:val="2F540059"/>
    <w:rsid w:val="2F5F067B"/>
    <w:rsid w:val="2F77273B"/>
    <w:rsid w:val="2F7A3B8C"/>
    <w:rsid w:val="2F7A4403"/>
    <w:rsid w:val="2F7A460B"/>
    <w:rsid w:val="2F8233C9"/>
    <w:rsid w:val="2F827BBA"/>
    <w:rsid w:val="2F884949"/>
    <w:rsid w:val="2F9432ED"/>
    <w:rsid w:val="2FAC28ED"/>
    <w:rsid w:val="2FAE702D"/>
    <w:rsid w:val="2FAF195D"/>
    <w:rsid w:val="2FB746BD"/>
    <w:rsid w:val="2FBB4D1E"/>
    <w:rsid w:val="2FBE036A"/>
    <w:rsid w:val="2FC02C89"/>
    <w:rsid w:val="2FC11140"/>
    <w:rsid w:val="2FCA55EE"/>
    <w:rsid w:val="2FD15F8A"/>
    <w:rsid w:val="2FD33A8B"/>
    <w:rsid w:val="2FDD2EE6"/>
    <w:rsid w:val="2FE57FED"/>
    <w:rsid w:val="2FE778C1"/>
    <w:rsid w:val="2FE93960"/>
    <w:rsid w:val="2FEA2CA1"/>
    <w:rsid w:val="2FEC4A36"/>
    <w:rsid w:val="2FF81ACE"/>
    <w:rsid w:val="2FF922B5"/>
    <w:rsid w:val="2FFB15BE"/>
    <w:rsid w:val="2FFB66BB"/>
    <w:rsid w:val="2FFC196F"/>
    <w:rsid w:val="30032221"/>
    <w:rsid w:val="300414D2"/>
    <w:rsid w:val="300540D0"/>
    <w:rsid w:val="30073294"/>
    <w:rsid w:val="30137EAD"/>
    <w:rsid w:val="30146C58"/>
    <w:rsid w:val="301601A6"/>
    <w:rsid w:val="301B756B"/>
    <w:rsid w:val="3025663B"/>
    <w:rsid w:val="302613A0"/>
    <w:rsid w:val="3027198B"/>
    <w:rsid w:val="30274161"/>
    <w:rsid w:val="302E3831"/>
    <w:rsid w:val="303C66A4"/>
    <w:rsid w:val="303E04A3"/>
    <w:rsid w:val="303F7AB7"/>
    <w:rsid w:val="30405223"/>
    <w:rsid w:val="3046098A"/>
    <w:rsid w:val="304C47F8"/>
    <w:rsid w:val="3050190A"/>
    <w:rsid w:val="305279F7"/>
    <w:rsid w:val="3058256D"/>
    <w:rsid w:val="306233EC"/>
    <w:rsid w:val="306B68DD"/>
    <w:rsid w:val="306C6018"/>
    <w:rsid w:val="306C7052"/>
    <w:rsid w:val="30722B71"/>
    <w:rsid w:val="30766E97"/>
    <w:rsid w:val="307B4409"/>
    <w:rsid w:val="307C2E00"/>
    <w:rsid w:val="307C39D1"/>
    <w:rsid w:val="30830027"/>
    <w:rsid w:val="30847806"/>
    <w:rsid w:val="308C7A93"/>
    <w:rsid w:val="309317F7"/>
    <w:rsid w:val="309558E9"/>
    <w:rsid w:val="309B06AC"/>
    <w:rsid w:val="309D41D1"/>
    <w:rsid w:val="309F1F4A"/>
    <w:rsid w:val="30A05F85"/>
    <w:rsid w:val="30A26617"/>
    <w:rsid w:val="30A44D85"/>
    <w:rsid w:val="30AD0FC8"/>
    <w:rsid w:val="30B00B8C"/>
    <w:rsid w:val="30B860DB"/>
    <w:rsid w:val="30C05CFD"/>
    <w:rsid w:val="30C26F80"/>
    <w:rsid w:val="30C450A0"/>
    <w:rsid w:val="30C91BB8"/>
    <w:rsid w:val="30CA6343"/>
    <w:rsid w:val="30CC462D"/>
    <w:rsid w:val="30D013B4"/>
    <w:rsid w:val="30E4560F"/>
    <w:rsid w:val="30E748E9"/>
    <w:rsid w:val="30EF096B"/>
    <w:rsid w:val="30EF11F7"/>
    <w:rsid w:val="30EF2183"/>
    <w:rsid w:val="30F46A11"/>
    <w:rsid w:val="30FB6CE9"/>
    <w:rsid w:val="310B330B"/>
    <w:rsid w:val="310E5F80"/>
    <w:rsid w:val="31131CB8"/>
    <w:rsid w:val="311346E6"/>
    <w:rsid w:val="3115220C"/>
    <w:rsid w:val="311D1EB8"/>
    <w:rsid w:val="312731F8"/>
    <w:rsid w:val="31274C9C"/>
    <w:rsid w:val="312F5DB4"/>
    <w:rsid w:val="313703D4"/>
    <w:rsid w:val="313A5AEE"/>
    <w:rsid w:val="3141098A"/>
    <w:rsid w:val="31432586"/>
    <w:rsid w:val="314A7425"/>
    <w:rsid w:val="314D0089"/>
    <w:rsid w:val="314F5689"/>
    <w:rsid w:val="3151002A"/>
    <w:rsid w:val="31586592"/>
    <w:rsid w:val="315947EF"/>
    <w:rsid w:val="3162252D"/>
    <w:rsid w:val="3163533B"/>
    <w:rsid w:val="316E4794"/>
    <w:rsid w:val="316E7B6E"/>
    <w:rsid w:val="317038E6"/>
    <w:rsid w:val="31707A72"/>
    <w:rsid w:val="31716CC5"/>
    <w:rsid w:val="31745184"/>
    <w:rsid w:val="31797323"/>
    <w:rsid w:val="317E65E5"/>
    <w:rsid w:val="317F3B29"/>
    <w:rsid w:val="31857392"/>
    <w:rsid w:val="3192385D"/>
    <w:rsid w:val="319E48F7"/>
    <w:rsid w:val="31A10B44"/>
    <w:rsid w:val="31A12BC4"/>
    <w:rsid w:val="31A24028"/>
    <w:rsid w:val="31A2656D"/>
    <w:rsid w:val="31A3360D"/>
    <w:rsid w:val="31A7298B"/>
    <w:rsid w:val="31A8417B"/>
    <w:rsid w:val="31AC3518"/>
    <w:rsid w:val="31B0101A"/>
    <w:rsid w:val="31B86A7D"/>
    <w:rsid w:val="31BA2149"/>
    <w:rsid w:val="31CB458C"/>
    <w:rsid w:val="31D976DD"/>
    <w:rsid w:val="31DA3682"/>
    <w:rsid w:val="31DC29AC"/>
    <w:rsid w:val="31E63980"/>
    <w:rsid w:val="31E64099"/>
    <w:rsid w:val="31E97C5F"/>
    <w:rsid w:val="31F1484C"/>
    <w:rsid w:val="31F167D5"/>
    <w:rsid w:val="31F41108"/>
    <w:rsid w:val="31F46CEC"/>
    <w:rsid w:val="31F67D3C"/>
    <w:rsid w:val="31FD62B7"/>
    <w:rsid w:val="32026C34"/>
    <w:rsid w:val="320A213F"/>
    <w:rsid w:val="320B2E9E"/>
    <w:rsid w:val="321463A1"/>
    <w:rsid w:val="32333292"/>
    <w:rsid w:val="32356ACF"/>
    <w:rsid w:val="323A12B8"/>
    <w:rsid w:val="323C7C18"/>
    <w:rsid w:val="324650C6"/>
    <w:rsid w:val="32473BF0"/>
    <w:rsid w:val="324C7EAF"/>
    <w:rsid w:val="324E7BDE"/>
    <w:rsid w:val="324F5BF1"/>
    <w:rsid w:val="325150F8"/>
    <w:rsid w:val="32685F2C"/>
    <w:rsid w:val="326A6552"/>
    <w:rsid w:val="3271273F"/>
    <w:rsid w:val="32727F81"/>
    <w:rsid w:val="327545A2"/>
    <w:rsid w:val="327A631B"/>
    <w:rsid w:val="327E6227"/>
    <w:rsid w:val="32853251"/>
    <w:rsid w:val="328959EC"/>
    <w:rsid w:val="328A3DB3"/>
    <w:rsid w:val="32902492"/>
    <w:rsid w:val="3295655A"/>
    <w:rsid w:val="32A6777E"/>
    <w:rsid w:val="32A73338"/>
    <w:rsid w:val="32AA0902"/>
    <w:rsid w:val="32B446B8"/>
    <w:rsid w:val="32B85545"/>
    <w:rsid w:val="32BA750F"/>
    <w:rsid w:val="32BE51C6"/>
    <w:rsid w:val="32C26397"/>
    <w:rsid w:val="32C427A0"/>
    <w:rsid w:val="32C577E1"/>
    <w:rsid w:val="32D2053E"/>
    <w:rsid w:val="32D33A39"/>
    <w:rsid w:val="32D5285C"/>
    <w:rsid w:val="32D80D43"/>
    <w:rsid w:val="32E75CFB"/>
    <w:rsid w:val="32EA3F1B"/>
    <w:rsid w:val="32ED13AC"/>
    <w:rsid w:val="32FC43B4"/>
    <w:rsid w:val="32FE2C56"/>
    <w:rsid w:val="33013385"/>
    <w:rsid w:val="33082DEC"/>
    <w:rsid w:val="3309737C"/>
    <w:rsid w:val="330A40C9"/>
    <w:rsid w:val="330F27E3"/>
    <w:rsid w:val="33152997"/>
    <w:rsid w:val="33175C6B"/>
    <w:rsid w:val="33181626"/>
    <w:rsid w:val="33223F36"/>
    <w:rsid w:val="33227B52"/>
    <w:rsid w:val="332419C2"/>
    <w:rsid w:val="33272CFD"/>
    <w:rsid w:val="332826CA"/>
    <w:rsid w:val="333048BE"/>
    <w:rsid w:val="333378C0"/>
    <w:rsid w:val="33356B95"/>
    <w:rsid w:val="333702C6"/>
    <w:rsid w:val="333A4766"/>
    <w:rsid w:val="334212B2"/>
    <w:rsid w:val="33475C37"/>
    <w:rsid w:val="334F40FB"/>
    <w:rsid w:val="335B2774"/>
    <w:rsid w:val="33666FF1"/>
    <w:rsid w:val="336A33CB"/>
    <w:rsid w:val="3371500C"/>
    <w:rsid w:val="337532F1"/>
    <w:rsid w:val="337630A8"/>
    <w:rsid w:val="337A0CE7"/>
    <w:rsid w:val="337E0E26"/>
    <w:rsid w:val="338261D0"/>
    <w:rsid w:val="33850976"/>
    <w:rsid w:val="33877982"/>
    <w:rsid w:val="338A5A42"/>
    <w:rsid w:val="338E67EC"/>
    <w:rsid w:val="339617C9"/>
    <w:rsid w:val="33A41C14"/>
    <w:rsid w:val="33AE387B"/>
    <w:rsid w:val="33B578F0"/>
    <w:rsid w:val="33B65C94"/>
    <w:rsid w:val="33BD55AE"/>
    <w:rsid w:val="33C86F17"/>
    <w:rsid w:val="33CC0EB0"/>
    <w:rsid w:val="33D14DE6"/>
    <w:rsid w:val="33DC6DF6"/>
    <w:rsid w:val="33E54ACD"/>
    <w:rsid w:val="33EB7E13"/>
    <w:rsid w:val="33F05233"/>
    <w:rsid w:val="33F11A23"/>
    <w:rsid w:val="33F153DA"/>
    <w:rsid w:val="33FE342B"/>
    <w:rsid w:val="34032FA0"/>
    <w:rsid w:val="34052A0C"/>
    <w:rsid w:val="34074FA3"/>
    <w:rsid w:val="34081664"/>
    <w:rsid w:val="341300A9"/>
    <w:rsid w:val="34142C4F"/>
    <w:rsid w:val="3415308A"/>
    <w:rsid w:val="341B1C22"/>
    <w:rsid w:val="341B3E95"/>
    <w:rsid w:val="34207846"/>
    <w:rsid w:val="34242DD3"/>
    <w:rsid w:val="342A2472"/>
    <w:rsid w:val="343037AF"/>
    <w:rsid w:val="34310037"/>
    <w:rsid w:val="3431423E"/>
    <w:rsid w:val="34324BB3"/>
    <w:rsid w:val="343548CB"/>
    <w:rsid w:val="34364C7B"/>
    <w:rsid w:val="343A03A1"/>
    <w:rsid w:val="3451112E"/>
    <w:rsid w:val="34525A0A"/>
    <w:rsid w:val="345B6AD0"/>
    <w:rsid w:val="345E4E5B"/>
    <w:rsid w:val="34781430"/>
    <w:rsid w:val="34830893"/>
    <w:rsid w:val="34873FDA"/>
    <w:rsid w:val="348845FB"/>
    <w:rsid w:val="348D7F06"/>
    <w:rsid w:val="348E47AF"/>
    <w:rsid w:val="34906F65"/>
    <w:rsid w:val="3492540B"/>
    <w:rsid w:val="34931DC5"/>
    <w:rsid w:val="349F2D0B"/>
    <w:rsid w:val="349F79BB"/>
    <w:rsid w:val="34A96596"/>
    <w:rsid w:val="34AB6505"/>
    <w:rsid w:val="34B253ED"/>
    <w:rsid w:val="34B5144C"/>
    <w:rsid w:val="34B929D0"/>
    <w:rsid w:val="34BF4CAA"/>
    <w:rsid w:val="34C06933"/>
    <w:rsid w:val="34C53F49"/>
    <w:rsid w:val="34C61174"/>
    <w:rsid w:val="34CC180E"/>
    <w:rsid w:val="34CC349F"/>
    <w:rsid w:val="34D03FA8"/>
    <w:rsid w:val="34D16B7A"/>
    <w:rsid w:val="34D553A2"/>
    <w:rsid w:val="34D643A8"/>
    <w:rsid w:val="34DD1D1E"/>
    <w:rsid w:val="34E46AC5"/>
    <w:rsid w:val="34ED43AA"/>
    <w:rsid w:val="34EF0FC6"/>
    <w:rsid w:val="35086344"/>
    <w:rsid w:val="350B1506"/>
    <w:rsid w:val="350D3465"/>
    <w:rsid w:val="35112FCE"/>
    <w:rsid w:val="351D1FD7"/>
    <w:rsid w:val="35243365"/>
    <w:rsid w:val="35284BE6"/>
    <w:rsid w:val="352C3FC8"/>
    <w:rsid w:val="35341369"/>
    <w:rsid w:val="3538644B"/>
    <w:rsid w:val="353A2A3A"/>
    <w:rsid w:val="35491DB9"/>
    <w:rsid w:val="3550281E"/>
    <w:rsid w:val="35527AE3"/>
    <w:rsid w:val="35595252"/>
    <w:rsid w:val="355A755C"/>
    <w:rsid w:val="355D635D"/>
    <w:rsid w:val="356C00F9"/>
    <w:rsid w:val="356F6516"/>
    <w:rsid w:val="357240D1"/>
    <w:rsid w:val="35777939"/>
    <w:rsid w:val="35831A5F"/>
    <w:rsid w:val="35844824"/>
    <w:rsid w:val="35860AB3"/>
    <w:rsid w:val="35887450"/>
    <w:rsid w:val="35894EFE"/>
    <w:rsid w:val="358B5CFB"/>
    <w:rsid w:val="35956011"/>
    <w:rsid w:val="359953B3"/>
    <w:rsid w:val="359B692C"/>
    <w:rsid w:val="359E368E"/>
    <w:rsid w:val="35A37B1A"/>
    <w:rsid w:val="35A818A1"/>
    <w:rsid w:val="35AD335B"/>
    <w:rsid w:val="35AE2C2F"/>
    <w:rsid w:val="35B9585C"/>
    <w:rsid w:val="35BA06AD"/>
    <w:rsid w:val="35C36E72"/>
    <w:rsid w:val="35D25877"/>
    <w:rsid w:val="35DA6748"/>
    <w:rsid w:val="35E438B7"/>
    <w:rsid w:val="35E9033D"/>
    <w:rsid w:val="35ED6E95"/>
    <w:rsid w:val="35F06B68"/>
    <w:rsid w:val="35F44AE6"/>
    <w:rsid w:val="35F57788"/>
    <w:rsid w:val="35FA458D"/>
    <w:rsid w:val="35FC1BEC"/>
    <w:rsid w:val="35FD4BB5"/>
    <w:rsid w:val="36054F45"/>
    <w:rsid w:val="360B4DCC"/>
    <w:rsid w:val="361A0858"/>
    <w:rsid w:val="362703C8"/>
    <w:rsid w:val="36315D3A"/>
    <w:rsid w:val="36341386"/>
    <w:rsid w:val="36393A09"/>
    <w:rsid w:val="36466B43"/>
    <w:rsid w:val="364C3651"/>
    <w:rsid w:val="3653281F"/>
    <w:rsid w:val="36536BFD"/>
    <w:rsid w:val="365C7A6F"/>
    <w:rsid w:val="365D4A44"/>
    <w:rsid w:val="365E6BC3"/>
    <w:rsid w:val="3663062D"/>
    <w:rsid w:val="366C543C"/>
    <w:rsid w:val="366D4A01"/>
    <w:rsid w:val="36730100"/>
    <w:rsid w:val="367479D5"/>
    <w:rsid w:val="36804F11"/>
    <w:rsid w:val="368642FB"/>
    <w:rsid w:val="368816D2"/>
    <w:rsid w:val="368C113A"/>
    <w:rsid w:val="368F0CB2"/>
    <w:rsid w:val="36935099"/>
    <w:rsid w:val="3694326B"/>
    <w:rsid w:val="369605DD"/>
    <w:rsid w:val="369624C6"/>
    <w:rsid w:val="369762BC"/>
    <w:rsid w:val="369C7F24"/>
    <w:rsid w:val="369E4A52"/>
    <w:rsid w:val="36B05FBD"/>
    <w:rsid w:val="36B060E9"/>
    <w:rsid w:val="36C249A4"/>
    <w:rsid w:val="36CF1D1E"/>
    <w:rsid w:val="36D409F4"/>
    <w:rsid w:val="36D42B98"/>
    <w:rsid w:val="36D52B69"/>
    <w:rsid w:val="36DB4207"/>
    <w:rsid w:val="36E51DEB"/>
    <w:rsid w:val="36E545F5"/>
    <w:rsid w:val="36E67CE5"/>
    <w:rsid w:val="36EB12B9"/>
    <w:rsid w:val="36ED6F87"/>
    <w:rsid w:val="36EF34FF"/>
    <w:rsid w:val="36F308D9"/>
    <w:rsid w:val="36F62A5F"/>
    <w:rsid w:val="37064D64"/>
    <w:rsid w:val="370A244E"/>
    <w:rsid w:val="37105893"/>
    <w:rsid w:val="37117919"/>
    <w:rsid w:val="37123663"/>
    <w:rsid w:val="37131C83"/>
    <w:rsid w:val="371A057C"/>
    <w:rsid w:val="372B2641"/>
    <w:rsid w:val="372F4440"/>
    <w:rsid w:val="37337890"/>
    <w:rsid w:val="373808E2"/>
    <w:rsid w:val="373E3FA3"/>
    <w:rsid w:val="37476E97"/>
    <w:rsid w:val="375A306E"/>
    <w:rsid w:val="37636C7B"/>
    <w:rsid w:val="376B43EE"/>
    <w:rsid w:val="376E2676"/>
    <w:rsid w:val="37702334"/>
    <w:rsid w:val="37734CD2"/>
    <w:rsid w:val="377358A2"/>
    <w:rsid w:val="37737C8C"/>
    <w:rsid w:val="37743447"/>
    <w:rsid w:val="37794A43"/>
    <w:rsid w:val="377C08B6"/>
    <w:rsid w:val="377D7C38"/>
    <w:rsid w:val="3783608D"/>
    <w:rsid w:val="378974B0"/>
    <w:rsid w:val="378F639A"/>
    <w:rsid w:val="37920FAE"/>
    <w:rsid w:val="3793032E"/>
    <w:rsid w:val="379C71E3"/>
    <w:rsid w:val="37B63C1C"/>
    <w:rsid w:val="37B7478B"/>
    <w:rsid w:val="37B755A0"/>
    <w:rsid w:val="37C81569"/>
    <w:rsid w:val="37CB5D1A"/>
    <w:rsid w:val="37D0511A"/>
    <w:rsid w:val="37D12B83"/>
    <w:rsid w:val="37D77BEA"/>
    <w:rsid w:val="37E85E79"/>
    <w:rsid w:val="37F45271"/>
    <w:rsid w:val="37F924D2"/>
    <w:rsid w:val="38003C16"/>
    <w:rsid w:val="38042DC8"/>
    <w:rsid w:val="38052CF0"/>
    <w:rsid w:val="381051E0"/>
    <w:rsid w:val="38135712"/>
    <w:rsid w:val="3816314B"/>
    <w:rsid w:val="3816681B"/>
    <w:rsid w:val="381A5A6B"/>
    <w:rsid w:val="381F55AB"/>
    <w:rsid w:val="382316B2"/>
    <w:rsid w:val="382430F8"/>
    <w:rsid w:val="38262F51"/>
    <w:rsid w:val="38276E1B"/>
    <w:rsid w:val="383217AB"/>
    <w:rsid w:val="383767EC"/>
    <w:rsid w:val="3842422E"/>
    <w:rsid w:val="384F24A7"/>
    <w:rsid w:val="38500654"/>
    <w:rsid w:val="385714D9"/>
    <w:rsid w:val="385E2FE6"/>
    <w:rsid w:val="385E319C"/>
    <w:rsid w:val="38602788"/>
    <w:rsid w:val="3867648C"/>
    <w:rsid w:val="386B1340"/>
    <w:rsid w:val="386E4A17"/>
    <w:rsid w:val="387323D4"/>
    <w:rsid w:val="38752D9E"/>
    <w:rsid w:val="38791A9D"/>
    <w:rsid w:val="387B64AF"/>
    <w:rsid w:val="387B759B"/>
    <w:rsid w:val="387E283A"/>
    <w:rsid w:val="38803841"/>
    <w:rsid w:val="388163D9"/>
    <w:rsid w:val="388861A3"/>
    <w:rsid w:val="388C36FB"/>
    <w:rsid w:val="38966328"/>
    <w:rsid w:val="38981C91"/>
    <w:rsid w:val="389A462C"/>
    <w:rsid w:val="389B2981"/>
    <w:rsid w:val="389E16DF"/>
    <w:rsid w:val="38A24133"/>
    <w:rsid w:val="38A24CCD"/>
    <w:rsid w:val="38A807AA"/>
    <w:rsid w:val="38B16CBE"/>
    <w:rsid w:val="38B86862"/>
    <w:rsid w:val="38C70832"/>
    <w:rsid w:val="38D62B35"/>
    <w:rsid w:val="38DF7CCF"/>
    <w:rsid w:val="38F06AA1"/>
    <w:rsid w:val="38F17A02"/>
    <w:rsid w:val="38F25F05"/>
    <w:rsid w:val="38FB43DD"/>
    <w:rsid w:val="39007C46"/>
    <w:rsid w:val="39020C96"/>
    <w:rsid w:val="3908534D"/>
    <w:rsid w:val="390E0CEB"/>
    <w:rsid w:val="391536F1"/>
    <w:rsid w:val="39294C83"/>
    <w:rsid w:val="39494261"/>
    <w:rsid w:val="39497A34"/>
    <w:rsid w:val="39535FC7"/>
    <w:rsid w:val="39540308"/>
    <w:rsid w:val="395A0729"/>
    <w:rsid w:val="395A55A8"/>
    <w:rsid w:val="395F2BBE"/>
    <w:rsid w:val="396226AE"/>
    <w:rsid w:val="39661AE4"/>
    <w:rsid w:val="39663086"/>
    <w:rsid w:val="396B60EC"/>
    <w:rsid w:val="396E2E01"/>
    <w:rsid w:val="396E56E9"/>
    <w:rsid w:val="39706B79"/>
    <w:rsid w:val="397F6DBC"/>
    <w:rsid w:val="39836A27"/>
    <w:rsid w:val="39850165"/>
    <w:rsid w:val="398919E9"/>
    <w:rsid w:val="39910DD9"/>
    <w:rsid w:val="39951B79"/>
    <w:rsid w:val="399579DA"/>
    <w:rsid w:val="39A13FF9"/>
    <w:rsid w:val="39A22AAB"/>
    <w:rsid w:val="39A23CA0"/>
    <w:rsid w:val="39A607ED"/>
    <w:rsid w:val="39AF6875"/>
    <w:rsid w:val="39B023C3"/>
    <w:rsid w:val="39B35E27"/>
    <w:rsid w:val="39B600CD"/>
    <w:rsid w:val="39C24EFB"/>
    <w:rsid w:val="39CB2002"/>
    <w:rsid w:val="39D60666"/>
    <w:rsid w:val="39DF5AAD"/>
    <w:rsid w:val="39EB38E0"/>
    <w:rsid w:val="39F41A62"/>
    <w:rsid w:val="39F771F4"/>
    <w:rsid w:val="39FA6830"/>
    <w:rsid w:val="3A003E1A"/>
    <w:rsid w:val="3A00614F"/>
    <w:rsid w:val="3A092B2A"/>
    <w:rsid w:val="3A0F6392"/>
    <w:rsid w:val="3A175247"/>
    <w:rsid w:val="3A184B1B"/>
    <w:rsid w:val="3A1974BB"/>
    <w:rsid w:val="3A1C106A"/>
    <w:rsid w:val="3A1F69E8"/>
    <w:rsid w:val="3A223F8F"/>
    <w:rsid w:val="3A263DB4"/>
    <w:rsid w:val="3A2D4BC9"/>
    <w:rsid w:val="3A347BA7"/>
    <w:rsid w:val="3A452C42"/>
    <w:rsid w:val="3A464A8B"/>
    <w:rsid w:val="3A465C3F"/>
    <w:rsid w:val="3A4A090A"/>
    <w:rsid w:val="3A4A561C"/>
    <w:rsid w:val="3A555D6F"/>
    <w:rsid w:val="3A60507D"/>
    <w:rsid w:val="3A667F7C"/>
    <w:rsid w:val="3A686B9D"/>
    <w:rsid w:val="3A7056F7"/>
    <w:rsid w:val="3A79380C"/>
    <w:rsid w:val="3A8A5FB9"/>
    <w:rsid w:val="3A8A66ED"/>
    <w:rsid w:val="3A900B55"/>
    <w:rsid w:val="3A9178BE"/>
    <w:rsid w:val="3A9240E7"/>
    <w:rsid w:val="3A995420"/>
    <w:rsid w:val="3AA04BC3"/>
    <w:rsid w:val="3AA06EC0"/>
    <w:rsid w:val="3AA073CE"/>
    <w:rsid w:val="3AA5694A"/>
    <w:rsid w:val="3AA94736"/>
    <w:rsid w:val="3AAF21A5"/>
    <w:rsid w:val="3AAF372C"/>
    <w:rsid w:val="3AB56515"/>
    <w:rsid w:val="3AB97B0D"/>
    <w:rsid w:val="3ABB2076"/>
    <w:rsid w:val="3AC50A89"/>
    <w:rsid w:val="3AC54CA3"/>
    <w:rsid w:val="3ACA46CF"/>
    <w:rsid w:val="3ACF5B21"/>
    <w:rsid w:val="3AD24EEF"/>
    <w:rsid w:val="3AD46F39"/>
    <w:rsid w:val="3AD71B0E"/>
    <w:rsid w:val="3AD84A09"/>
    <w:rsid w:val="3ADB3B42"/>
    <w:rsid w:val="3ADB5945"/>
    <w:rsid w:val="3ADE5D64"/>
    <w:rsid w:val="3AE50640"/>
    <w:rsid w:val="3AE63EF9"/>
    <w:rsid w:val="3AEA4709"/>
    <w:rsid w:val="3AEC7601"/>
    <w:rsid w:val="3AF43DE5"/>
    <w:rsid w:val="3AF5407C"/>
    <w:rsid w:val="3AF561AE"/>
    <w:rsid w:val="3AF57D7E"/>
    <w:rsid w:val="3AF70BD4"/>
    <w:rsid w:val="3AF774A0"/>
    <w:rsid w:val="3AF86E26"/>
    <w:rsid w:val="3B001EA4"/>
    <w:rsid w:val="3B027516"/>
    <w:rsid w:val="3B031B61"/>
    <w:rsid w:val="3B0C67A6"/>
    <w:rsid w:val="3B11613A"/>
    <w:rsid w:val="3B1672AC"/>
    <w:rsid w:val="3B190B4B"/>
    <w:rsid w:val="3B2A0A76"/>
    <w:rsid w:val="3B2E1A16"/>
    <w:rsid w:val="3B36081E"/>
    <w:rsid w:val="3B3B6D13"/>
    <w:rsid w:val="3B40671F"/>
    <w:rsid w:val="3B406C56"/>
    <w:rsid w:val="3B417149"/>
    <w:rsid w:val="3B45313E"/>
    <w:rsid w:val="3B4B5FDE"/>
    <w:rsid w:val="3B5B73B5"/>
    <w:rsid w:val="3B5C7E1B"/>
    <w:rsid w:val="3B5F5BE1"/>
    <w:rsid w:val="3B6444BC"/>
    <w:rsid w:val="3B697D24"/>
    <w:rsid w:val="3B6B724C"/>
    <w:rsid w:val="3B6E1DF1"/>
    <w:rsid w:val="3B71101E"/>
    <w:rsid w:val="3B793B48"/>
    <w:rsid w:val="3B804EEE"/>
    <w:rsid w:val="3B871DCE"/>
    <w:rsid w:val="3B966D48"/>
    <w:rsid w:val="3B9960F0"/>
    <w:rsid w:val="3B9C1EA7"/>
    <w:rsid w:val="3B9D177C"/>
    <w:rsid w:val="3B9D798A"/>
    <w:rsid w:val="3B9F6DC4"/>
    <w:rsid w:val="3BA23236"/>
    <w:rsid w:val="3BAD4CD9"/>
    <w:rsid w:val="3BB40E41"/>
    <w:rsid w:val="3BB52F69"/>
    <w:rsid w:val="3BB54D17"/>
    <w:rsid w:val="3BC1163C"/>
    <w:rsid w:val="3BCC3E0F"/>
    <w:rsid w:val="3BD46178"/>
    <w:rsid w:val="3BD60487"/>
    <w:rsid w:val="3BDA7C1C"/>
    <w:rsid w:val="3BDB62F2"/>
    <w:rsid w:val="3BE158E5"/>
    <w:rsid w:val="3BED2703"/>
    <w:rsid w:val="3BF36765"/>
    <w:rsid w:val="3BFA044B"/>
    <w:rsid w:val="3BFF3264"/>
    <w:rsid w:val="3C026CDA"/>
    <w:rsid w:val="3C033CD5"/>
    <w:rsid w:val="3C040BD6"/>
    <w:rsid w:val="3C0637C5"/>
    <w:rsid w:val="3C0743BD"/>
    <w:rsid w:val="3C083163"/>
    <w:rsid w:val="3C093BF4"/>
    <w:rsid w:val="3C09606D"/>
    <w:rsid w:val="3C145EE2"/>
    <w:rsid w:val="3C1557B6"/>
    <w:rsid w:val="3C157564"/>
    <w:rsid w:val="3C262BA6"/>
    <w:rsid w:val="3C272C54"/>
    <w:rsid w:val="3C2F4E38"/>
    <w:rsid w:val="3C30196A"/>
    <w:rsid w:val="3C355E58"/>
    <w:rsid w:val="3C36194A"/>
    <w:rsid w:val="3C3F762A"/>
    <w:rsid w:val="3C4151B9"/>
    <w:rsid w:val="3C44609B"/>
    <w:rsid w:val="3C4756D5"/>
    <w:rsid w:val="3C4B742A"/>
    <w:rsid w:val="3C4F5144"/>
    <w:rsid w:val="3C511160"/>
    <w:rsid w:val="3C5A45CF"/>
    <w:rsid w:val="3C5E715D"/>
    <w:rsid w:val="3C5F6A31"/>
    <w:rsid w:val="3C65673D"/>
    <w:rsid w:val="3C710B37"/>
    <w:rsid w:val="3C726B00"/>
    <w:rsid w:val="3C737430"/>
    <w:rsid w:val="3C750D65"/>
    <w:rsid w:val="3C761AAA"/>
    <w:rsid w:val="3C790231"/>
    <w:rsid w:val="3C7A1ABD"/>
    <w:rsid w:val="3C7D7C75"/>
    <w:rsid w:val="3C7F11EE"/>
    <w:rsid w:val="3C842140"/>
    <w:rsid w:val="3C9450C1"/>
    <w:rsid w:val="3C963F93"/>
    <w:rsid w:val="3CA07865"/>
    <w:rsid w:val="3CAC2E5E"/>
    <w:rsid w:val="3CAE7413"/>
    <w:rsid w:val="3CB0019C"/>
    <w:rsid w:val="3CB13731"/>
    <w:rsid w:val="3CB411D6"/>
    <w:rsid w:val="3CBB635D"/>
    <w:rsid w:val="3CBF319F"/>
    <w:rsid w:val="3CC412E3"/>
    <w:rsid w:val="3CCF005B"/>
    <w:rsid w:val="3CD64183"/>
    <w:rsid w:val="3CD81676"/>
    <w:rsid w:val="3CDE3DFA"/>
    <w:rsid w:val="3CDE7BB8"/>
    <w:rsid w:val="3CE75FEF"/>
    <w:rsid w:val="3CF03B2D"/>
    <w:rsid w:val="3CF90C34"/>
    <w:rsid w:val="3D007C21"/>
    <w:rsid w:val="3D023DBB"/>
    <w:rsid w:val="3D031AB2"/>
    <w:rsid w:val="3D08531B"/>
    <w:rsid w:val="3D0C4E0B"/>
    <w:rsid w:val="3D157922"/>
    <w:rsid w:val="3D163058"/>
    <w:rsid w:val="3D17277E"/>
    <w:rsid w:val="3D186295"/>
    <w:rsid w:val="3D211F38"/>
    <w:rsid w:val="3D221248"/>
    <w:rsid w:val="3D24714F"/>
    <w:rsid w:val="3D264775"/>
    <w:rsid w:val="3D281D12"/>
    <w:rsid w:val="3D2C1009"/>
    <w:rsid w:val="3D2F0039"/>
    <w:rsid w:val="3D3103CE"/>
    <w:rsid w:val="3D322CF4"/>
    <w:rsid w:val="3D3A1978"/>
    <w:rsid w:val="3D3E2C65"/>
    <w:rsid w:val="3D411A30"/>
    <w:rsid w:val="3D456C29"/>
    <w:rsid w:val="3D4A6972"/>
    <w:rsid w:val="3D527AE1"/>
    <w:rsid w:val="3D5436A8"/>
    <w:rsid w:val="3D600CB3"/>
    <w:rsid w:val="3D622C7D"/>
    <w:rsid w:val="3D7B244D"/>
    <w:rsid w:val="3D83097C"/>
    <w:rsid w:val="3D8700F2"/>
    <w:rsid w:val="3D892422"/>
    <w:rsid w:val="3D8B21D4"/>
    <w:rsid w:val="3D8C1794"/>
    <w:rsid w:val="3D8E7E7B"/>
    <w:rsid w:val="3D9114F6"/>
    <w:rsid w:val="3D913DB0"/>
    <w:rsid w:val="3D980B7F"/>
    <w:rsid w:val="3D9A41C5"/>
    <w:rsid w:val="3DA65768"/>
    <w:rsid w:val="3DA819B8"/>
    <w:rsid w:val="3DAC3EF8"/>
    <w:rsid w:val="3DAF4B39"/>
    <w:rsid w:val="3DC47494"/>
    <w:rsid w:val="3DCC244B"/>
    <w:rsid w:val="3DD05E38"/>
    <w:rsid w:val="3DE235C1"/>
    <w:rsid w:val="3DE356DF"/>
    <w:rsid w:val="3DFA15C3"/>
    <w:rsid w:val="3DFB1985"/>
    <w:rsid w:val="3DFB59E2"/>
    <w:rsid w:val="3E006D23"/>
    <w:rsid w:val="3E0731D4"/>
    <w:rsid w:val="3E0A124F"/>
    <w:rsid w:val="3E0B2DAC"/>
    <w:rsid w:val="3E0F1060"/>
    <w:rsid w:val="3E163127"/>
    <w:rsid w:val="3E1D6BA4"/>
    <w:rsid w:val="3E1E2BFE"/>
    <w:rsid w:val="3E203475"/>
    <w:rsid w:val="3E243BE8"/>
    <w:rsid w:val="3E2B6BFA"/>
    <w:rsid w:val="3E2C592D"/>
    <w:rsid w:val="3E2D45E9"/>
    <w:rsid w:val="3E3839DE"/>
    <w:rsid w:val="3E3C527C"/>
    <w:rsid w:val="3E456258"/>
    <w:rsid w:val="3E465F10"/>
    <w:rsid w:val="3E4821B9"/>
    <w:rsid w:val="3E4B3711"/>
    <w:rsid w:val="3E4D20F9"/>
    <w:rsid w:val="3E4E2E0A"/>
    <w:rsid w:val="3E526705"/>
    <w:rsid w:val="3E5527E2"/>
    <w:rsid w:val="3E561D4E"/>
    <w:rsid w:val="3E5720B6"/>
    <w:rsid w:val="3E66054B"/>
    <w:rsid w:val="3E66563F"/>
    <w:rsid w:val="3E671D12"/>
    <w:rsid w:val="3E6840FF"/>
    <w:rsid w:val="3E735319"/>
    <w:rsid w:val="3E7522F8"/>
    <w:rsid w:val="3E770C05"/>
    <w:rsid w:val="3E7E3AE6"/>
    <w:rsid w:val="3E7E7642"/>
    <w:rsid w:val="3E8B0CE9"/>
    <w:rsid w:val="3E9E371C"/>
    <w:rsid w:val="3EA128CF"/>
    <w:rsid w:val="3EA30D7A"/>
    <w:rsid w:val="3EAE4676"/>
    <w:rsid w:val="3EB53A64"/>
    <w:rsid w:val="3EB7158A"/>
    <w:rsid w:val="3EB84FCB"/>
    <w:rsid w:val="3EC9740D"/>
    <w:rsid w:val="3ED43706"/>
    <w:rsid w:val="3ED454B4"/>
    <w:rsid w:val="3ED46F8D"/>
    <w:rsid w:val="3ED74FA5"/>
    <w:rsid w:val="3EE51D9B"/>
    <w:rsid w:val="3EE7052F"/>
    <w:rsid w:val="3EE80F60"/>
    <w:rsid w:val="3EE85404"/>
    <w:rsid w:val="3EEA5CA8"/>
    <w:rsid w:val="3EF13539"/>
    <w:rsid w:val="3EF142B8"/>
    <w:rsid w:val="3EF5367D"/>
    <w:rsid w:val="3EF644E3"/>
    <w:rsid w:val="3EFD266B"/>
    <w:rsid w:val="3F010273"/>
    <w:rsid w:val="3F011C59"/>
    <w:rsid w:val="3F080FA9"/>
    <w:rsid w:val="3F270943"/>
    <w:rsid w:val="3F2715D2"/>
    <w:rsid w:val="3F3423F7"/>
    <w:rsid w:val="3F3441A5"/>
    <w:rsid w:val="3F406FEE"/>
    <w:rsid w:val="3F4225CA"/>
    <w:rsid w:val="3F425832"/>
    <w:rsid w:val="3F450160"/>
    <w:rsid w:val="3F452EFB"/>
    <w:rsid w:val="3F4646BA"/>
    <w:rsid w:val="3F4A3B19"/>
    <w:rsid w:val="3F5C69BC"/>
    <w:rsid w:val="3F666EE3"/>
    <w:rsid w:val="3F674836"/>
    <w:rsid w:val="3F696545"/>
    <w:rsid w:val="3F6C29CF"/>
    <w:rsid w:val="3F6D08A1"/>
    <w:rsid w:val="3F744DE8"/>
    <w:rsid w:val="3F7B0026"/>
    <w:rsid w:val="3F7D2141"/>
    <w:rsid w:val="3F920DD1"/>
    <w:rsid w:val="3F93711E"/>
    <w:rsid w:val="3F984734"/>
    <w:rsid w:val="3F9875F9"/>
    <w:rsid w:val="3F9F0463"/>
    <w:rsid w:val="3FA2087F"/>
    <w:rsid w:val="3FA5392F"/>
    <w:rsid w:val="3FA94B93"/>
    <w:rsid w:val="3FB23566"/>
    <w:rsid w:val="3FB52DDF"/>
    <w:rsid w:val="3FBC394F"/>
    <w:rsid w:val="3FC90AB1"/>
    <w:rsid w:val="3FCB2D5B"/>
    <w:rsid w:val="3FCB3F6B"/>
    <w:rsid w:val="3FCD3D00"/>
    <w:rsid w:val="3FCF775C"/>
    <w:rsid w:val="3FD2199A"/>
    <w:rsid w:val="3FD37E62"/>
    <w:rsid w:val="3FD57736"/>
    <w:rsid w:val="3FD6525C"/>
    <w:rsid w:val="3FDA4D4C"/>
    <w:rsid w:val="3FE037A4"/>
    <w:rsid w:val="3FE0432D"/>
    <w:rsid w:val="3FE12556"/>
    <w:rsid w:val="3FE55380"/>
    <w:rsid w:val="3FE57E6F"/>
    <w:rsid w:val="3FE717BE"/>
    <w:rsid w:val="3FE9BE00"/>
    <w:rsid w:val="3FEE4D84"/>
    <w:rsid w:val="3FF03E96"/>
    <w:rsid w:val="3FF076F1"/>
    <w:rsid w:val="3FF102E8"/>
    <w:rsid w:val="3FF80D4F"/>
    <w:rsid w:val="3FF95DE4"/>
    <w:rsid w:val="3FFE7A37"/>
    <w:rsid w:val="40000C3B"/>
    <w:rsid w:val="40086104"/>
    <w:rsid w:val="400A442B"/>
    <w:rsid w:val="40104C12"/>
    <w:rsid w:val="40113241"/>
    <w:rsid w:val="401456B9"/>
    <w:rsid w:val="401775F8"/>
    <w:rsid w:val="402218A5"/>
    <w:rsid w:val="402B37FA"/>
    <w:rsid w:val="40300A76"/>
    <w:rsid w:val="40317FEE"/>
    <w:rsid w:val="40330901"/>
    <w:rsid w:val="40414DCB"/>
    <w:rsid w:val="404228F2"/>
    <w:rsid w:val="404A060D"/>
    <w:rsid w:val="404A0D96"/>
    <w:rsid w:val="404E324B"/>
    <w:rsid w:val="404E5A99"/>
    <w:rsid w:val="40535028"/>
    <w:rsid w:val="405375FD"/>
    <w:rsid w:val="405457BB"/>
    <w:rsid w:val="40554C35"/>
    <w:rsid w:val="40580367"/>
    <w:rsid w:val="405F416C"/>
    <w:rsid w:val="406608EB"/>
    <w:rsid w:val="406C796F"/>
    <w:rsid w:val="406D5BC1"/>
    <w:rsid w:val="40711F78"/>
    <w:rsid w:val="407A38DF"/>
    <w:rsid w:val="407A685E"/>
    <w:rsid w:val="408D1686"/>
    <w:rsid w:val="408F6D80"/>
    <w:rsid w:val="40912665"/>
    <w:rsid w:val="409162B5"/>
    <w:rsid w:val="4093314D"/>
    <w:rsid w:val="409663CF"/>
    <w:rsid w:val="409E3FCC"/>
    <w:rsid w:val="409F04D3"/>
    <w:rsid w:val="40A52BDF"/>
    <w:rsid w:val="40AA6854"/>
    <w:rsid w:val="40AC39D2"/>
    <w:rsid w:val="40AD420F"/>
    <w:rsid w:val="40B053E3"/>
    <w:rsid w:val="40B76E3C"/>
    <w:rsid w:val="40BA6DA3"/>
    <w:rsid w:val="40BB5C8B"/>
    <w:rsid w:val="40BE56B0"/>
    <w:rsid w:val="40C407B0"/>
    <w:rsid w:val="40CA1C67"/>
    <w:rsid w:val="40D27F58"/>
    <w:rsid w:val="40D82276"/>
    <w:rsid w:val="40DC4AF4"/>
    <w:rsid w:val="40E35060"/>
    <w:rsid w:val="40E45051"/>
    <w:rsid w:val="40EA6776"/>
    <w:rsid w:val="40EF64BC"/>
    <w:rsid w:val="40F563D4"/>
    <w:rsid w:val="40F77B80"/>
    <w:rsid w:val="40FF233C"/>
    <w:rsid w:val="40FF4EB6"/>
    <w:rsid w:val="41011BF2"/>
    <w:rsid w:val="4105203B"/>
    <w:rsid w:val="41062434"/>
    <w:rsid w:val="41083B3B"/>
    <w:rsid w:val="410A07A5"/>
    <w:rsid w:val="410D4CAE"/>
    <w:rsid w:val="410E108A"/>
    <w:rsid w:val="41120516"/>
    <w:rsid w:val="411C1F81"/>
    <w:rsid w:val="411E081A"/>
    <w:rsid w:val="4125664C"/>
    <w:rsid w:val="41260DCB"/>
    <w:rsid w:val="41263FC1"/>
    <w:rsid w:val="41272AA5"/>
    <w:rsid w:val="412A5860"/>
    <w:rsid w:val="41310812"/>
    <w:rsid w:val="413E2ECE"/>
    <w:rsid w:val="413F3169"/>
    <w:rsid w:val="4144559D"/>
    <w:rsid w:val="41537623"/>
    <w:rsid w:val="415A1624"/>
    <w:rsid w:val="416751FE"/>
    <w:rsid w:val="416901DE"/>
    <w:rsid w:val="41696D29"/>
    <w:rsid w:val="416A109C"/>
    <w:rsid w:val="416D4B5E"/>
    <w:rsid w:val="41767F8A"/>
    <w:rsid w:val="41792973"/>
    <w:rsid w:val="417D30C1"/>
    <w:rsid w:val="41883CFA"/>
    <w:rsid w:val="418A72CE"/>
    <w:rsid w:val="419F6BAB"/>
    <w:rsid w:val="41A158A7"/>
    <w:rsid w:val="41A43864"/>
    <w:rsid w:val="41B0270A"/>
    <w:rsid w:val="41B1703D"/>
    <w:rsid w:val="41BA1AB0"/>
    <w:rsid w:val="41C16BCE"/>
    <w:rsid w:val="41D659E7"/>
    <w:rsid w:val="41D66AFC"/>
    <w:rsid w:val="41D8263C"/>
    <w:rsid w:val="41D917B2"/>
    <w:rsid w:val="41DF5F66"/>
    <w:rsid w:val="41E50F6B"/>
    <w:rsid w:val="41E727BF"/>
    <w:rsid w:val="41E75040"/>
    <w:rsid w:val="41F11E2A"/>
    <w:rsid w:val="41FB2B31"/>
    <w:rsid w:val="42022339"/>
    <w:rsid w:val="420330D8"/>
    <w:rsid w:val="42070FBE"/>
    <w:rsid w:val="42084332"/>
    <w:rsid w:val="42097B6B"/>
    <w:rsid w:val="420B76FD"/>
    <w:rsid w:val="42162288"/>
    <w:rsid w:val="422853F7"/>
    <w:rsid w:val="422C6F42"/>
    <w:rsid w:val="42332B8B"/>
    <w:rsid w:val="4235270E"/>
    <w:rsid w:val="423B106B"/>
    <w:rsid w:val="423F358D"/>
    <w:rsid w:val="4243519E"/>
    <w:rsid w:val="424C3287"/>
    <w:rsid w:val="42505C96"/>
    <w:rsid w:val="42507142"/>
    <w:rsid w:val="425B7C9B"/>
    <w:rsid w:val="425F59DD"/>
    <w:rsid w:val="426737A9"/>
    <w:rsid w:val="426F64C9"/>
    <w:rsid w:val="42733490"/>
    <w:rsid w:val="427829F8"/>
    <w:rsid w:val="42784CF1"/>
    <w:rsid w:val="4278617C"/>
    <w:rsid w:val="427861A5"/>
    <w:rsid w:val="427B074B"/>
    <w:rsid w:val="427D5E63"/>
    <w:rsid w:val="42806DDF"/>
    <w:rsid w:val="4284269D"/>
    <w:rsid w:val="42883E94"/>
    <w:rsid w:val="428C50F8"/>
    <w:rsid w:val="42901E08"/>
    <w:rsid w:val="42980243"/>
    <w:rsid w:val="429C15F7"/>
    <w:rsid w:val="429F2E79"/>
    <w:rsid w:val="42B327A0"/>
    <w:rsid w:val="42B61283"/>
    <w:rsid w:val="42BC4FE8"/>
    <w:rsid w:val="42C5648A"/>
    <w:rsid w:val="42C57127"/>
    <w:rsid w:val="42C955C2"/>
    <w:rsid w:val="42CA2AE0"/>
    <w:rsid w:val="42CE618E"/>
    <w:rsid w:val="42D54A91"/>
    <w:rsid w:val="42E057A0"/>
    <w:rsid w:val="42E21C31"/>
    <w:rsid w:val="42E93DB6"/>
    <w:rsid w:val="42F658E4"/>
    <w:rsid w:val="42F66609"/>
    <w:rsid w:val="42F75A6F"/>
    <w:rsid w:val="42F9312C"/>
    <w:rsid w:val="43030A5E"/>
    <w:rsid w:val="43033CFC"/>
    <w:rsid w:val="4305188C"/>
    <w:rsid w:val="431B2271"/>
    <w:rsid w:val="431E23C3"/>
    <w:rsid w:val="432219EC"/>
    <w:rsid w:val="43241646"/>
    <w:rsid w:val="43244357"/>
    <w:rsid w:val="432725D3"/>
    <w:rsid w:val="432804C5"/>
    <w:rsid w:val="432A493D"/>
    <w:rsid w:val="433021CB"/>
    <w:rsid w:val="43313104"/>
    <w:rsid w:val="433B25CE"/>
    <w:rsid w:val="433B7D9D"/>
    <w:rsid w:val="433E0587"/>
    <w:rsid w:val="434150E2"/>
    <w:rsid w:val="43441B22"/>
    <w:rsid w:val="434B25DE"/>
    <w:rsid w:val="434D1CD9"/>
    <w:rsid w:val="43681B42"/>
    <w:rsid w:val="43747266"/>
    <w:rsid w:val="437B23A2"/>
    <w:rsid w:val="43851473"/>
    <w:rsid w:val="438B4E9F"/>
    <w:rsid w:val="43976117"/>
    <w:rsid w:val="439A58FD"/>
    <w:rsid w:val="439A7EB6"/>
    <w:rsid w:val="43A23DD3"/>
    <w:rsid w:val="43A52A3F"/>
    <w:rsid w:val="43A713E9"/>
    <w:rsid w:val="43A85162"/>
    <w:rsid w:val="43B138E5"/>
    <w:rsid w:val="43B20366"/>
    <w:rsid w:val="43BC29BB"/>
    <w:rsid w:val="43C7531C"/>
    <w:rsid w:val="43CC0E50"/>
    <w:rsid w:val="43CC3903"/>
    <w:rsid w:val="43DA6601"/>
    <w:rsid w:val="43E066A9"/>
    <w:rsid w:val="43E427DC"/>
    <w:rsid w:val="43EA7528"/>
    <w:rsid w:val="43ED51FF"/>
    <w:rsid w:val="43F279B2"/>
    <w:rsid w:val="43F32881"/>
    <w:rsid w:val="43F46CE3"/>
    <w:rsid w:val="44071E88"/>
    <w:rsid w:val="440C56F0"/>
    <w:rsid w:val="440F51E1"/>
    <w:rsid w:val="441303D8"/>
    <w:rsid w:val="441E7C42"/>
    <w:rsid w:val="44217646"/>
    <w:rsid w:val="44222D52"/>
    <w:rsid w:val="442A38B2"/>
    <w:rsid w:val="442F6127"/>
    <w:rsid w:val="443775B0"/>
    <w:rsid w:val="44394A1E"/>
    <w:rsid w:val="443A27B8"/>
    <w:rsid w:val="443F7636"/>
    <w:rsid w:val="44414E97"/>
    <w:rsid w:val="44452751"/>
    <w:rsid w:val="44466E54"/>
    <w:rsid w:val="44575696"/>
    <w:rsid w:val="44625310"/>
    <w:rsid w:val="44664C9E"/>
    <w:rsid w:val="446A74A4"/>
    <w:rsid w:val="446F4077"/>
    <w:rsid w:val="44722746"/>
    <w:rsid w:val="447255E6"/>
    <w:rsid w:val="4473751E"/>
    <w:rsid w:val="4474460E"/>
    <w:rsid w:val="44780252"/>
    <w:rsid w:val="447F5DD9"/>
    <w:rsid w:val="4493196E"/>
    <w:rsid w:val="449C4CC6"/>
    <w:rsid w:val="449F40DB"/>
    <w:rsid w:val="44A65B45"/>
    <w:rsid w:val="44AC5B9F"/>
    <w:rsid w:val="44B244EA"/>
    <w:rsid w:val="44B72A72"/>
    <w:rsid w:val="44C02694"/>
    <w:rsid w:val="44C17F10"/>
    <w:rsid w:val="44C37B11"/>
    <w:rsid w:val="44C47B2E"/>
    <w:rsid w:val="44C82C56"/>
    <w:rsid w:val="44CB55AC"/>
    <w:rsid w:val="44CC3828"/>
    <w:rsid w:val="44D412AF"/>
    <w:rsid w:val="44D9054D"/>
    <w:rsid w:val="44E126D9"/>
    <w:rsid w:val="44F62AD1"/>
    <w:rsid w:val="450109DF"/>
    <w:rsid w:val="450A0FC5"/>
    <w:rsid w:val="450B1E4C"/>
    <w:rsid w:val="45147B29"/>
    <w:rsid w:val="45147C1C"/>
    <w:rsid w:val="4518723E"/>
    <w:rsid w:val="45194A17"/>
    <w:rsid w:val="451B1E6A"/>
    <w:rsid w:val="45211F32"/>
    <w:rsid w:val="453A4EBB"/>
    <w:rsid w:val="453F38A4"/>
    <w:rsid w:val="45401AF6"/>
    <w:rsid w:val="45477039"/>
    <w:rsid w:val="45495A62"/>
    <w:rsid w:val="45505AB1"/>
    <w:rsid w:val="4550785F"/>
    <w:rsid w:val="455235D7"/>
    <w:rsid w:val="45555DB8"/>
    <w:rsid w:val="45575091"/>
    <w:rsid w:val="45585F0F"/>
    <w:rsid w:val="455B103E"/>
    <w:rsid w:val="455F1079"/>
    <w:rsid w:val="4561559D"/>
    <w:rsid w:val="456F23DB"/>
    <w:rsid w:val="45701474"/>
    <w:rsid w:val="45717543"/>
    <w:rsid w:val="457B0D80"/>
    <w:rsid w:val="457C1AF1"/>
    <w:rsid w:val="45865153"/>
    <w:rsid w:val="4587125C"/>
    <w:rsid w:val="458D4BC2"/>
    <w:rsid w:val="458E4BCC"/>
    <w:rsid w:val="459E4A6E"/>
    <w:rsid w:val="45A713FD"/>
    <w:rsid w:val="45AA20AF"/>
    <w:rsid w:val="45AB2CE7"/>
    <w:rsid w:val="45B369C6"/>
    <w:rsid w:val="45BC6212"/>
    <w:rsid w:val="45C75D73"/>
    <w:rsid w:val="45C81A6C"/>
    <w:rsid w:val="45C857C3"/>
    <w:rsid w:val="45C8707F"/>
    <w:rsid w:val="45CB0A13"/>
    <w:rsid w:val="45CF4C28"/>
    <w:rsid w:val="45D5040C"/>
    <w:rsid w:val="45DC7F7B"/>
    <w:rsid w:val="45DD7FEB"/>
    <w:rsid w:val="45F3276F"/>
    <w:rsid w:val="45F557DB"/>
    <w:rsid w:val="45F6135C"/>
    <w:rsid w:val="45F621B4"/>
    <w:rsid w:val="45FA4B9E"/>
    <w:rsid w:val="460274A8"/>
    <w:rsid w:val="46032B23"/>
    <w:rsid w:val="4612476D"/>
    <w:rsid w:val="461D1E37"/>
    <w:rsid w:val="46250CEB"/>
    <w:rsid w:val="4626534C"/>
    <w:rsid w:val="462836BC"/>
    <w:rsid w:val="462B5DC8"/>
    <w:rsid w:val="462F50C2"/>
    <w:rsid w:val="46377898"/>
    <w:rsid w:val="46405B25"/>
    <w:rsid w:val="4645313C"/>
    <w:rsid w:val="464949DA"/>
    <w:rsid w:val="464B4EF8"/>
    <w:rsid w:val="465A46A3"/>
    <w:rsid w:val="4665558C"/>
    <w:rsid w:val="466965F4"/>
    <w:rsid w:val="467749BB"/>
    <w:rsid w:val="4680614C"/>
    <w:rsid w:val="46812412"/>
    <w:rsid w:val="4682659D"/>
    <w:rsid w:val="46923B4A"/>
    <w:rsid w:val="469F0A9E"/>
    <w:rsid w:val="46A121D0"/>
    <w:rsid w:val="46A777A2"/>
    <w:rsid w:val="46AB71F4"/>
    <w:rsid w:val="46B207D1"/>
    <w:rsid w:val="46B517CF"/>
    <w:rsid w:val="46B631C1"/>
    <w:rsid w:val="46B65365"/>
    <w:rsid w:val="46B67B95"/>
    <w:rsid w:val="46BD6055"/>
    <w:rsid w:val="46BF7389"/>
    <w:rsid w:val="46C97E07"/>
    <w:rsid w:val="46D0431B"/>
    <w:rsid w:val="46D153BA"/>
    <w:rsid w:val="46D32666"/>
    <w:rsid w:val="46D36E96"/>
    <w:rsid w:val="46D71807"/>
    <w:rsid w:val="46E2304B"/>
    <w:rsid w:val="46E464B1"/>
    <w:rsid w:val="46E841F3"/>
    <w:rsid w:val="46EA083D"/>
    <w:rsid w:val="46EB783F"/>
    <w:rsid w:val="46EC3161"/>
    <w:rsid w:val="46F055E4"/>
    <w:rsid w:val="46F5190E"/>
    <w:rsid w:val="46F9764D"/>
    <w:rsid w:val="46FD57C4"/>
    <w:rsid w:val="4701737E"/>
    <w:rsid w:val="4707234B"/>
    <w:rsid w:val="470E18E8"/>
    <w:rsid w:val="4710720C"/>
    <w:rsid w:val="47121270"/>
    <w:rsid w:val="47174AD8"/>
    <w:rsid w:val="471825FE"/>
    <w:rsid w:val="47290367"/>
    <w:rsid w:val="472B40E0"/>
    <w:rsid w:val="472C6D6B"/>
    <w:rsid w:val="47321912"/>
    <w:rsid w:val="473307F5"/>
    <w:rsid w:val="473F7ACA"/>
    <w:rsid w:val="4743767B"/>
    <w:rsid w:val="47462CC7"/>
    <w:rsid w:val="4750714C"/>
    <w:rsid w:val="47510122"/>
    <w:rsid w:val="475A230F"/>
    <w:rsid w:val="475C698F"/>
    <w:rsid w:val="475D25FD"/>
    <w:rsid w:val="4763075C"/>
    <w:rsid w:val="476B0980"/>
    <w:rsid w:val="477C109A"/>
    <w:rsid w:val="477F61D9"/>
    <w:rsid w:val="47841A42"/>
    <w:rsid w:val="478C7274"/>
    <w:rsid w:val="479C6D8B"/>
    <w:rsid w:val="479C7DAA"/>
    <w:rsid w:val="479E21BD"/>
    <w:rsid w:val="479E7FE4"/>
    <w:rsid w:val="479F0B82"/>
    <w:rsid w:val="47A14FC9"/>
    <w:rsid w:val="47A151B7"/>
    <w:rsid w:val="47A6427C"/>
    <w:rsid w:val="47A73CBB"/>
    <w:rsid w:val="47A82355"/>
    <w:rsid w:val="47AD2D46"/>
    <w:rsid w:val="47AE17EF"/>
    <w:rsid w:val="47AF4D11"/>
    <w:rsid w:val="47B5292A"/>
    <w:rsid w:val="47BA5463"/>
    <w:rsid w:val="47BC5F5B"/>
    <w:rsid w:val="47C443E5"/>
    <w:rsid w:val="47C62EE2"/>
    <w:rsid w:val="47C93EA5"/>
    <w:rsid w:val="47C979DB"/>
    <w:rsid w:val="47CD6BD8"/>
    <w:rsid w:val="47CE3A0E"/>
    <w:rsid w:val="47D535CE"/>
    <w:rsid w:val="47D6229D"/>
    <w:rsid w:val="47DC3A5D"/>
    <w:rsid w:val="47DD7AD0"/>
    <w:rsid w:val="47FB3ECB"/>
    <w:rsid w:val="47FE7A46"/>
    <w:rsid w:val="48006E83"/>
    <w:rsid w:val="48042BC0"/>
    <w:rsid w:val="480834BA"/>
    <w:rsid w:val="48086547"/>
    <w:rsid w:val="480C5CBF"/>
    <w:rsid w:val="48186A35"/>
    <w:rsid w:val="481B05F8"/>
    <w:rsid w:val="481C5FCE"/>
    <w:rsid w:val="481E5DAA"/>
    <w:rsid w:val="48205C0E"/>
    <w:rsid w:val="4823125B"/>
    <w:rsid w:val="48265048"/>
    <w:rsid w:val="48285B2B"/>
    <w:rsid w:val="483039B0"/>
    <w:rsid w:val="48355C1B"/>
    <w:rsid w:val="483A26D1"/>
    <w:rsid w:val="484418FD"/>
    <w:rsid w:val="484A740F"/>
    <w:rsid w:val="48517B76"/>
    <w:rsid w:val="48544631"/>
    <w:rsid w:val="48557C54"/>
    <w:rsid w:val="485853A8"/>
    <w:rsid w:val="48594C7C"/>
    <w:rsid w:val="485B643E"/>
    <w:rsid w:val="485C0C2C"/>
    <w:rsid w:val="485E2293"/>
    <w:rsid w:val="486620A5"/>
    <w:rsid w:val="487B6ED0"/>
    <w:rsid w:val="488717E9"/>
    <w:rsid w:val="4887363D"/>
    <w:rsid w:val="4891710C"/>
    <w:rsid w:val="4893018E"/>
    <w:rsid w:val="48941539"/>
    <w:rsid w:val="48963415"/>
    <w:rsid w:val="48982595"/>
    <w:rsid w:val="489E2069"/>
    <w:rsid w:val="48A71E8C"/>
    <w:rsid w:val="48AA2B47"/>
    <w:rsid w:val="48AD4CBD"/>
    <w:rsid w:val="48AD5029"/>
    <w:rsid w:val="48AE6D76"/>
    <w:rsid w:val="48B254E6"/>
    <w:rsid w:val="48BB315F"/>
    <w:rsid w:val="48BC749A"/>
    <w:rsid w:val="48BF7DE2"/>
    <w:rsid w:val="48CB5B7A"/>
    <w:rsid w:val="48D662CD"/>
    <w:rsid w:val="48D66DE4"/>
    <w:rsid w:val="48DA11AE"/>
    <w:rsid w:val="48DC0E02"/>
    <w:rsid w:val="48E22EC4"/>
    <w:rsid w:val="48E3720B"/>
    <w:rsid w:val="48E6040A"/>
    <w:rsid w:val="48EA3B26"/>
    <w:rsid w:val="48F05BD1"/>
    <w:rsid w:val="48F3347F"/>
    <w:rsid w:val="48F350D1"/>
    <w:rsid w:val="48F61598"/>
    <w:rsid w:val="49061C83"/>
    <w:rsid w:val="490A297A"/>
    <w:rsid w:val="490B5F77"/>
    <w:rsid w:val="490C4151"/>
    <w:rsid w:val="490F421B"/>
    <w:rsid w:val="49143AC3"/>
    <w:rsid w:val="491834FB"/>
    <w:rsid w:val="49221512"/>
    <w:rsid w:val="492359B6"/>
    <w:rsid w:val="492928A1"/>
    <w:rsid w:val="493B4A30"/>
    <w:rsid w:val="493F0924"/>
    <w:rsid w:val="4943405A"/>
    <w:rsid w:val="494951F7"/>
    <w:rsid w:val="494B3576"/>
    <w:rsid w:val="495202BD"/>
    <w:rsid w:val="4958211B"/>
    <w:rsid w:val="495D5C71"/>
    <w:rsid w:val="495D7B3E"/>
    <w:rsid w:val="49605568"/>
    <w:rsid w:val="496541A2"/>
    <w:rsid w:val="496818C5"/>
    <w:rsid w:val="496904F2"/>
    <w:rsid w:val="49691DF4"/>
    <w:rsid w:val="49705BE7"/>
    <w:rsid w:val="497E5401"/>
    <w:rsid w:val="499248EA"/>
    <w:rsid w:val="49931B43"/>
    <w:rsid w:val="49957F36"/>
    <w:rsid w:val="49A40179"/>
    <w:rsid w:val="49A5188B"/>
    <w:rsid w:val="49AB1508"/>
    <w:rsid w:val="49B26D3A"/>
    <w:rsid w:val="49BD649D"/>
    <w:rsid w:val="49C51FD9"/>
    <w:rsid w:val="49C6610C"/>
    <w:rsid w:val="49D7054F"/>
    <w:rsid w:val="49DE06F9"/>
    <w:rsid w:val="49E06039"/>
    <w:rsid w:val="49E113CD"/>
    <w:rsid w:val="49E4778E"/>
    <w:rsid w:val="49ED38CE"/>
    <w:rsid w:val="49F04FA9"/>
    <w:rsid w:val="49F40946"/>
    <w:rsid w:val="49F7444C"/>
    <w:rsid w:val="49F85119"/>
    <w:rsid w:val="49F90151"/>
    <w:rsid w:val="49FE5ADB"/>
    <w:rsid w:val="4A003601"/>
    <w:rsid w:val="4A0963DA"/>
    <w:rsid w:val="4A130C33"/>
    <w:rsid w:val="4A1452FF"/>
    <w:rsid w:val="4A2325E9"/>
    <w:rsid w:val="4A26391F"/>
    <w:rsid w:val="4A2670AB"/>
    <w:rsid w:val="4A271167"/>
    <w:rsid w:val="4A2A4CBA"/>
    <w:rsid w:val="4A2B03C7"/>
    <w:rsid w:val="4A2D159E"/>
    <w:rsid w:val="4A2D2DFE"/>
    <w:rsid w:val="4A2F6AB5"/>
    <w:rsid w:val="4A3B6D2F"/>
    <w:rsid w:val="4A3E05CE"/>
    <w:rsid w:val="4A4277BA"/>
    <w:rsid w:val="4A5679C1"/>
    <w:rsid w:val="4A58168F"/>
    <w:rsid w:val="4A624FE0"/>
    <w:rsid w:val="4A654BD1"/>
    <w:rsid w:val="4A6B629A"/>
    <w:rsid w:val="4A713030"/>
    <w:rsid w:val="4A79140F"/>
    <w:rsid w:val="4A895CED"/>
    <w:rsid w:val="4A8F1A6C"/>
    <w:rsid w:val="4A927DDC"/>
    <w:rsid w:val="4A9621B8"/>
    <w:rsid w:val="4A9D0E78"/>
    <w:rsid w:val="4A9D70A2"/>
    <w:rsid w:val="4AA104BF"/>
    <w:rsid w:val="4AA523FB"/>
    <w:rsid w:val="4AA701A5"/>
    <w:rsid w:val="4AAC5537"/>
    <w:rsid w:val="4AAD63D1"/>
    <w:rsid w:val="4AB03CF1"/>
    <w:rsid w:val="4AB97F8F"/>
    <w:rsid w:val="4AC53371"/>
    <w:rsid w:val="4ACF7478"/>
    <w:rsid w:val="4AD01BF4"/>
    <w:rsid w:val="4AD54A8E"/>
    <w:rsid w:val="4ADB4F09"/>
    <w:rsid w:val="4ADC4319"/>
    <w:rsid w:val="4AE3504A"/>
    <w:rsid w:val="4AF16AD6"/>
    <w:rsid w:val="4AF71653"/>
    <w:rsid w:val="4B0233A9"/>
    <w:rsid w:val="4B047121"/>
    <w:rsid w:val="4B0C247A"/>
    <w:rsid w:val="4B16375A"/>
    <w:rsid w:val="4B187071"/>
    <w:rsid w:val="4B1B26BD"/>
    <w:rsid w:val="4B1D3440"/>
    <w:rsid w:val="4B1F3AF7"/>
    <w:rsid w:val="4B1F3F5B"/>
    <w:rsid w:val="4B306168"/>
    <w:rsid w:val="4B3A2B43"/>
    <w:rsid w:val="4B3E5972"/>
    <w:rsid w:val="4B401746"/>
    <w:rsid w:val="4B4154BA"/>
    <w:rsid w:val="4B425E9C"/>
    <w:rsid w:val="4B4349A3"/>
    <w:rsid w:val="4B50324F"/>
    <w:rsid w:val="4B524331"/>
    <w:rsid w:val="4B542236"/>
    <w:rsid w:val="4B592FC2"/>
    <w:rsid w:val="4B65185C"/>
    <w:rsid w:val="4B6978CC"/>
    <w:rsid w:val="4B730664"/>
    <w:rsid w:val="4B8244EA"/>
    <w:rsid w:val="4B8E2E8F"/>
    <w:rsid w:val="4B933353"/>
    <w:rsid w:val="4B971B07"/>
    <w:rsid w:val="4B9A3DB4"/>
    <w:rsid w:val="4B9F17CC"/>
    <w:rsid w:val="4B9F2EE9"/>
    <w:rsid w:val="4B9F4A6F"/>
    <w:rsid w:val="4BA7158E"/>
    <w:rsid w:val="4BA95C0E"/>
    <w:rsid w:val="4BAC33A6"/>
    <w:rsid w:val="4BAE1108"/>
    <w:rsid w:val="4BB07502"/>
    <w:rsid w:val="4BBE0B8F"/>
    <w:rsid w:val="4BBE19C6"/>
    <w:rsid w:val="4BBF1B88"/>
    <w:rsid w:val="4BC30D8B"/>
    <w:rsid w:val="4BC61C09"/>
    <w:rsid w:val="4BC92119"/>
    <w:rsid w:val="4BCD0A14"/>
    <w:rsid w:val="4BCF5498"/>
    <w:rsid w:val="4BE8259F"/>
    <w:rsid w:val="4BE8616E"/>
    <w:rsid w:val="4BF06116"/>
    <w:rsid w:val="4BF85DFB"/>
    <w:rsid w:val="4BFE4B66"/>
    <w:rsid w:val="4BFF74B1"/>
    <w:rsid w:val="4C0629F4"/>
    <w:rsid w:val="4C1C3185"/>
    <w:rsid w:val="4C2921E8"/>
    <w:rsid w:val="4C2D46F9"/>
    <w:rsid w:val="4C2F4E4F"/>
    <w:rsid w:val="4C3C5FC3"/>
    <w:rsid w:val="4C46595C"/>
    <w:rsid w:val="4C4909F4"/>
    <w:rsid w:val="4C4A325A"/>
    <w:rsid w:val="4C507080"/>
    <w:rsid w:val="4C592531"/>
    <w:rsid w:val="4C6064FC"/>
    <w:rsid w:val="4C6525DC"/>
    <w:rsid w:val="4C6551D4"/>
    <w:rsid w:val="4C6660E2"/>
    <w:rsid w:val="4C6D602D"/>
    <w:rsid w:val="4C6E4D45"/>
    <w:rsid w:val="4C6E5600"/>
    <w:rsid w:val="4C7327B1"/>
    <w:rsid w:val="4C753910"/>
    <w:rsid w:val="4C755A0A"/>
    <w:rsid w:val="4C773E34"/>
    <w:rsid w:val="4C7C140A"/>
    <w:rsid w:val="4C8147A2"/>
    <w:rsid w:val="4C883D82"/>
    <w:rsid w:val="4C8A2925"/>
    <w:rsid w:val="4C931F29"/>
    <w:rsid w:val="4C942A81"/>
    <w:rsid w:val="4C946CBE"/>
    <w:rsid w:val="4C970E98"/>
    <w:rsid w:val="4C983FC5"/>
    <w:rsid w:val="4C9A2FAF"/>
    <w:rsid w:val="4CA708AF"/>
    <w:rsid w:val="4CB44B77"/>
    <w:rsid w:val="4CBE1552"/>
    <w:rsid w:val="4CC3635D"/>
    <w:rsid w:val="4CC56D84"/>
    <w:rsid w:val="4CC96C47"/>
    <w:rsid w:val="4CCC25DB"/>
    <w:rsid w:val="4CD90FCB"/>
    <w:rsid w:val="4CDC5C66"/>
    <w:rsid w:val="4CE216E4"/>
    <w:rsid w:val="4CE3192A"/>
    <w:rsid w:val="4CE36076"/>
    <w:rsid w:val="4CE4545C"/>
    <w:rsid w:val="4CE9357B"/>
    <w:rsid w:val="4CEA0599"/>
    <w:rsid w:val="4CEA1B47"/>
    <w:rsid w:val="4CEC1988"/>
    <w:rsid w:val="4CED5938"/>
    <w:rsid w:val="4CED5F02"/>
    <w:rsid w:val="4CEE6899"/>
    <w:rsid w:val="4CF136D5"/>
    <w:rsid w:val="4CF168B9"/>
    <w:rsid w:val="4CF30359"/>
    <w:rsid w:val="4CF803E4"/>
    <w:rsid w:val="4CFB4554"/>
    <w:rsid w:val="4D0263AB"/>
    <w:rsid w:val="4D0629AE"/>
    <w:rsid w:val="4D136D18"/>
    <w:rsid w:val="4D147929"/>
    <w:rsid w:val="4D16313C"/>
    <w:rsid w:val="4D206542"/>
    <w:rsid w:val="4D221E12"/>
    <w:rsid w:val="4D3006A2"/>
    <w:rsid w:val="4D36558C"/>
    <w:rsid w:val="4D3A0D4A"/>
    <w:rsid w:val="4D3B15DD"/>
    <w:rsid w:val="4D3E44AE"/>
    <w:rsid w:val="4D422183"/>
    <w:rsid w:val="4D465ADC"/>
    <w:rsid w:val="4D477799"/>
    <w:rsid w:val="4D486CC1"/>
    <w:rsid w:val="4D4E748B"/>
    <w:rsid w:val="4D5D6FBD"/>
    <w:rsid w:val="4D642414"/>
    <w:rsid w:val="4D64659D"/>
    <w:rsid w:val="4D6603A9"/>
    <w:rsid w:val="4D691B6A"/>
    <w:rsid w:val="4D6B0AA8"/>
    <w:rsid w:val="4D725301"/>
    <w:rsid w:val="4D834065"/>
    <w:rsid w:val="4D8F30F2"/>
    <w:rsid w:val="4D95247E"/>
    <w:rsid w:val="4DA44F26"/>
    <w:rsid w:val="4DAB47C2"/>
    <w:rsid w:val="4DB81B0D"/>
    <w:rsid w:val="4DBE5CAD"/>
    <w:rsid w:val="4DC10516"/>
    <w:rsid w:val="4DC173C4"/>
    <w:rsid w:val="4DC6572A"/>
    <w:rsid w:val="4DC66224"/>
    <w:rsid w:val="4DCB20F0"/>
    <w:rsid w:val="4DD54DA5"/>
    <w:rsid w:val="4DE35714"/>
    <w:rsid w:val="4DE53A9F"/>
    <w:rsid w:val="4DF01E53"/>
    <w:rsid w:val="4DF848C3"/>
    <w:rsid w:val="4DF96CE5"/>
    <w:rsid w:val="4DFB6C8E"/>
    <w:rsid w:val="4E0E2F3E"/>
    <w:rsid w:val="4E172FDB"/>
    <w:rsid w:val="4E1B115F"/>
    <w:rsid w:val="4E1C494D"/>
    <w:rsid w:val="4E2E4F09"/>
    <w:rsid w:val="4E2F6A86"/>
    <w:rsid w:val="4E380462"/>
    <w:rsid w:val="4E3D33B5"/>
    <w:rsid w:val="4E4A0009"/>
    <w:rsid w:val="4E4C10B5"/>
    <w:rsid w:val="4E5E4D9B"/>
    <w:rsid w:val="4E627C47"/>
    <w:rsid w:val="4E633605"/>
    <w:rsid w:val="4E66286E"/>
    <w:rsid w:val="4E674637"/>
    <w:rsid w:val="4E6A24DF"/>
    <w:rsid w:val="4E6B74B7"/>
    <w:rsid w:val="4E770085"/>
    <w:rsid w:val="4E781C4D"/>
    <w:rsid w:val="4E791BD4"/>
    <w:rsid w:val="4E794C7C"/>
    <w:rsid w:val="4E7A03B1"/>
    <w:rsid w:val="4E872543"/>
    <w:rsid w:val="4E946C6B"/>
    <w:rsid w:val="4E956B59"/>
    <w:rsid w:val="4E9674F9"/>
    <w:rsid w:val="4E9776BA"/>
    <w:rsid w:val="4EA335FF"/>
    <w:rsid w:val="4EA940EE"/>
    <w:rsid w:val="4EAD59B7"/>
    <w:rsid w:val="4EB64BD7"/>
    <w:rsid w:val="4EB87876"/>
    <w:rsid w:val="4EC11DC1"/>
    <w:rsid w:val="4ECE67D4"/>
    <w:rsid w:val="4ED15523"/>
    <w:rsid w:val="4ED736E4"/>
    <w:rsid w:val="4EDD2163"/>
    <w:rsid w:val="4EE91CD3"/>
    <w:rsid w:val="4EEC1956"/>
    <w:rsid w:val="4EED0748"/>
    <w:rsid w:val="4EED1BAD"/>
    <w:rsid w:val="4EF474AD"/>
    <w:rsid w:val="4F030A8A"/>
    <w:rsid w:val="4F035942"/>
    <w:rsid w:val="4F052628"/>
    <w:rsid w:val="4F062EB3"/>
    <w:rsid w:val="4F080CA0"/>
    <w:rsid w:val="4F0A0A7E"/>
    <w:rsid w:val="4F0F23EC"/>
    <w:rsid w:val="4F111E0D"/>
    <w:rsid w:val="4F22226C"/>
    <w:rsid w:val="4F253E15"/>
    <w:rsid w:val="4F2C72A2"/>
    <w:rsid w:val="4F2D2C41"/>
    <w:rsid w:val="4F321C02"/>
    <w:rsid w:val="4F334479"/>
    <w:rsid w:val="4F353D2D"/>
    <w:rsid w:val="4F3A08F1"/>
    <w:rsid w:val="4F4071CC"/>
    <w:rsid w:val="4F413EEB"/>
    <w:rsid w:val="4F462D6F"/>
    <w:rsid w:val="4F4915A7"/>
    <w:rsid w:val="4F4C3761"/>
    <w:rsid w:val="4F502865"/>
    <w:rsid w:val="4F563CC4"/>
    <w:rsid w:val="4F5C4395"/>
    <w:rsid w:val="4F5F0DCA"/>
    <w:rsid w:val="4F640954"/>
    <w:rsid w:val="4F667103"/>
    <w:rsid w:val="4F682BAD"/>
    <w:rsid w:val="4F7A3E56"/>
    <w:rsid w:val="4F7E4217"/>
    <w:rsid w:val="4F7F3277"/>
    <w:rsid w:val="4F8107CA"/>
    <w:rsid w:val="4F895BFB"/>
    <w:rsid w:val="4F897533"/>
    <w:rsid w:val="4F8A1721"/>
    <w:rsid w:val="4F8B1BBF"/>
    <w:rsid w:val="4F8E4CA8"/>
    <w:rsid w:val="4FA72771"/>
    <w:rsid w:val="4FB7572D"/>
    <w:rsid w:val="4FB840A4"/>
    <w:rsid w:val="4FD53577"/>
    <w:rsid w:val="4FD86DCF"/>
    <w:rsid w:val="4FDF7713"/>
    <w:rsid w:val="4FE92D8A"/>
    <w:rsid w:val="4FED1BAB"/>
    <w:rsid w:val="4FED5402"/>
    <w:rsid w:val="4FFC2E0F"/>
    <w:rsid w:val="4FFC3012"/>
    <w:rsid w:val="50075DD0"/>
    <w:rsid w:val="500F75C2"/>
    <w:rsid w:val="50106451"/>
    <w:rsid w:val="5012408F"/>
    <w:rsid w:val="50137E07"/>
    <w:rsid w:val="501D06B2"/>
    <w:rsid w:val="501D2562"/>
    <w:rsid w:val="5024002F"/>
    <w:rsid w:val="50243DC2"/>
    <w:rsid w:val="50290BE5"/>
    <w:rsid w:val="502B72BB"/>
    <w:rsid w:val="50374A3C"/>
    <w:rsid w:val="503973C4"/>
    <w:rsid w:val="50444D71"/>
    <w:rsid w:val="50462D37"/>
    <w:rsid w:val="50577CF3"/>
    <w:rsid w:val="505B6584"/>
    <w:rsid w:val="50600FCA"/>
    <w:rsid w:val="5061522B"/>
    <w:rsid w:val="506C796E"/>
    <w:rsid w:val="506D2776"/>
    <w:rsid w:val="506E1C5D"/>
    <w:rsid w:val="50707E53"/>
    <w:rsid w:val="50740CF9"/>
    <w:rsid w:val="507568EA"/>
    <w:rsid w:val="507829B3"/>
    <w:rsid w:val="50782C11"/>
    <w:rsid w:val="50800635"/>
    <w:rsid w:val="5080549C"/>
    <w:rsid w:val="50830BEB"/>
    <w:rsid w:val="508A39CD"/>
    <w:rsid w:val="508D5E03"/>
    <w:rsid w:val="508D76AD"/>
    <w:rsid w:val="50915FFB"/>
    <w:rsid w:val="50955467"/>
    <w:rsid w:val="509840A1"/>
    <w:rsid w:val="50A373DC"/>
    <w:rsid w:val="50A9430C"/>
    <w:rsid w:val="50C73C35"/>
    <w:rsid w:val="50D8314D"/>
    <w:rsid w:val="50E75C56"/>
    <w:rsid w:val="50EB248F"/>
    <w:rsid w:val="50EE11C2"/>
    <w:rsid w:val="50EE5AC6"/>
    <w:rsid w:val="50F96FFC"/>
    <w:rsid w:val="50FD479A"/>
    <w:rsid w:val="51083B88"/>
    <w:rsid w:val="510936E3"/>
    <w:rsid w:val="51130BCD"/>
    <w:rsid w:val="51133E8D"/>
    <w:rsid w:val="51155AAE"/>
    <w:rsid w:val="511C3EEC"/>
    <w:rsid w:val="511C698F"/>
    <w:rsid w:val="511F1731"/>
    <w:rsid w:val="512151D4"/>
    <w:rsid w:val="51223000"/>
    <w:rsid w:val="51236519"/>
    <w:rsid w:val="512A18AC"/>
    <w:rsid w:val="51372589"/>
    <w:rsid w:val="513A1AEF"/>
    <w:rsid w:val="514B3CFC"/>
    <w:rsid w:val="51520555"/>
    <w:rsid w:val="5155600C"/>
    <w:rsid w:val="51563884"/>
    <w:rsid w:val="515661FD"/>
    <w:rsid w:val="515B2A7C"/>
    <w:rsid w:val="5163293A"/>
    <w:rsid w:val="51693076"/>
    <w:rsid w:val="516D1A20"/>
    <w:rsid w:val="51754720"/>
    <w:rsid w:val="517B099E"/>
    <w:rsid w:val="517B5C63"/>
    <w:rsid w:val="51805BBB"/>
    <w:rsid w:val="51822890"/>
    <w:rsid w:val="518A4CFF"/>
    <w:rsid w:val="518D27D7"/>
    <w:rsid w:val="51992F95"/>
    <w:rsid w:val="519E7FB9"/>
    <w:rsid w:val="51AE73D5"/>
    <w:rsid w:val="51AF3E40"/>
    <w:rsid w:val="51B478EA"/>
    <w:rsid w:val="51BE117E"/>
    <w:rsid w:val="51BF0604"/>
    <w:rsid w:val="51BF13F6"/>
    <w:rsid w:val="51C55CE6"/>
    <w:rsid w:val="51C569B9"/>
    <w:rsid w:val="51C67003"/>
    <w:rsid w:val="51C8412D"/>
    <w:rsid w:val="51CE2237"/>
    <w:rsid w:val="51D11D27"/>
    <w:rsid w:val="51D13AD5"/>
    <w:rsid w:val="51D236DC"/>
    <w:rsid w:val="51D373B7"/>
    <w:rsid w:val="51D414AC"/>
    <w:rsid w:val="51D7050E"/>
    <w:rsid w:val="51D95677"/>
    <w:rsid w:val="51DD22DD"/>
    <w:rsid w:val="51E23FF4"/>
    <w:rsid w:val="51E4278A"/>
    <w:rsid w:val="51F01294"/>
    <w:rsid w:val="51FA127E"/>
    <w:rsid w:val="51FC63C3"/>
    <w:rsid w:val="51FE4019"/>
    <w:rsid w:val="51FF6020"/>
    <w:rsid w:val="5200004C"/>
    <w:rsid w:val="52021EDB"/>
    <w:rsid w:val="52035925"/>
    <w:rsid w:val="520B3A49"/>
    <w:rsid w:val="52150C24"/>
    <w:rsid w:val="521F23EC"/>
    <w:rsid w:val="521F3AB6"/>
    <w:rsid w:val="52213A5A"/>
    <w:rsid w:val="522272F0"/>
    <w:rsid w:val="522A0C67"/>
    <w:rsid w:val="522B1438"/>
    <w:rsid w:val="522C3666"/>
    <w:rsid w:val="522E2B8E"/>
    <w:rsid w:val="5232042D"/>
    <w:rsid w:val="523C4948"/>
    <w:rsid w:val="523D7A9D"/>
    <w:rsid w:val="52462715"/>
    <w:rsid w:val="524D11DB"/>
    <w:rsid w:val="524F15CA"/>
    <w:rsid w:val="52501DBA"/>
    <w:rsid w:val="52535871"/>
    <w:rsid w:val="52572AAC"/>
    <w:rsid w:val="52576018"/>
    <w:rsid w:val="525E43C5"/>
    <w:rsid w:val="52614A5D"/>
    <w:rsid w:val="52666914"/>
    <w:rsid w:val="52695CE7"/>
    <w:rsid w:val="526C4F83"/>
    <w:rsid w:val="52734B8D"/>
    <w:rsid w:val="527903F5"/>
    <w:rsid w:val="527A5EFA"/>
    <w:rsid w:val="528079D5"/>
    <w:rsid w:val="52884CC6"/>
    <w:rsid w:val="528A287A"/>
    <w:rsid w:val="528E46E8"/>
    <w:rsid w:val="529812BF"/>
    <w:rsid w:val="52A37F50"/>
    <w:rsid w:val="52AB5932"/>
    <w:rsid w:val="52B953EE"/>
    <w:rsid w:val="52BB5BF9"/>
    <w:rsid w:val="52CB74D8"/>
    <w:rsid w:val="52D05122"/>
    <w:rsid w:val="52D15D94"/>
    <w:rsid w:val="52D4387D"/>
    <w:rsid w:val="52D8524D"/>
    <w:rsid w:val="52DE52CE"/>
    <w:rsid w:val="52E31D12"/>
    <w:rsid w:val="52F0527F"/>
    <w:rsid w:val="52F263F9"/>
    <w:rsid w:val="52FC4B82"/>
    <w:rsid w:val="530E0F79"/>
    <w:rsid w:val="5310681A"/>
    <w:rsid w:val="5312326A"/>
    <w:rsid w:val="53161DC8"/>
    <w:rsid w:val="53227B62"/>
    <w:rsid w:val="53242390"/>
    <w:rsid w:val="532A6858"/>
    <w:rsid w:val="532A7941"/>
    <w:rsid w:val="532F18AB"/>
    <w:rsid w:val="53311748"/>
    <w:rsid w:val="5334431C"/>
    <w:rsid w:val="5342361B"/>
    <w:rsid w:val="53424C8B"/>
    <w:rsid w:val="53473065"/>
    <w:rsid w:val="534948AC"/>
    <w:rsid w:val="534A58E1"/>
    <w:rsid w:val="534A7FE3"/>
    <w:rsid w:val="534B1E4A"/>
    <w:rsid w:val="534E5E76"/>
    <w:rsid w:val="53577F63"/>
    <w:rsid w:val="535B21AD"/>
    <w:rsid w:val="535B3F9E"/>
    <w:rsid w:val="535E08AD"/>
    <w:rsid w:val="53687ADB"/>
    <w:rsid w:val="53712DDA"/>
    <w:rsid w:val="53742428"/>
    <w:rsid w:val="537750B6"/>
    <w:rsid w:val="537A3A86"/>
    <w:rsid w:val="537B019D"/>
    <w:rsid w:val="537B01CE"/>
    <w:rsid w:val="537E1A3B"/>
    <w:rsid w:val="538708F0"/>
    <w:rsid w:val="53886A59"/>
    <w:rsid w:val="538F59F6"/>
    <w:rsid w:val="53941B93"/>
    <w:rsid w:val="539B25ED"/>
    <w:rsid w:val="53A12EAA"/>
    <w:rsid w:val="53A25969"/>
    <w:rsid w:val="53A55D80"/>
    <w:rsid w:val="53A63AD7"/>
    <w:rsid w:val="53A83B6F"/>
    <w:rsid w:val="53B65679"/>
    <w:rsid w:val="53B768FB"/>
    <w:rsid w:val="53B9453D"/>
    <w:rsid w:val="53BA0CC5"/>
    <w:rsid w:val="53BD1D3E"/>
    <w:rsid w:val="53C502F8"/>
    <w:rsid w:val="53C90F08"/>
    <w:rsid w:val="53CB2B3B"/>
    <w:rsid w:val="53DD2C05"/>
    <w:rsid w:val="53E863C4"/>
    <w:rsid w:val="53ED0594"/>
    <w:rsid w:val="53ED4843"/>
    <w:rsid w:val="53EE0A95"/>
    <w:rsid w:val="53F5261E"/>
    <w:rsid w:val="54110B6B"/>
    <w:rsid w:val="54121DDC"/>
    <w:rsid w:val="541505F1"/>
    <w:rsid w:val="541B174F"/>
    <w:rsid w:val="541D1254"/>
    <w:rsid w:val="541D3ABC"/>
    <w:rsid w:val="54245CB9"/>
    <w:rsid w:val="54293931"/>
    <w:rsid w:val="54356937"/>
    <w:rsid w:val="5436738F"/>
    <w:rsid w:val="543706E6"/>
    <w:rsid w:val="543D36A4"/>
    <w:rsid w:val="54492049"/>
    <w:rsid w:val="544B0059"/>
    <w:rsid w:val="545509EE"/>
    <w:rsid w:val="545A6B19"/>
    <w:rsid w:val="545C1D7C"/>
    <w:rsid w:val="545D0A6C"/>
    <w:rsid w:val="54765306"/>
    <w:rsid w:val="5481389E"/>
    <w:rsid w:val="5482616A"/>
    <w:rsid w:val="54880974"/>
    <w:rsid w:val="548F2379"/>
    <w:rsid w:val="549622DF"/>
    <w:rsid w:val="54AB273B"/>
    <w:rsid w:val="54AF700B"/>
    <w:rsid w:val="54B73456"/>
    <w:rsid w:val="54B91E5F"/>
    <w:rsid w:val="54BC55C9"/>
    <w:rsid w:val="54BF5AF3"/>
    <w:rsid w:val="54C664CE"/>
    <w:rsid w:val="54CC252E"/>
    <w:rsid w:val="54D1276A"/>
    <w:rsid w:val="54D2203E"/>
    <w:rsid w:val="54D61FB2"/>
    <w:rsid w:val="54D83366"/>
    <w:rsid w:val="54E029AD"/>
    <w:rsid w:val="54E47ED0"/>
    <w:rsid w:val="54E60D6E"/>
    <w:rsid w:val="54E82542"/>
    <w:rsid w:val="54F00B95"/>
    <w:rsid w:val="54F42138"/>
    <w:rsid w:val="54FB4092"/>
    <w:rsid w:val="54FE1085"/>
    <w:rsid w:val="54FE4BE1"/>
    <w:rsid w:val="55007051"/>
    <w:rsid w:val="5504431A"/>
    <w:rsid w:val="550B5550"/>
    <w:rsid w:val="551A077A"/>
    <w:rsid w:val="551C59E0"/>
    <w:rsid w:val="55202E8A"/>
    <w:rsid w:val="55231090"/>
    <w:rsid w:val="55291587"/>
    <w:rsid w:val="55376345"/>
    <w:rsid w:val="553D4864"/>
    <w:rsid w:val="554431E7"/>
    <w:rsid w:val="554C0971"/>
    <w:rsid w:val="55582E57"/>
    <w:rsid w:val="55594098"/>
    <w:rsid w:val="555A7A35"/>
    <w:rsid w:val="555D4336"/>
    <w:rsid w:val="55665B55"/>
    <w:rsid w:val="55683FFB"/>
    <w:rsid w:val="556B6C16"/>
    <w:rsid w:val="556F5290"/>
    <w:rsid w:val="5572760B"/>
    <w:rsid w:val="558410B7"/>
    <w:rsid w:val="55853555"/>
    <w:rsid w:val="55872E29"/>
    <w:rsid w:val="55886BA1"/>
    <w:rsid w:val="558A0B6B"/>
    <w:rsid w:val="558E2409"/>
    <w:rsid w:val="558F7F2F"/>
    <w:rsid w:val="55986C0B"/>
    <w:rsid w:val="559D43FA"/>
    <w:rsid w:val="55A25899"/>
    <w:rsid w:val="55AA6B17"/>
    <w:rsid w:val="55AD5535"/>
    <w:rsid w:val="55AE4859"/>
    <w:rsid w:val="55B6370E"/>
    <w:rsid w:val="55B67488"/>
    <w:rsid w:val="55B866A4"/>
    <w:rsid w:val="55B94FAC"/>
    <w:rsid w:val="55BF5223"/>
    <w:rsid w:val="55C05CED"/>
    <w:rsid w:val="55C23655"/>
    <w:rsid w:val="55C40C9B"/>
    <w:rsid w:val="55C73951"/>
    <w:rsid w:val="55C9623C"/>
    <w:rsid w:val="55CD34EF"/>
    <w:rsid w:val="55CF657E"/>
    <w:rsid w:val="55D6212F"/>
    <w:rsid w:val="55D80F41"/>
    <w:rsid w:val="55D925D7"/>
    <w:rsid w:val="55DB05BA"/>
    <w:rsid w:val="55DF4A13"/>
    <w:rsid w:val="55DF4C01"/>
    <w:rsid w:val="55E10643"/>
    <w:rsid w:val="55E55DA1"/>
    <w:rsid w:val="55E75D3C"/>
    <w:rsid w:val="55E94B36"/>
    <w:rsid w:val="55EA0DC4"/>
    <w:rsid w:val="55EF2D35"/>
    <w:rsid w:val="55F37E5E"/>
    <w:rsid w:val="55F751BB"/>
    <w:rsid w:val="55FB2A84"/>
    <w:rsid w:val="55FD3626"/>
    <w:rsid w:val="5609445F"/>
    <w:rsid w:val="56157BF5"/>
    <w:rsid w:val="56247E6D"/>
    <w:rsid w:val="56271C40"/>
    <w:rsid w:val="562807C2"/>
    <w:rsid w:val="563D2C98"/>
    <w:rsid w:val="5641747C"/>
    <w:rsid w:val="56424B81"/>
    <w:rsid w:val="56491534"/>
    <w:rsid w:val="564C5E20"/>
    <w:rsid w:val="564F7A5E"/>
    <w:rsid w:val="565063E7"/>
    <w:rsid w:val="56580FA1"/>
    <w:rsid w:val="565E7102"/>
    <w:rsid w:val="56692FD1"/>
    <w:rsid w:val="566A67AD"/>
    <w:rsid w:val="566B7DFC"/>
    <w:rsid w:val="566D69A1"/>
    <w:rsid w:val="566F400B"/>
    <w:rsid w:val="567400F6"/>
    <w:rsid w:val="56741DBE"/>
    <w:rsid w:val="567426CC"/>
    <w:rsid w:val="567710EF"/>
    <w:rsid w:val="56792E5D"/>
    <w:rsid w:val="567B3F65"/>
    <w:rsid w:val="56821842"/>
    <w:rsid w:val="56833BAA"/>
    <w:rsid w:val="5684637F"/>
    <w:rsid w:val="56903F5F"/>
    <w:rsid w:val="56931646"/>
    <w:rsid w:val="569401D7"/>
    <w:rsid w:val="56955A19"/>
    <w:rsid w:val="56AF0AAE"/>
    <w:rsid w:val="56B30283"/>
    <w:rsid w:val="56B37C4E"/>
    <w:rsid w:val="56BC1822"/>
    <w:rsid w:val="56C96974"/>
    <w:rsid w:val="56CA56C3"/>
    <w:rsid w:val="56D274B5"/>
    <w:rsid w:val="56DF169C"/>
    <w:rsid w:val="56E11C93"/>
    <w:rsid w:val="56EB73E7"/>
    <w:rsid w:val="56EE7C13"/>
    <w:rsid w:val="56F142E0"/>
    <w:rsid w:val="56F77C72"/>
    <w:rsid w:val="570311D1"/>
    <w:rsid w:val="570B34BD"/>
    <w:rsid w:val="570E07E3"/>
    <w:rsid w:val="571132F2"/>
    <w:rsid w:val="57174680"/>
    <w:rsid w:val="571C5EA5"/>
    <w:rsid w:val="571E3544"/>
    <w:rsid w:val="572172AD"/>
    <w:rsid w:val="57274D83"/>
    <w:rsid w:val="572B1EDA"/>
    <w:rsid w:val="572B6B56"/>
    <w:rsid w:val="572BE748"/>
    <w:rsid w:val="572E6DB7"/>
    <w:rsid w:val="573709C0"/>
    <w:rsid w:val="5738280F"/>
    <w:rsid w:val="573E39BB"/>
    <w:rsid w:val="574C432A"/>
    <w:rsid w:val="574F509F"/>
    <w:rsid w:val="575136EE"/>
    <w:rsid w:val="5752146C"/>
    <w:rsid w:val="57590062"/>
    <w:rsid w:val="575A1A3C"/>
    <w:rsid w:val="575D74DB"/>
    <w:rsid w:val="575F6354"/>
    <w:rsid w:val="576255B5"/>
    <w:rsid w:val="57641F8B"/>
    <w:rsid w:val="57707A2A"/>
    <w:rsid w:val="57742B1D"/>
    <w:rsid w:val="5779764C"/>
    <w:rsid w:val="577A02F1"/>
    <w:rsid w:val="577A5522"/>
    <w:rsid w:val="577D0DBD"/>
    <w:rsid w:val="57833AC4"/>
    <w:rsid w:val="57835872"/>
    <w:rsid w:val="578B75EF"/>
    <w:rsid w:val="579927C7"/>
    <w:rsid w:val="579B4907"/>
    <w:rsid w:val="57AA2DFF"/>
    <w:rsid w:val="57AB24DB"/>
    <w:rsid w:val="57AF1DD5"/>
    <w:rsid w:val="57B43C7D"/>
    <w:rsid w:val="57CB5299"/>
    <w:rsid w:val="57D04474"/>
    <w:rsid w:val="57DD1426"/>
    <w:rsid w:val="57DF5B48"/>
    <w:rsid w:val="57E427B4"/>
    <w:rsid w:val="57EC3417"/>
    <w:rsid w:val="57EF1159"/>
    <w:rsid w:val="57F35AD5"/>
    <w:rsid w:val="57FD5624"/>
    <w:rsid w:val="57FD73D2"/>
    <w:rsid w:val="58070251"/>
    <w:rsid w:val="58095D77"/>
    <w:rsid w:val="580968FE"/>
    <w:rsid w:val="580E03AC"/>
    <w:rsid w:val="580F586E"/>
    <w:rsid w:val="581859FE"/>
    <w:rsid w:val="581A4340"/>
    <w:rsid w:val="58310B8F"/>
    <w:rsid w:val="583354EA"/>
    <w:rsid w:val="58354645"/>
    <w:rsid w:val="58366597"/>
    <w:rsid w:val="583A0639"/>
    <w:rsid w:val="58415790"/>
    <w:rsid w:val="58474423"/>
    <w:rsid w:val="584B45E2"/>
    <w:rsid w:val="585B234B"/>
    <w:rsid w:val="58692927"/>
    <w:rsid w:val="586D36CB"/>
    <w:rsid w:val="586E6522"/>
    <w:rsid w:val="587443DA"/>
    <w:rsid w:val="588875E4"/>
    <w:rsid w:val="588C4DEC"/>
    <w:rsid w:val="588E0972"/>
    <w:rsid w:val="58985005"/>
    <w:rsid w:val="589D518A"/>
    <w:rsid w:val="58A576D9"/>
    <w:rsid w:val="58A82974"/>
    <w:rsid w:val="58A85D3E"/>
    <w:rsid w:val="58AB1BA9"/>
    <w:rsid w:val="58B06B3A"/>
    <w:rsid w:val="58B50AC3"/>
    <w:rsid w:val="58B67013"/>
    <w:rsid w:val="58C223CA"/>
    <w:rsid w:val="58C50E4A"/>
    <w:rsid w:val="58C554A4"/>
    <w:rsid w:val="58C60C50"/>
    <w:rsid w:val="58CB3D92"/>
    <w:rsid w:val="58CD76C4"/>
    <w:rsid w:val="58CF6EB7"/>
    <w:rsid w:val="58D84CB5"/>
    <w:rsid w:val="58DC16DE"/>
    <w:rsid w:val="58DE7204"/>
    <w:rsid w:val="58E12E85"/>
    <w:rsid w:val="58EC27A6"/>
    <w:rsid w:val="58F016DE"/>
    <w:rsid w:val="58F20481"/>
    <w:rsid w:val="58F27FB7"/>
    <w:rsid w:val="58F51EC1"/>
    <w:rsid w:val="58FE5DFD"/>
    <w:rsid w:val="590429E2"/>
    <w:rsid w:val="59047956"/>
    <w:rsid w:val="590C4798"/>
    <w:rsid w:val="59123351"/>
    <w:rsid w:val="59162550"/>
    <w:rsid w:val="591D4E77"/>
    <w:rsid w:val="59213594"/>
    <w:rsid w:val="59367040"/>
    <w:rsid w:val="59376914"/>
    <w:rsid w:val="593B0CFE"/>
    <w:rsid w:val="593B4656"/>
    <w:rsid w:val="593C2B3E"/>
    <w:rsid w:val="593E3248"/>
    <w:rsid w:val="594A6978"/>
    <w:rsid w:val="594E3CA4"/>
    <w:rsid w:val="59505C55"/>
    <w:rsid w:val="595249DF"/>
    <w:rsid w:val="595555D6"/>
    <w:rsid w:val="59593E40"/>
    <w:rsid w:val="595C6FC3"/>
    <w:rsid w:val="595E6596"/>
    <w:rsid w:val="596C47C4"/>
    <w:rsid w:val="596D69E6"/>
    <w:rsid w:val="59710ED9"/>
    <w:rsid w:val="5971714C"/>
    <w:rsid w:val="597879AC"/>
    <w:rsid w:val="597B2CA5"/>
    <w:rsid w:val="597E2795"/>
    <w:rsid w:val="59886CC8"/>
    <w:rsid w:val="598E4D65"/>
    <w:rsid w:val="598F1E32"/>
    <w:rsid w:val="59927FEE"/>
    <w:rsid w:val="59945378"/>
    <w:rsid w:val="5996313A"/>
    <w:rsid w:val="59A9468B"/>
    <w:rsid w:val="59AC3230"/>
    <w:rsid w:val="59AE4326"/>
    <w:rsid w:val="59AF2534"/>
    <w:rsid w:val="59B57AB7"/>
    <w:rsid w:val="59B7793C"/>
    <w:rsid w:val="59BE6C04"/>
    <w:rsid w:val="59C032B8"/>
    <w:rsid w:val="59C90E0C"/>
    <w:rsid w:val="59CB138B"/>
    <w:rsid w:val="59D32AE1"/>
    <w:rsid w:val="59DD7E91"/>
    <w:rsid w:val="59DE18DD"/>
    <w:rsid w:val="59E116DB"/>
    <w:rsid w:val="59E3084A"/>
    <w:rsid w:val="59E32EC5"/>
    <w:rsid w:val="59E56370"/>
    <w:rsid w:val="59EA7E2A"/>
    <w:rsid w:val="59EC3BA2"/>
    <w:rsid w:val="59ED3476"/>
    <w:rsid w:val="59EE2D00"/>
    <w:rsid w:val="59F2049D"/>
    <w:rsid w:val="59F36195"/>
    <w:rsid w:val="59F527C9"/>
    <w:rsid w:val="59FA26DD"/>
    <w:rsid w:val="59FC01B8"/>
    <w:rsid w:val="5A0053F8"/>
    <w:rsid w:val="5A0116CA"/>
    <w:rsid w:val="5A05737C"/>
    <w:rsid w:val="5A077993"/>
    <w:rsid w:val="5A0943CF"/>
    <w:rsid w:val="5A0A3BCD"/>
    <w:rsid w:val="5A0E58C7"/>
    <w:rsid w:val="5A113609"/>
    <w:rsid w:val="5A2C0443"/>
    <w:rsid w:val="5A2C05B1"/>
    <w:rsid w:val="5A331004"/>
    <w:rsid w:val="5A3410A5"/>
    <w:rsid w:val="5A36237B"/>
    <w:rsid w:val="5A3B2502"/>
    <w:rsid w:val="5A3D3258"/>
    <w:rsid w:val="5A3E3D89"/>
    <w:rsid w:val="5A4102CA"/>
    <w:rsid w:val="5A455061"/>
    <w:rsid w:val="5A4D1BAC"/>
    <w:rsid w:val="5A4F49DD"/>
    <w:rsid w:val="5A513032"/>
    <w:rsid w:val="5A517EA9"/>
    <w:rsid w:val="5A5269EA"/>
    <w:rsid w:val="5A556189"/>
    <w:rsid w:val="5A5A4FB0"/>
    <w:rsid w:val="5A6929A1"/>
    <w:rsid w:val="5A6E6AC8"/>
    <w:rsid w:val="5A753B98"/>
    <w:rsid w:val="5A76188F"/>
    <w:rsid w:val="5A76346C"/>
    <w:rsid w:val="5A782E4D"/>
    <w:rsid w:val="5A7B5F4A"/>
    <w:rsid w:val="5A7C3EB2"/>
    <w:rsid w:val="5A7E3EBC"/>
    <w:rsid w:val="5A7F0572"/>
    <w:rsid w:val="5A89319F"/>
    <w:rsid w:val="5A8950E2"/>
    <w:rsid w:val="5A8D3186"/>
    <w:rsid w:val="5A900742"/>
    <w:rsid w:val="5A90452E"/>
    <w:rsid w:val="5A904F72"/>
    <w:rsid w:val="5AA12CAB"/>
    <w:rsid w:val="5AA147E3"/>
    <w:rsid w:val="5AA715DA"/>
    <w:rsid w:val="5AAF43AA"/>
    <w:rsid w:val="5AB04370"/>
    <w:rsid w:val="5AB52371"/>
    <w:rsid w:val="5AC74B26"/>
    <w:rsid w:val="5ACC1F22"/>
    <w:rsid w:val="5AD02D2A"/>
    <w:rsid w:val="5AD87EC2"/>
    <w:rsid w:val="5ADD2BA5"/>
    <w:rsid w:val="5AE30769"/>
    <w:rsid w:val="5AE36F2D"/>
    <w:rsid w:val="5AEB4CAC"/>
    <w:rsid w:val="5AF21BBE"/>
    <w:rsid w:val="5AF54CD9"/>
    <w:rsid w:val="5AFF16B3"/>
    <w:rsid w:val="5B022436"/>
    <w:rsid w:val="5B053B1C"/>
    <w:rsid w:val="5B064994"/>
    <w:rsid w:val="5B0E37C7"/>
    <w:rsid w:val="5B190966"/>
    <w:rsid w:val="5B1C11EC"/>
    <w:rsid w:val="5B265E74"/>
    <w:rsid w:val="5B3A26EB"/>
    <w:rsid w:val="5B3C6463"/>
    <w:rsid w:val="5B4156E0"/>
    <w:rsid w:val="5B445446"/>
    <w:rsid w:val="5B44689C"/>
    <w:rsid w:val="5B463A50"/>
    <w:rsid w:val="5B595A4B"/>
    <w:rsid w:val="5B5F0153"/>
    <w:rsid w:val="5B7200D7"/>
    <w:rsid w:val="5B7359B0"/>
    <w:rsid w:val="5B750C01"/>
    <w:rsid w:val="5B771E9A"/>
    <w:rsid w:val="5B8248C4"/>
    <w:rsid w:val="5B861BCD"/>
    <w:rsid w:val="5B866D04"/>
    <w:rsid w:val="5B8D6CBF"/>
    <w:rsid w:val="5B9376FF"/>
    <w:rsid w:val="5B953376"/>
    <w:rsid w:val="5B982433"/>
    <w:rsid w:val="5B9E7621"/>
    <w:rsid w:val="5B9F24D8"/>
    <w:rsid w:val="5BA55376"/>
    <w:rsid w:val="5BA74A5A"/>
    <w:rsid w:val="5BA86198"/>
    <w:rsid w:val="5BAB7092"/>
    <w:rsid w:val="5BAD110F"/>
    <w:rsid w:val="5BB47089"/>
    <w:rsid w:val="5BB56A88"/>
    <w:rsid w:val="5BB70DBD"/>
    <w:rsid w:val="5BBF4232"/>
    <w:rsid w:val="5BC90981"/>
    <w:rsid w:val="5BCC099F"/>
    <w:rsid w:val="5BCC3C8B"/>
    <w:rsid w:val="5BD42B40"/>
    <w:rsid w:val="5BD93004"/>
    <w:rsid w:val="5BE2378D"/>
    <w:rsid w:val="5BE70AC5"/>
    <w:rsid w:val="5BE8603E"/>
    <w:rsid w:val="5BE943C7"/>
    <w:rsid w:val="5BF1168B"/>
    <w:rsid w:val="5BF515DC"/>
    <w:rsid w:val="5BFB121D"/>
    <w:rsid w:val="5C0255D3"/>
    <w:rsid w:val="5C035309"/>
    <w:rsid w:val="5C052AAC"/>
    <w:rsid w:val="5C071196"/>
    <w:rsid w:val="5C0A0310"/>
    <w:rsid w:val="5C115B42"/>
    <w:rsid w:val="5C127A5F"/>
    <w:rsid w:val="5C163D49"/>
    <w:rsid w:val="5C180DD6"/>
    <w:rsid w:val="5C182A2D"/>
    <w:rsid w:val="5C18759D"/>
    <w:rsid w:val="5C194B06"/>
    <w:rsid w:val="5C1B42CB"/>
    <w:rsid w:val="5C1B73EB"/>
    <w:rsid w:val="5C1D59F5"/>
    <w:rsid w:val="5C226D28"/>
    <w:rsid w:val="5C297E23"/>
    <w:rsid w:val="5C2A6428"/>
    <w:rsid w:val="5C2C297C"/>
    <w:rsid w:val="5C37348A"/>
    <w:rsid w:val="5C375805"/>
    <w:rsid w:val="5C430AD1"/>
    <w:rsid w:val="5C495A61"/>
    <w:rsid w:val="5C534090"/>
    <w:rsid w:val="5C545A2F"/>
    <w:rsid w:val="5C5510C9"/>
    <w:rsid w:val="5C5851DD"/>
    <w:rsid w:val="5C5A1C17"/>
    <w:rsid w:val="5C5B6DBD"/>
    <w:rsid w:val="5C5C5C7A"/>
    <w:rsid w:val="5C642CA0"/>
    <w:rsid w:val="5C780917"/>
    <w:rsid w:val="5C7848E8"/>
    <w:rsid w:val="5C790B12"/>
    <w:rsid w:val="5C7C133A"/>
    <w:rsid w:val="5C806824"/>
    <w:rsid w:val="5C840C1E"/>
    <w:rsid w:val="5C866026"/>
    <w:rsid w:val="5C887DCF"/>
    <w:rsid w:val="5C8C0757"/>
    <w:rsid w:val="5C8D7ED2"/>
    <w:rsid w:val="5C9127DF"/>
    <w:rsid w:val="5C956C01"/>
    <w:rsid w:val="5CAB38A1"/>
    <w:rsid w:val="5CB65AD3"/>
    <w:rsid w:val="5CC15BA8"/>
    <w:rsid w:val="5CC52489"/>
    <w:rsid w:val="5CD66444"/>
    <w:rsid w:val="5CDC6150"/>
    <w:rsid w:val="5CDD4B3C"/>
    <w:rsid w:val="5CEC11C1"/>
    <w:rsid w:val="5CED08DE"/>
    <w:rsid w:val="5CEE378D"/>
    <w:rsid w:val="5CEE6AC1"/>
    <w:rsid w:val="5CF006F9"/>
    <w:rsid w:val="5CF02722"/>
    <w:rsid w:val="5CF05758"/>
    <w:rsid w:val="5CF709BF"/>
    <w:rsid w:val="5CFA4E8E"/>
    <w:rsid w:val="5CFE60C6"/>
    <w:rsid w:val="5D0144A8"/>
    <w:rsid w:val="5D046B07"/>
    <w:rsid w:val="5D0D4D06"/>
    <w:rsid w:val="5D0D5308"/>
    <w:rsid w:val="5D11688D"/>
    <w:rsid w:val="5D126C47"/>
    <w:rsid w:val="5D186A5C"/>
    <w:rsid w:val="5D1904BE"/>
    <w:rsid w:val="5D1B0F39"/>
    <w:rsid w:val="5D207DB2"/>
    <w:rsid w:val="5D39357D"/>
    <w:rsid w:val="5D3A70EE"/>
    <w:rsid w:val="5D3F5111"/>
    <w:rsid w:val="5D41648E"/>
    <w:rsid w:val="5D43047A"/>
    <w:rsid w:val="5D472BC8"/>
    <w:rsid w:val="5D4D2E54"/>
    <w:rsid w:val="5D5A0E23"/>
    <w:rsid w:val="5D5A126F"/>
    <w:rsid w:val="5D5A52C7"/>
    <w:rsid w:val="5D683540"/>
    <w:rsid w:val="5D6D1BE4"/>
    <w:rsid w:val="5D7243BE"/>
    <w:rsid w:val="5D7F4C57"/>
    <w:rsid w:val="5D8440F2"/>
    <w:rsid w:val="5D8A12FA"/>
    <w:rsid w:val="5D8A41B3"/>
    <w:rsid w:val="5D8B152C"/>
    <w:rsid w:val="5D8B76EF"/>
    <w:rsid w:val="5D8C4A77"/>
    <w:rsid w:val="5D97217A"/>
    <w:rsid w:val="5D9953D6"/>
    <w:rsid w:val="5D9F2754"/>
    <w:rsid w:val="5DA23D50"/>
    <w:rsid w:val="5DA550B9"/>
    <w:rsid w:val="5DA60977"/>
    <w:rsid w:val="5DA65D35"/>
    <w:rsid w:val="5DA93055"/>
    <w:rsid w:val="5DAC525F"/>
    <w:rsid w:val="5DB16193"/>
    <w:rsid w:val="5DB63439"/>
    <w:rsid w:val="5DB97110"/>
    <w:rsid w:val="5DBD6E2E"/>
    <w:rsid w:val="5DC32A29"/>
    <w:rsid w:val="5DCB1D21"/>
    <w:rsid w:val="5DD534FE"/>
    <w:rsid w:val="5DD7237A"/>
    <w:rsid w:val="5DD7769E"/>
    <w:rsid w:val="5DD82F19"/>
    <w:rsid w:val="5DD85DC9"/>
    <w:rsid w:val="5DE014C8"/>
    <w:rsid w:val="5DE22CC3"/>
    <w:rsid w:val="5DE24E1D"/>
    <w:rsid w:val="5DE466C2"/>
    <w:rsid w:val="5DE73A13"/>
    <w:rsid w:val="5DE80B25"/>
    <w:rsid w:val="5DED1ED3"/>
    <w:rsid w:val="5DEF3C61"/>
    <w:rsid w:val="5DF03535"/>
    <w:rsid w:val="5DF23751"/>
    <w:rsid w:val="5DF36504"/>
    <w:rsid w:val="5E046F02"/>
    <w:rsid w:val="5E0A114E"/>
    <w:rsid w:val="5E0D2339"/>
    <w:rsid w:val="5E0F330D"/>
    <w:rsid w:val="5E192E87"/>
    <w:rsid w:val="5E1B1CE3"/>
    <w:rsid w:val="5E1E6EE2"/>
    <w:rsid w:val="5E224037"/>
    <w:rsid w:val="5E280F21"/>
    <w:rsid w:val="5E2D114D"/>
    <w:rsid w:val="5E3C0C78"/>
    <w:rsid w:val="5E3D496A"/>
    <w:rsid w:val="5E3E6996"/>
    <w:rsid w:val="5E4A7BF9"/>
    <w:rsid w:val="5E4C4C10"/>
    <w:rsid w:val="5E502C3B"/>
    <w:rsid w:val="5E617EAA"/>
    <w:rsid w:val="5E653F23"/>
    <w:rsid w:val="5E676CE8"/>
    <w:rsid w:val="5E727476"/>
    <w:rsid w:val="5E735D35"/>
    <w:rsid w:val="5E745F14"/>
    <w:rsid w:val="5E7945EA"/>
    <w:rsid w:val="5E796C8B"/>
    <w:rsid w:val="5E7F5A64"/>
    <w:rsid w:val="5E8A6181"/>
    <w:rsid w:val="5E8F53DF"/>
    <w:rsid w:val="5E9071F2"/>
    <w:rsid w:val="5E957F82"/>
    <w:rsid w:val="5E9E4667"/>
    <w:rsid w:val="5E9F70BB"/>
    <w:rsid w:val="5EA71B65"/>
    <w:rsid w:val="5EAA6964"/>
    <w:rsid w:val="5EAE0D24"/>
    <w:rsid w:val="5EB10F16"/>
    <w:rsid w:val="5EB417E6"/>
    <w:rsid w:val="5EB676AB"/>
    <w:rsid w:val="5EB90BDF"/>
    <w:rsid w:val="5EBF7809"/>
    <w:rsid w:val="5EBF7821"/>
    <w:rsid w:val="5EC222F1"/>
    <w:rsid w:val="5EC261F0"/>
    <w:rsid w:val="5EC82C7F"/>
    <w:rsid w:val="5EC944B2"/>
    <w:rsid w:val="5ED673B3"/>
    <w:rsid w:val="5ED71468"/>
    <w:rsid w:val="5EDB3269"/>
    <w:rsid w:val="5EDB5F93"/>
    <w:rsid w:val="5EE52FAB"/>
    <w:rsid w:val="5EF14839"/>
    <w:rsid w:val="5EF63134"/>
    <w:rsid w:val="5EF66FDC"/>
    <w:rsid w:val="5EF7101F"/>
    <w:rsid w:val="5EFA638D"/>
    <w:rsid w:val="5F0059FA"/>
    <w:rsid w:val="5F035266"/>
    <w:rsid w:val="5F0831BF"/>
    <w:rsid w:val="5F0B14B3"/>
    <w:rsid w:val="5F242D64"/>
    <w:rsid w:val="5F2955AC"/>
    <w:rsid w:val="5F2C3C03"/>
    <w:rsid w:val="5F2D4A41"/>
    <w:rsid w:val="5F3D5D14"/>
    <w:rsid w:val="5F4355E2"/>
    <w:rsid w:val="5F4B1CBC"/>
    <w:rsid w:val="5F4D7EB6"/>
    <w:rsid w:val="5F51682F"/>
    <w:rsid w:val="5F5A3869"/>
    <w:rsid w:val="5F5F0972"/>
    <w:rsid w:val="5F633A13"/>
    <w:rsid w:val="5F645F89"/>
    <w:rsid w:val="5F6B7999"/>
    <w:rsid w:val="5F73394E"/>
    <w:rsid w:val="5F76199D"/>
    <w:rsid w:val="5F7E7E42"/>
    <w:rsid w:val="5F824661"/>
    <w:rsid w:val="5F8D54E0"/>
    <w:rsid w:val="5F8D66F8"/>
    <w:rsid w:val="5F904088"/>
    <w:rsid w:val="5F930A32"/>
    <w:rsid w:val="5F93686E"/>
    <w:rsid w:val="5F960EEB"/>
    <w:rsid w:val="5F9A6465"/>
    <w:rsid w:val="5FA12D39"/>
    <w:rsid w:val="5FA45185"/>
    <w:rsid w:val="5FA5313B"/>
    <w:rsid w:val="5FAB64A0"/>
    <w:rsid w:val="5FB306AA"/>
    <w:rsid w:val="5FB36E1F"/>
    <w:rsid w:val="5FB53A6F"/>
    <w:rsid w:val="5FBA204D"/>
    <w:rsid w:val="5FBF2927"/>
    <w:rsid w:val="5FBF698B"/>
    <w:rsid w:val="5FC13EA7"/>
    <w:rsid w:val="5FC14626"/>
    <w:rsid w:val="5FC44C79"/>
    <w:rsid w:val="5FD255E8"/>
    <w:rsid w:val="5FD87CD5"/>
    <w:rsid w:val="5FD93628"/>
    <w:rsid w:val="5FDB09F9"/>
    <w:rsid w:val="5FDB0AA7"/>
    <w:rsid w:val="5FDC0215"/>
    <w:rsid w:val="5FDC6F72"/>
    <w:rsid w:val="5FDE5D3B"/>
    <w:rsid w:val="5FE036E7"/>
    <w:rsid w:val="5FE31080"/>
    <w:rsid w:val="5FE5531C"/>
    <w:rsid w:val="5FE817FC"/>
    <w:rsid w:val="5FF42A7D"/>
    <w:rsid w:val="5FF72320"/>
    <w:rsid w:val="5FFB3C60"/>
    <w:rsid w:val="5FFBC586"/>
    <w:rsid w:val="5FFD479B"/>
    <w:rsid w:val="5FFE3F59"/>
    <w:rsid w:val="600C2CBA"/>
    <w:rsid w:val="600E5CC7"/>
    <w:rsid w:val="60170067"/>
    <w:rsid w:val="601A7393"/>
    <w:rsid w:val="601D2D07"/>
    <w:rsid w:val="601E70EB"/>
    <w:rsid w:val="60261490"/>
    <w:rsid w:val="60285208"/>
    <w:rsid w:val="60343BAD"/>
    <w:rsid w:val="60367EB1"/>
    <w:rsid w:val="603809A4"/>
    <w:rsid w:val="603911C4"/>
    <w:rsid w:val="60397415"/>
    <w:rsid w:val="603D3729"/>
    <w:rsid w:val="60525EDB"/>
    <w:rsid w:val="60597AB8"/>
    <w:rsid w:val="605F47B9"/>
    <w:rsid w:val="605F53E6"/>
    <w:rsid w:val="60667DC8"/>
    <w:rsid w:val="606B5E43"/>
    <w:rsid w:val="606C0419"/>
    <w:rsid w:val="606E43CE"/>
    <w:rsid w:val="60724C1A"/>
    <w:rsid w:val="6077261A"/>
    <w:rsid w:val="607B4360"/>
    <w:rsid w:val="608478CA"/>
    <w:rsid w:val="60847DBB"/>
    <w:rsid w:val="60886BF6"/>
    <w:rsid w:val="6098413C"/>
    <w:rsid w:val="60A05AA7"/>
    <w:rsid w:val="60A46CA0"/>
    <w:rsid w:val="60A87A87"/>
    <w:rsid w:val="60AC035C"/>
    <w:rsid w:val="60AF2B0B"/>
    <w:rsid w:val="60B37800"/>
    <w:rsid w:val="60B45563"/>
    <w:rsid w:val="60C13392"/>
    <w:rsid w:val="60C16A0E"/>
    <w:rsid w:val="60C76031"/>
    <w:rsid w:val="60CC028A"/>
    <w:rsid w:val="60CE4E66"/>
    <w:rsid w:val="60CF7E1B"/>
    <w:rsid w:val="60D5268A"/>
    <w:rsid w:val="60D94755"/>
    <w:rsid w:val="60DD6A9E"/>
    <w:rsid w:val="60E27A91"/>
    <w:rsid w:val="60E5591C"/>
    <w:rsid w:val="60E75BD3"/>
    <w:rsid w:val="60EA1828"/>
    <w:rsid w:val="60EF46F9"/>
    <w:rsid w:val="60F44AF8"/>
    <w:rsid w:val="60F63558"/>
    <w:rsid w:val="60FA366E"/>
    <w:rsid w:val="610C1869"/>
    <w:rsid w:val="61131724"/>
    <w:rsid w:val="61135D4A"/>
    <w:rsid w:val="61166082"/>
    <w:rsid w:val="6118527D"/>
    <w:rsid w:val="611C24EC"/>
    <w:rsid w:val="611E004C"/>
    <w:rsid w:val="611F2AAF"/>
    <w:rsid w:val="611F2F42"/>
    <w:rsid w:val="61214589"/>
    <w:rsid w:val="6122434D"/>
    <w:rsid w:val="6123628D"/>
    <w:rsid w:val="61237B77"/>
    <w:rsid w:val="61314B08"/>
    <w:rsid w:val="61330309"/>
    <w:rsid w:val="613405FD"/>
    <w:rsid w:val="61380409"/>
    <w:rsid w:val="6139623B"/>
    <w:rsid w:val="613A04BF"/>
    <w:rsid w:val="613D735E"/>
    <w:rsid w:val="61412A26"/>
    <w:rsid w:val="614425AD"/>
    <w:rsid w:val="614541A5"/>
    <w:rsid w:val="614C4F26"/>
    <w:rsid w:val="614E2593"/>
    <w:rsid w:val="615269E1"/>
    <w:rsid w:val="61635D30"/>
    <w:rsid w:val="61673F69"/>
    <w:rsid w:val="616B271A"/>
    <w:rsid w:val="616D69D4"/>
    <w:rsid w:val="6175345D"/>
    <w:rsid w:val="61761FA3"/>
    <w:rsid w:val="61796113"/>
    <w:rsid w:val="617D6F2E"/>
    <w:rsid w:val="618943CD"/>
    <w:rsid w:val="61897F29"/>
    <w:rsid w:val="61922952"/>
    <w:rsid w:val="619701D0"/>
    <w:rsid w:val="619A33E2"/>
    <w:rsid w:val="619E6AEF"/>
    <w:rsid w:val="619F0DF2"/>
    <w:rsid w:val="61AB5D2B"/>
    <w:rsid w:val="61B01959"/>
    <w:rsid w:val="61B067C2"/>
    <w:rsid w:val="61BF6E7C"/>
    <w:rsid w:val="61BF7DEE"/>
    <w:rsid w:val="61C31708"/>
    <w:rsid w:val="61CB62CF"/>
    <w:rsid w:val="61CC452F"/>
    <w:rsid w:val="61D164BF"/>
    <w:rsid w:val="61D2007C"/>
    <w:rsid w:val="61D373F6"/>
    <w:rsid w:val="61D44A6E"/>
    <w:rsid w:val="61D75993"/>
    <w:rsid w:val="61D86E23"/>
    <w:rsid w:val="61DA3041"/>
    <w:rsid w:val="61DE56BE"/>
    <w:rsid w:val="61E63BD8"/>
    <w:rsid w:val="61ED3D14"/>
    <w:rsid w:val="61EE00D7"/>
    <w:rsid w:val="61F1668F"/>
    <w:rsid w:val="61F84262"/>
    <w:rsid w:val="61FA4982"/>
    <w:rsid w:val="61FC4B9F"/>
    <w:rsid w:val="61FE0654"/>
    <w:rsid w:val="62012F47"/>
    <w:rsid w:val="6201686E"/>
    <w:rsid w:val="62061544"/>
    <w:rsid w:val="620D0B5A"/>
    <w:rsid w:val="620F48D2"/>
    <w:rsid w:val="6211064A"/>
    <w:rsid w:val="62126335"/>
    <w:rsid w:val="621F7498"/>
    <w:rsid w:val="62265769"/>
    <w:rsid w:val="622F2817"/>
    <w:rsid w:val="623205C0"/>
    <w:rsid w:val="623600B0"/>
    <w:rsid w:val="624058E7"/>
    <w:rsid w:val="624135FA"/>
    <w:rsid w:val="624F1172"/>
    <w:rsid w:val="6256719D"/>
    <w:rsid w:val="625C3565"/>
    <w:rsid w:val="625F7819"/>
    <w:rsid w:val="626369CC"/>
    <w:rsid w:val="62641CCE"/>
    <w:rsid w:val="626A5FAC"/>
    <w:rsid w:val="627155D5"/>
    <w:rsid w:val="627806C9"/>
    <w:rsid w:val="627B5AC3"/>
    <w:rsid w:val="627D7A8D"/>
    <w:rsid w:val="627E12BD"/>
    <w:rsid w:val="62810D49"/>
    <w:rsid w:val="62933E84"/>
    <w:rsid w:val="629762BF"/>
    <w:rsid w:val="629959F6"/>
    <w:rsid w:val="62A327AB"/>
    <w:rsid w:val="62AF5DAC"/>
    <w:rsid w:val="62B1515D"/>
    <w:rsid w:val="62B42064"/>
    <w:rsid w:val="62BC7E8A"/>
    <w:rsid w:val="62C30A39"/>
    <w:rsid w:val="62C322EF"/>
    <w:rsid w:val="62C82729"/>
    <w:rsid w:val="62CA2B68"/>
    <w:rsid w:val="62CC6BF9"/>
    <w:rsid w:val="62D23741"/>
    <w:rsid w:val="62DE2991"/>
    <w:rsid w:val="62DE42A4"/>
    <w:rsid w:val="62E55633"/>
    <w:rsid w:val="62E73159"/>
    <w:rsid w:val="62EF025F"/>
    <w:rsid w:val="62F835B8"/>
    <w:rsid w:val="62FD0BCE"/>
    <w:rsid w:val="63016CD4"/>
    <w:rsid w:val="6302088F"/>
    <w:rsid w:val="63064B8E"/>
    <w:rsid w:val="63070C0A"/>
    <w:rsid w:val="630845F5"/>
    <w:rsid w:val="63090957"/>
    <w:rsid w:val="630B09B9"/>
    <w:rsid w:val="630D56A8"/>
    <w:rsid w:val="630E1775"/>
    <w:rsid w:val="631303F2"/>
    <w:rsid w:val="6320245F"/>
    <w:rsid w:val="63236614"/>
    <w:rsid w:val="632C14B3"/>
    <w:rsid w:val="632F39B8"/>
    <w:rsid w:val="633D7B1C"/>
    <w:rsid w:val="6343302D"/>
    <w:rsid w:val="63491A70"/>
    <w:rsid w:val="634D4CF8"/>
    <w:rsid w:val="63567FF3"/>
    <w:rsid w:val="635C527B"/>
    <w:rsid w:val="635E372E"/>
    <w:rsid w:val="636030CB"/>
    <w:rsid w:val="63604CB9"/>
    <w:rsid w:val="63606CCA"/>
    <w:rsid w:val="63607455"/>
    <w:rsid w:val="636E387A"/>
    <w:rsid w:val="637019A0"/>
    <w:rsid w:val="637025E6"/>
    <w:rsid w:val="63715118"/>
    <w:rsid w:val="63721D0E"/>
    <w:rsid w:val="63732C3E"/>
    <w:rsid w:val="6374344C"/>
    <w:rsid w:val="637A0055"/>
    <w:rsid w:val="637E2356"/>
    <w:rsid w:val="63925F00"/>
    <w:rsid w:val="6394630D"/>
    <w:rsid w:val="63953AD0"/>
    <w:rsid w:val="639A0245"/>
    <w:rsid w:val="639C3F43"/>
    <w:rsid w:val="639E415F"/>
    <w:rsid w:val="63A23524"/>
    <w:rsid w:val="63AE67B1"/>
    <w:rsid w:val="63B55005"/>
    <w:rsid w:val="63CC0145"/>
    <w:rsid w:val="63CC0DC3"/>
    <w:rsid w:val="63CC2272"/>
    <w:rsid w:val="63CD05A1"/>
    <w:rsid w:val="63CD6B64"/>
    <w:rsid w:val="63D01E3F"/>
    <w:rsid w:val="63D34A1E"/>
    <w:rsid w:val="63D74AAF"/>
    <w:rsid w:val="63DB4B39"/>
    <w:rsid w:val="63DC6A36"/>
    <w:rsid w:val="63E45DCE"/>
    <w:rsid w:val="63F11D40"/>
    <w:rsid w:val="63F22F94"/>
    <w:rsid w:val="63F9376B"/>
    <w:rsid w:val="63FA08F8"/>
    <w:rsid w:val="63FD592C"/>
    <w:rsid w:val="6400652A"/>
    <w:rsid w:val="640A20DA"/>
    <w:rsid w:val="640A35A3"/>
    <w:rsid w:val="640B2603"/>
    <w:rsid w:val="64104931"/>
    <w:rsid w:val="64151F48"/>
    <w:rsid w:val="641C6AB8"/>
    <w:rsid w:val="641E6801"/>
    <w:rsid w:val="64206EB7"/>
    <w:rsid w:val="64231D36"/>
    <w:rsid w:val="6424218B"/>
    <w:rsid w:val="642544B5"/>
    <w:rsid w:val="64263F73"/>
    <w:rsid w:val="64265F03"/>
    <w:rsid w:val="64287B33"/>
    <w:rsid w:val="642F3009"/>
    <w:rsid w:val="643354C7"/>
    <w:rsid w:val="64341AEC"/>
    <w:rsid w:val="64443301"/>
    <w:rsid w:val="644A4F68"/>
    <w:rsid w:val="644C2E6E"/>
    <w:rsid w:val="644F5459"/>
    <w:rsid w:val="645B3DFE"/>
    <w:rsid w:val="645C4F28"/>
    <w:rsid w:val="645E38EF"/>
    <w:rsid w:val="645E569D"/>
    <w:rsid w:val="645F0D81"/>
    <w:rsid w:val="64612EDF"/>
    <w:rsid w:val="646719EC"/>
    <w:rsid w:val="646D0D8C"/>
    <w:rsid w:val="64702871"/>
    <w:rsid w:val="64753107"/>
    <w:rsid w:val="647B50BF"/>
    <w:rsid w:val="647E5D3F"/>
    <w:rsid w:val="647F1288"/>
    <w:rsid w:val="648800ED"/>
    <w:rsid w:val="64915A72"/>
    <w:rsid w:val="64963088"/>
    <w:rsid w:val="64A15589"/>
    <w:rsid w:val="64A75BD5"/>
    <w:rsid w:val="64AA72A5"/>
    <w:rsid w:val="64B17EC2"/>
    <w:rsid w:val="64B563B5"/>
    <w:rsid w:val="64B5748D"/>
    <w:rsid w:val="64B74389"/>
    <w:rsid w:val="64BA69DA"/>
    <w:rsid w:val="64BF2C8B"/>
    <w:rsid w:val="64C00F70"/>
    <w:rsid w:val="64C84984"/>
    <w:rsid w:val="64CD5EDE"/>
    <w:rsid w:val="64D02AB3"/>
    <w:rsid w:val="64D616D7"/>
    <w:rsid w:val="64D64394"/>
    <w:rsid w:val="64D9020E"/>
    <w:rsid w:val="64DA4B01"/>
    <w:rsid w:val="64DC6342"/>
    <w:rsid w:val="64DF023C"/>
    <w:rsid w:val="64E2007C"/>
    <w:rsid w:val="64EA5182"/>
    <w:rsid w:val="64EE3211"/>
    <w:rsid w:val="64EE4143"/>
    <w:rsid w:val="64F8126C"/>
    <w:rsid w:val="64F91042"/>
    <w:rsid w:val="65011C14"/>
    <w:rsid w:val="6502014C"/>
    <w:rsid w:val="65051FBC"/>
    <w:rsid w:val="65060EFD"/>
    <w:rsid w:val="65091B84"/>
    <w:rsid w:val="650F0E3E"/>
    <w:rsid w:val="65136487"/>
    <w:rsid w:val="651436EB"/>
    <w:rsid w:val="651B358E"/>
    <w:rsid w:val="651C1736"/>
    <w:rsid w:val="651D2780"/>
    <w:rsid w:val="651E6DA2"/>
    <w:rsid w:val="652561BA"/>
    <w:rsid w:val="65302A7F"/>
    <w:rsid w:val="6532281F"/>
    <w:rsid w:val="653346BC"/>
    <w:rsid w:val="65342267"/>
    <w:rsid w:val="653B34DE"/>
    <w:rsid w:val="653F46D5"/>
    <w:rsid w:val="653F7B96"/>
    <w:rsid w:val="6540062E"/>
    <w:rsid w:val="65486D08"/>
    <w:rsid w:val="65492EB6"/>
    <w:rsid w:val="65515312"/>
    <w:rsid w:val="6552649E"/>
    <w:rsid w:val="655758BB"/>
    <w:rsid w:val="656055FA"/>
    <w:rsid w:val="65674A25"/>
    <w:rsid w:val="656E0799"/>
    <w:rsid w:val="65703B84"/>
    <w:rsid w:val="65741740"/>
    <w:rsid w:val="65776907"/>
    <w:rsid w:val="657A176F"/>
    <w:rsid w:val="657C6DE1"/>
    <w:rsid w:val="657F6F65"/>
    <w:rsid w:val="658367E1"/>
    <w:rsid w:val="6595496B"/>
    <w:rsid w:val="65956E9C"/>
    <w:rsid w:val="65975E25"/>
    <w:rsid w:val="65984BDE"/>
    <w:rsid w:val="65A03A38"/>
    <w:rsid w:val="65A418C4"/>
    <w:rsid w:val="65AB2B63"/>
    <w:rsid w:val="65B205BB"/>
    <w:rsid w:val="65B23EF2"/>
    <w:rsid w:val="65B2546C"/>
    <w:rsid w:val="65B337C6"/>
    <w:rsid w:val="65B52C14"/>
    <w:rsid w:val="65B649DB"/>
    <w:rsid w:val="65BE3210"/>
    <w:rsid w:val="65CB6D62"/>
    <w:rsid w:val="65D336CE"/>
    <w:rsid w:val="65D57BE0"/>
    <w:rsid w:val="65D81772"/>
    <w:rsid w:val="65E01045"/>
    <w:rsid w:val="65E25712"/>
    <w:rsid w:val="65ED4F2A"/>
    <w:rsid w:val="65F5617B"/>
    <w:rsid w:val="65F63E49"/>
    <w:rsid w:val="65FA31A3"/>
    <w:rsid w:val="65FF4C5D"/>
    <w:rsid w:val="6600416A"/>
    <w:rsid w:val="660A5DDE"/>
    <w:rsid w:val="660B3602"/>
    <w:rsid w:val="660E5B28"/>
    <w:rsid w:val="660E6313"/>
    <w:rsid w:val="661E1AAA"/>
    <w:rsid w:val="66220651"/>
    <w:rsid w:val="662332A7"/>
    <w:rsid w:val="662446C4"/>
    <w:rsid w:val="662B5A52"/>
    <w:rsid w:val="662F72F1"/>
    <w:rsid w:val="66311E2C"/>
    <w:rsid w:val="66381F39"/>
    <w:rsid w:val="663B366E"/>
    <w:rsid w:val="66432D9C"/>
    <w:rsid w:val="664851D1"/>
    <w:rsid w:val="664A1A2C"/>
    <w:rsid w:val="664E29C7"/>
    <w:rsid w:val="664F7993"/>
    <w:rsid w:val="66524A62"/>
    <w:rsid w:val="6655276F"/>
    <w:rsid w:val="66561B52"/>
    <w:rsid w:val="66565FB4"/>
    <w:rsid w:val="66586183"/>
    <w:rsid w:val="665F049D"/>
    <w:rsid w:val="66773BE6"/>
    <w:rsid w:val="66786D72"/>
    <w:rsid w:val="66810413"/>
    <w:rsid w:val="66810568"/>
    <w:rsid w:val="66815672"/>
    <w:rsid w:val="668C4743"/>
    <w:rsid w:val="668F04BA"/>
    <w:rsid w:val="669929BC"/>
    <w:rsid w:val="66993F11"/>
    <w:rsid w:val="669A7174"/>
    <w:rsid w:val="66A11AEE"/>
    <w:rsid w:val="66AF2A1B"/>
    <w:rsid w:val="66B52B9E"/>
    <w:rsid w:val="66BB0B84"/>
    <w:rsid w:val="66BF3DC1"/>
    <w:rsid w:val="66C20FDA"/>
    <w:rsid w:val="66C739CD"/>
    <w:rsid w:val="66CA18EE"/>
    <w:rsid w:val="66CB382E"/>
    <w:rsid w:val="66D653EC"/>
    <w:rsid w:val="66DC4F8F"/>
    <w:rsid w:val="66E64E7C"/>
    <w:rsid w:val="66E70B06"/>
    <w:rsid w:val="66EB15DA"/>
    <w:rsid w:val="66F10A4A"/>
    <w:rsid w:val="66F36853"/>
    <w:rsid w:val="66F73004"/>
    <w:rsid w:val="66FC25F4"/>
    <w:rsid w:val="66FE6CC3"/>
    <w:rsid w:val="67176CA3"/>
    <w:rsid w:val="671A2875"/>
    <w:rsid w:val="671B03CA"/>
    <w:rsid w:val="671B1335"/>
    <w:rsid w:val="671D35ED"/>
    <w:rsid w:val="671E1113"/>
    <w:rsid w:val="6723497B"/>
    <w:rsid w:val="67283A77"/>
    <w:rsid w:val="6728640F"/>
    <w:rsid w:val="673D6EF3"/>
    <w:rsid w:val="67462E97"/>
    <w:rsid w:val="6753700F"/>
    <w:rsid w:val="67607241"/>
    <w:rsid w:val="676B3229"/>
    <w:rsid w:val="676B34F8"/>
    <w:rsid w:val="676F4257"/>
    <w:rsid w:val="6777229C"/>
    <w:rsid w:val="67784CC7"/>
    <w:rsid w:val="677A7ABB"/>
    <w:rsid w:val="677E3EF8"/>
    <w:rsid w:val="67801DCE"/>
    <w:rsid w:val="678369C8"/>
    <w:rsid w:val="67854AC7"/>
    <w:rsid w:val="67854F72"/>
    <w:rsid w:val="67866389"/>
    <w:rsid w:val="678C0773"/>
    <w:rsid w:val="678F3DBF"/>
    <w:rsid w:val="679C39C7"/>
    <w:rsid w:val="679F2254"/>
    <w:rsid w:val="679F4002"/>
    <w:rsid w:val="67A41555"/>
    <w:rsid w:val="67A73712"/>
    <w:rsid w:val="67A7735B"/>
    <w:rsid w:val="67A77DC9"/>
    <w:rsid w:val="67AC2BC3"/>
    <w:rsid w:val="67B21FC6"/>
    <w:rsid w:val="67B376A9"/>
    <w:rsid w:val="67B45DE1"/>
    <w:rsid w:val="67B70710"/>
    <w:rsid w:val="67C938CC"/>
    <w:rsid w:val="67CD5013"/>
    <w:rsid w:val="67D077DC"/>
    <w:rsid w:val="67D77C40"/>
    <w:rsid w:val="67D80763"/>
    <w:rsid w:val="67D834EE"/>
    <w:rsid w:val="67E83D79"/>
    <w:rsid w:val="67F325A4"/>
    <w:rsid w:val="67F923BB"/>
    <w:rsid w:val="67FA56DC"/>
    <w:rsid w:val="68124A60"/>
    <w:rsid w:val="68153469"/>
    <w:rsid w:val="68181876"/>
    <w:rsid w:val="681F3B03"/>
    <w:rsid w:val="68212C69"/>
    <w:rsid w:val="682804F1"/>
    <w:rsid w:val="68295F6D"/>
    <w:rsid w:val="682B0879"/>
    <w:rsid w:val="68306140"/>
    <w:rsid w:val="68394C10"/>
    <w:rsid w:val="683A367E"/>
    <w:rsid w:val="683A3D2B"/>
    <w:rsid w:val="68423723"/>
    <w:rsid w:val="684352D5"/>
    <w:rsid w:val="684861D0"/>
    <w:rsid w:val="68494D96"/>
    <w:rsid w:val="6852376A"/>
    <w:rsid w:val="6853511A"/>
    <w:rsid w:val="68541290"/>
    <w:rsid w:val="68585AC2"/>
    <w:rsid w:val="6865617D"/>
    <w:rsid w:val="68662D72"/>
    <w:rsid w:val="686A6AA1"/>
    <w:rsid w:val="686D69CC"/>
    <w:rsid w:val="68705F49"/>
    <w:rsid w:val="687B4F05"/>
    <w:rsid w:val="688A17C5"/>
    <w:rsid w:val="688D2938"/>
    <w:rsid w:val="68944F8F"/>
    <w:rsid w:val="689765E1"/>
    <w:rsid w:val="68A90854"/>
    <w:rsid w:val="68AF4719"/>
    <w:rsid w:val="68B47F81"/>
    <w:rsid w:val="68B511A5"/>
    <w:rsid w:val="68BA4E6C"/>
    <w:rsid w:val="68BD7383"/>
    <w:rsid w:val="68C54B2B"/>
    <w:rsid w:val="68C63810"/>
    <w:rsid w:val="68C9719B"/>
    <w:rsid w:val="68CB18F9"/>
    <w:rsid w:val="68D0468F"/>
    <w:rsid w:val="68DC20AE"/>
    <w:rsid w:val="68E11452"/>
    <w:rsid w:val="68E7242A"/>
    <w:rsid w:val="68EA193E"/>
    <w:rsid w:val="68EB69CB"/>
    <w:rsid w:val="68EC147D"/>
    <w:rsid w:val="68ED2114"/>
    <w:rsid w:val="68F148EF"/>
    <w:rsid w:val="6903556F"/>
    <w:rsid w:val="690D7691"/>
    <w:rsid w:val="690E151E"/>
    <w:rsid w:val="691811DB"/>
    <w:rsid w:val="691C3873"/>
    <w:rsid w:val="691C6E3B"/>
    <w:rsid w:val="691E250D"/>
    <w:rsid w:val="69255C06"/>
    <w:rsid w:val="69273B66"/>
    <w:rsid w:val="692A62C2"/>
    <w:rsid w:val="692B4AD5"/>
    <w:rsid w:val="69312294"/>
    <w:rsid w:val="69350E3D"/>
    <w:rsid w:val="69372BD5"/>
    <w:rsid w:val="69390486"/>
    <w:rsid w:val="693C4F39"/>
    <w:rsid w:val="69456E2B"/>
    <w:rsid w:val="69472BA3"/>
    <w:rsid w:val="694A1AEF"/>
    <w:rsid w:val="694B2839"/>
    <w:rsid w:val="694C640B"/>
    <w:rsid w:val="6951757E"/>
    <w:rsid w:val="69592F6B"/>
    <w:rsid w:val="695B21AB"/>
    <w:rsid w:val="695F0ADA"/>
    <w:rsid w:val="6965127B"/>
    <w:rsid w:val="696857DB"/>
    <w:rsid w:val="696949BA"/>
    <w:rsid w:val="697A5AA5"/>
    <w:rsid w:val="69851833"/>
    <w:rsid w:val="698738D6"/>
    <w:rsid w:val="698838D2"/>
    <w:rsid w:val="69897B64"/>
    <w:rsid w:val="698B05BD"/>
    <w:rsid w:val="698F190A"/>
    <w:rsid w:val="69904633"/>
    <w:rsid w:val="699C5D26"/>
    <w:rsid w:val="699E52CA"/>
    <w:rsid w:val="69A2191C"/>
    <w:rsid w:val="69A22C77"/>
    <w:rsid w:val="69A53347"/>
    <w:rsid w:val="69AF4CE2"/>
    <w:rsid w:val="69B510F6"/>
    <w:rsid w:val="69D949AC"/>
    <w:rsid w:val="69E63453"/>
    <w:rsid w:val="69F22593"/>
    <w:rsid w:val="69F4574B"/>
    <w:rsid w:val="69F60125"/>
    <w:rsid w:val="69F81F97"/>
    <w:rsid w:val="69FB573C"/>
    <w:rsid w:val="69FF6FDA"/>
    <w:rsid w:val="6A042842"/>
    <w:rsid w:val="6A0E36C1"/>
    <w:rsid w:val="6A27033D"/>
    <w:rsid w:val="6A283551"/>
    <w:rsid w:val="6A292161"/>
    <w:rsid w:val="6A333127"/>
    <w:rsid w:val="6A345981"/>
    <w:rsid w:val="6A380015"/>
    <w:rsid w:val="6A393345"/>
    <w:rsid w:val="6A3A2708"/>
    <w:rsid w:val="6A404461"/>
    <w:rsid w:val="6A427DF3"/>
    <w:rsid w:val="6A4664B9"/>
    <w:rsid w:val="6A4814BC"/>
    <w:rsid w:val="6A48618B"/>
    <w:rsid w:val="6A4C6A34"/>
    <w:rsid w:val="6A5575E2"/>
    <w:rsid w:val="6A575068"/>
    <w:rsid w:val="6A5F4AB0"/>
    <w:rsid w:val="6A613E90"/>
    <w:rsid w:val="6A633A0D"/>
    <w:rsid w:val="6A650BD1"/>
    <w:rsid w:val="6A6555B8"/>
    <w:rsid w:val="6A6908F7"/>
    <w:rsid w:val="6A7078FF"/>
    <w:rsid w:val="6A7177BA"/>
    <w:rsid w:val="6A7379C8"/>
    <w:rsid w:val="6A786D8C"/>
    <w:rsid w:val="6A793230"/>
    <w:rsid w:val="6A7C06A9"/>
    <w:rsid w:val="6A7C1BB2"/>
    <w:rsid w:val="6A7D1368"/>
    <w:rsid w:val="6A7F5737"/>
    <w:rsid w:val="6A8F4802"/>
    <w:rsid w:val="6A8F61F9"/>
    <w:rsid w:val="6A935974"/>
    <w:rsid w:val="6A986D21"/>
    <w:rsid w:val="6A9C0CCD"/>
    <w:rsid w:val="6AA3205B"/>
    <w:rsid w:val="6AA61A1F"/>
    <w:rsid w:val="6AA81420"/>
    <w:rsid w:val="6AA815DE"/>
    <w:rsid w:val="6AA8578F"/>
    <w:rsid w:val="6AAB4C5F"/>
    <w:rsid w:val="6AB75B07"/>
    <w:rsid w:val="6AB853DB"/>
    <w:rsid w:val="6AC07D02"/>
    <w:rsid w:val="6AC860BA"/>
    <w:rsid w:val="6ACC26A1"/>
    <w:rsid w:val="6AD03060"/>
    <w:rsid w:val="6ADE7537"/>
    <w:rsid w:val="6ADF06DE"/>
    <w:rsid w:val="6AE0319E"/>
    <w:rsid w:val="6AF33A62"/>
    <w:rsid w:val="6AF723A7"/>
    <w:rsid w:val="6B0B6AA6"/>
    <w:rsid w:val="6B0E09DA"/>
    <w:rsid w:val="6B1C4641"/>
    <w:rsid w:val="6B1C707E"/>
    <w:rsid w:val="6B1E33D8"/>
    <w:rsid w:val="6B2059BE"/>
    <w:rsid w:val="6B225586"/>
    <w:rsid w:val="6B2662EC"/>
    <w:rsid w:val="6B272C8C"/>
    <w:rsid w:val="6B2B1835"/>
    <w:rsid w:val="6B336FB6"/>
    <w:rsid w:val="6B36611C"/>
    <w:rsid w:val="6B371AA7"/>
    <w:rsid w:val="6B3727A3"/>
    <w:rsid w:val="6B384A6E"/>
    <w:rsid w:val="6B3903C2"/>
    <w:rsid w:val="6B3A73C5"/>
    <w:rsid w:val="6B3F53DE"/>
    <w:rsid w:val="6B406134"/>
    <w:rsid w:val="6B455E66"/>
    <w:rsid w:val="6B47165C"/>
    <w:rsid w:val="6B4D555D"/>
    <w:rsid w:val="6B4F21E3"/>
    <w:rsid w:val="6B502DD5"/>
    <w:rsid w:val="6B536F5B"/>
    <w:rsid w:val="6B5C045C"/>
    <w:rsid w:val="6B5D5C8E"/>
    <w:rsid w:val="6B6704AB"/>
    <w:rsid w:val="6B67752D"/>
    <w:rsid w:val="6B6A1A04"/>
    <w:rsid w:val="6B6C2E6F"/>
    <w:rsid w:val="6B6F4633"/>
    <w:rsid w:val="6B7C24AE"/>
    <w:rsid w:val="6B7C465A"/>
    <w:rsid w:val="6B836A52"/>
    <w:rsid w:val="6B8A4FC9"/>
    <w:rsid w:val="6B8B10DF"/>
    <w:rsid w:val="6B8D1231"/>
    <w:rsid w:val="6B916358"/>
    <w:rsid w:val="6B923E7E"/>
    <w:rsid w:val="6B95402F"/>
    <w:rsid w:val="6B9919CE"/>
    <w:rsid w:val="6B9C3500"/>
    <w:rsid w:val="6BA2467F"/>
    <w:rsid w:val="6BA426B2"/>
    <w:rsid w:val="6BA52DFB"/>
    <w:rsid w:val="6BAA7419"/>
    <w:rsid w:val="6BAB6468"/>
    <w:rsid w:val="6BAD2A21"/>
    <w:rsid w:val="6BAE515B"/>
    <w:rsid w:val="6BBA6682"/>
    <w:rsid w:val="6BBC5E1C"/>
    <w:rsid w:val="6BBE4C73"/>
    <w:rsid w:val="6BC54D33"/>
    <w:rsid w:val="6BCA1291"/>
    <w:rsid w:val="6BDA0D35"/>
    <w:rsid w:val="6BE91C61"/>
    <w:rsid w:val="6BEE3DAB"/>
    <w:rsid w:val="6BF21F10"/>
    <w:rsid w:val="6BF3491C"/>
    <w:rsid w:val="6BF568E6"/>
    <w:rsid w:val="6BF9674E"/>
    <w:rsid w:val="6BFD134F"/>
    <w:rsid w:val="6BFE3A08"/>
    <w:rsid w:val="6BFE51B9"/>
    <w:rsid w:val="6C0E1756"/>
    <w:rsid w:val="6C152AE5"/>
    <w:rsid w:val="6C175942"/>
    <w:rsid w:val="6C192A4F"/>
    <w:rsid w:val="6C197958"/>
    <w:rsid w:val="6C1E2699"/>
    <w:rsid w:val="6C1F5132"/>
    <w:rsid w:val="6C2353A9"/>
    <w:rsid w:val="6C2A6BC7"/>
    <w:rsid w:val="6C315445"/>
    <w:rsid w:val="6C316EB7"/>
    <w:rsid w:val="6C3A60BF"/>
    <w:rsid w:val="6C40193C"/>
    <w:rsid w:val="6C4756A6"/>
    <w:rsid w:val="6C476B75"/>
    <w:rsid w:val="6C4E249B"/>
    <w:rsid w:val="6C5273D9"/>
    <w:rsid w:val="6C534BCF"/>
    <w:rsid w:val="6C542C61"/>
    <w:rsid w:val="6C551024"/>
    <w:rsid w:val="6C553829"/>
    <w:rsid w:val="6C583A73"/>
    <w:rsid w:val="6C6C3105"/>
    <w:rsid w:val="6C77554D"/>
    <w:rsid w:val="6C7D68DC"/>
    <w:rsid w:val="6C8337EB"/>
    <w:rsid w:val="6C840F07"/>
    <w:rsid w:val="6C8477D1"/>
    <w:rsid w:val="6C853686"/>
    <w:rsid w:val="6C880625"/>
    <w:rsid w:val="6C945A80"/>
    <w:rsid w:val="6C95299F"/>
    <w:rsid w:val="6C9854C4"/>
    <w:rsid w:val="6C995D9A"/>
    <w:rsid w:val="6CA15D79"/>
    <w:rsid w:val="6CA51C88"/>
    <w:rsid w:val="6CAE6A95"/>
    <w:rsid w:val="6CB1691E"/>
    <w:rsid w:val="6CBD64D2"/>
    <w:rsid w:val="6CBD6A44"/>
    <w:rsid w:val="6CC21733"/>
    <w:rsid w:val="6CCD0668"/>
    <w:rsid w:val="6CCD1611"/>
    <w:rsid w:val="6CCE03AD"/>
    <w:rsid w:val="6CD05911"/>
    <w:rsid w:val="6CD24E7A"/>
    <w:rsid w:val="6CDA6A99"/>
    <w:rsid w:val="6CE348FB"/>
    <w:rsid w:val="6CE449CA"/>
    <w:rsid w:val="6CE64A08"/>
    <w:rsid w:val="6CF02B40"/>
    <w:rsid w:val="6CF37CE2"/>
    <w:rsid w:val="6CF41EB3"/>
    <w:rsid w:val="6CFC73FF"/>
    <w:rsid w:val="6D06067F"/>
    <w:rsid w:val="6D11069A"/>
    <w:rsid w:val="6D1303A1"/>
    <w:rsid w:val="6D140AFE"/>
    <w:rsid w:val="6D1A412B"/>
    <w:rsid w:val="6D1C62B4"/>
    <w:rsid w:val="6D280F79"/>
    <w:rsid w:val="6D2942CE"/>
    <w:rsid w:val="6D2A0812"/>
    <w:rsid w:val="6D400EB9"/>
    <w:rsid w:val="6D4323A4"/>
    <w:rsid w:val="6D4331D2"/>
    <w:rsid w:val="6D463172"/>
    <w:rsid w:val="6D486CF3"/>
    <w:rsid w:val="6D4B2536"/>
    <w:rsid w:val="6D521B17"/>
    <w:rsid w:val="6D534CB0"/>
    <w:rsid w:val="6D5743E9"/>
    <w:rsid w:val="6D5A42AA"/>
    <w:rsid w:val="6D5C64F3"/>
    <w:rsid w:val="6D5F6F9E"/>
    <w:rsid w:val="6D631000"/>
    <w:rsid w:val="6D633D24"/>
    <w:rsid w:val="6D635AD2"/>
    <w:rsid w:val="6D720654"/>
    <w:rsid w:val="6D767A8B"/>
    <w:rsid w:val="6D7F3300"/>
    <w:rsid w:val="6D803AA0"/>
    <w:rsid w:val="6D817D56"/>
    <w:rsid w:val="6D8343C6"/>
    <w:rsid w:val="6D8F1EFE"/>
    <w:rsid w:val="6D904050"/>
    <w:rsid w:val="6D924450"/>
    <w:rsid w:val="6D943B1F"/>
    <w:rsid w:val="6D994FAE"/>
    <w:rsid w:val="6D9E24AE"/>
    <w:rsid w:val="6D9E4D5C"/>
    <w:rsid w:val="6DA02D08"/>
    <w:rsid w:val="6DA22804"/>
    <w:rsid w:val="6DA41436"/>
    <w:rsid w:val="6DAB3881"/>
    <w:rsid w:val="6DB0603D"/>
    <w:rsid w:val="6DB473BC"/>
    <w:rsid w:val="6DB91B96"/>
    <w:rsid w:val="6DBB3B60"/>
    <w:rsid w:val="6DBF6742"/>
    <w:rsid w:val="6DC710C7"/>
    <w:rsid w:val="6DC7788A"/>
    <w:rsid w:val="6DCF13B9"/>
    <w:rsid w:val="6DCF3167"/>
    <w:rsid w:val="6DD662A4"/>
    <w:rsid w:val="6DE210EC"/>
    <w:rsid w:val="6DE22E9A"/>
    <w:rsid w:val="6DEB7075"/>
    <w:rsid w:val="6DEC5AC7"/>
    <w:rsid w:val="6DEF0F97"/>
    <w:rsid w:val="6DF130DE"/>
    <w:rsid w:val="6DF13761"/>
    <w:rsid w:val="6DF97A5D"/>
    <w:rsid w:val="6DFA4688"/>
    <w:rsid w:val="6DFF3904"/>
    <w:rsid w:val="6E0254A5"/>
    <w:rsid w:val="6E0E03F4"/>
    <w:rsid w:val="6E1119D2"/>
    <w:rsid w:val="6E183116"/>
    <w:rsid w:val="6E185021"/>
    <w:rsid w:val="6E241705"/>
    <w:rsid w:val="6E251B05"/>
    <w:rsid w:val="6E274D51"/>
    <w:rsid w:val="6E2C680B"/>
    <w:rsid w:val="6E3A33B0"/>
    <w:rsid w:val="6E3B3E98"/>
    <w:rsid w:val="6E440737"/>
    <w:rsid w:val="6E44796F"/>
    <w:rsid w:val="6E49026C"/>
    <w:rsid w:val="6E4E7895"/>
    <w:rsid w:val="6E5378F4"/>
    <w:rsid w:val="6E5537AA"/>
    <w:rsid w:val="6E5D1522"/>
    <w:rsid w:val="6E5F098F"/>
    <w:rsid w:val="6E6117CE"/>
    <w:rsid w:val="6E6913B9"/>
    <w:rsid w:val="6E6934BB"/>
    <w:rsid w:val="6E6F7204"/>
    <w:rsid w:val="6E7066F8"/>
    <w:rsid w:val="6E855B2D"/>
    <w:rsid w:val="6E865F1C"/>
    <w:rsid w:val="6E891568"/>
    <w:rsid w:val="6E8C2E06"/>
    <w:rsid w:val="6E8C67FC"/>
    <w:rsid w:val="6E8D55CB"/>
    <w:rsid w:val="6E8E4DD0"/>
    <w:rsid w:val="6E907E60"/>
    <w:rsid w:val="6E9C605F"/>
    <w:rsid w:val="6E9D6517"/>
    <w:rsid w:val="6E9E41AD"/>
    <w:rsid w:val="6EA142D6"/>
    <w:rsid w:val="6EA30ABA"/>
    <w:rsid w:val="6EA67211"/>
    <w:rsid w:val="6EAE0FCF"/>
    <w:rsid w:val="6EB8444E"/>
    <w:rsid w:val="6EB91D05"/>
    <w:rsid w:val="6EB97B63"/>
    <w:rsid w:val="6EBB6E8B"/>
    <w:rsid w:val="6EC33158"/>
    <w:rsid w:val="6EC702DA"/>
    <w:rsid w:val="6ECB1B80"/>
    <w:rsid w:val="6ECB7DD2"/>
    <w:rsid w:val="6ED136F3"/>
    <w:rsid w:val="6ED304EE"/>
    <w:rsid w:val="6ED924EF"/>
    <w:rsid w:val="6EF47329"/>
    <w:rsid w:val="6EF72976"/>
    <w:rsid w:val="6EF8049C"/>
    <w:rsid w:val="6EFA2D17"/>
    <w:rsid w:val="6EFA4214"/>
    <w:rsid w:val="6F0252EA"/>
    <w:rsid w:val="6F045092"/>
    <w:rsid w:val="6F08090C"/>
    <w:rsid w:val="6F0F3AD1"/>
    <w:rsid w:val="6F18123A"/>
    <w:rsid w:val="6F1B2B08"/>
    <w:rsid w:val="6F2B7BAD"/>
    <w:rsid w:val="6F2C17D9"/>
    <w:rsid w:val="6F30259D"/>
    <w:rsid w:val="6F313218"/>
    <w:rsid w:val="6F3B4DF4"/>
    <w:rsid w:val="6F3F1180"/>
    <w:rsid w:val="6F465E41"/>
    <w:rsid w:val="6F4831D1"/>
    <w:rsid w:val="6F4C7FFD"/>
    <w:rsid w:val="6F4E11CF"/>
    <w:rsid w:val="6F560852"/>
    <w:rsid w:val="6F5714D6"/>
    <w:rsid w:val="6F5C0367"/>
    <w:rsid w:val="6F5E0C47"/>
    <w:rsid w:val="6F60081B"/>
    <w:rsid w:val="6F6124E5"/>
    <w:rsid w:val="6F693B4A"/>
    <w:rsid w:val="6F694966"/>
    <w:rsid w:val="6F743463"/>
    <w:rsid w:val="6F7A17B4"/>
    <w:rsid w:val="6F810491"/>
    <w:rsid w:val="6F857F81"/>
    <w:rsid w:val="6F9401C4"/>
    <w:rsid w:val="6F946416"/>
    <w:rsid w:val="6F9A5BAF"/>
    <w:rsid w:val="6F9E436E"/>
    <w:rsid w:val="6F9F5AA5"/>
    <w:rsid w:val="6FA119C9"/>
    <w:rsid w:val="6FA50A4A"/>
    <w:rsid w:val="6FA81174"/>
    <w:rsid w:val="6FAC091D"/>
    <w:rsid w:val="6FAD2212"/>
    <w:rsid w:val="6FAF5B30"/>
    <w:rsid w:val="6FB20FF8"/>
    <w:rsid w:val="6FBE29F8"/>
    <w:rsid w:val="6FC211D5"/>
    <w:rsid w:val="6FCE10E6"/>
    <w:rsid w:val="6FD34E08"/>
    <w:rsid w:val="6FE85244"/>
    <w:rsid w:val="6FE949B4"/>
    <w:rsid w:val="6FEF7AF1"/>
    <w:rsid w:val="6FF02E49"/>
    <w:rsid w:val="6FF1412A"/>
    <w:rsid w:val="6FF1663A"/>
    <w:rsid w:val="6FF62C2D"/>
    <w:rsid w:val="6FF71620"/>
    <w:rsid w:val="6FFF097D"/>
    <w:rsid w:val="6FFF5B6D"/>
    <w:rsid w:val="70133539"/>
    <w:rsid w:val="70156034"/>
    <w:rsid w:val="701769DC"/>
    <w:rsid w:val="70182A70"/>
    <w:rsid w:val="701B2420"/>
    <w:rsid w:val="701B67C5"/>
    <w:rsid w:val="70293D18"/>
    <w:rsid w:val="702E1EFB"/>
    <w:rsid w:val="70432D99"/>
    <w:rsid w:val="704941BD"/>
    <w:rsid w:val="704B2D4B"/>
    <w:rsid w:val="704E5176"/>
    <w:rsid w:val="705160B5"/>
    <w:rsid w:val="705517D7"/>
    <w:rsid w:val="70555EFC"/>
    <w:rsid w:val="706349B0"/>
    <w:rsid w:val="707149AA"/>
    <w:rsid w:val="70731753"/>
    <w:rsid w:val="707B75D6"/>
    <w:rsid w:val="70801A93"/>
    <w:rsid w:val="708757BD"/>
    <w:rsid w:val="70881E8C"/>
    <w:rsid w:val="70894095"/>
    <w:rsid w:val="708F2B0E"/>
    <w:rsid w:val="708F38BB"/>
    <w:rsid w:val="70902BBE"/>
    <w:rsid w:val="70934920"/>
    <w:rsid w:val="70980188"/>
    <w:rsid w:val="709A5F59"/>
    <w:rsid w:val="70A07186"/>
    <w:rsid w:val="70A767C2"/>
    <w:rsid w:val="70B34FC2"/>
    <w:rsid w:val="70BB20F0"/>
    <w:rsid w:val="70C3196B"/>
    <w:rsid w:val="70C94717"/>
    <w:rsid w:val="70CB4A40"/>
    <w:rsid w:val="70D10D69"/>
    <w:rsid w:val="70D52D39"/>
    <w:rsid w:val="70DD5F7F"/>
    <w:rsid w:val="70DF5DB7"/>
    <w:rsid w:val="70E17439"/>
    <w:rsid w:val="70ED08D4"/>
    <w:rsid w:val="70F058CE"/>
    <w:rsid w:val="70F456DC"/>
    <w:rsid w:val="70F701AF"/>
    <w:rsid w:val="70F94A85"/>
    <w:rsid w:val="70F97914"/>
    <w:rsid w:val="71015D2D"/>
    <w:rsid w:val="710D46D2"/>
    <w:rsid w:val="710F27EE"/>
    <w:rsid w:val="711A6D17"/>
    <w:rsid w:val="711B446A"/>
    <w:rsid w:val="7121017E"/>
    <w:rsid w:val="7121252E"/>
    <w:rsid w:val="71212E2B"/>
    <w:rsid w:val="71224FCF"/>
    <w:rsid w:val="712D20C1"/>
    <w:rsid w:val="712D2EAE"/>
    <w:rsid w:val="71382B51"/>
    <w:rsid w:val="713E621A"/>
    <w:rsid w:val="713F5623"/>
    <w:rsid w:val="713F5842"/>
    <w:rsid w:val="7144033C"/>
    <w:rsid w:val="714A76D4"/>
    <w:rsid w:val="714D04D7"/>
    <w:rsid w:val="71532F2E"/>
    <w:rsid w:val="715A181B"/>
    <w:rsid w:val="7163055D"/>
    <w:rsid w:val="7163460C"/>
    <w:rsid w:val="716360A0"/>
    <w:rsid w:val="71775E53"/>
    <w:rsid w:val="717A5967"/>
    <w:rsid w:val="717C53B4"/>
    <w:rsid w:val="717D2594"/>
    <w:rsid w:val="71850432"/>
    <w:rsid w:val="71943CE6"/>
    <w:rsid w:val="719442A2"/>
    <w:rsid w:val="719C5A56"/>
    <w:rsid w:val="71A33CD3"/>
    <w:rsid w:val="71BC1C54"/>
    <w:rsid w:val="71C07AE9"/>
    <w:rsid w:val="71C546DD"/>
    <w:rsid w:val="71D76A8E"/>
    <w:rsid w:val="71DC1368"/>
    <w:rsid w:val="71DE3940"/>
    <w:rsid w:val="71ED00B9"/>
    <w:rsid w:val="71EE1406"/>
    <w:rsid w:val="71EF5B86"/>
    <w:rsid w:val="71F413EE"/>
    <w:rsid w:val="71F8627D"/>
    <w:rsid w:val="71FA5E13"/>
    <w:rsid w:val="71FE303F"/>
    <w:rsid w:val="71FF6A85"/>
    <w:rsid w:val="72032596"/>
    <w:rsid w:val="72040681"/>
    <w:rsid w:val="72051B38"/>
    <w:rsid w:val="72055E52"/>
    <w:rsid w:val="72064488"/>
    <w:rsid w:val="72163D2D"/>
    <w:rsid w:val="72222FD6"/>
    <w:rsid w:val="72245676"/>
    <w:rsid w:val="72263A65"/>
    <w:rsid w:val="722649B3"/>
    <w:rsid w:val="722716DD"/>
    <w:rsid w:val="7235674F"/>
    <w:rsid w:val="72420CBB"/>
    <w:rsid w:val="72435ED2"/>
    <w:rsid w:val="724600DF"/>
    <w:rsid w:val="724862B1"/>
    <w:rsid w:val="72586EE5"/>
    <w:rsid w:val="725B146D"/>
    <w:rsid w:val="725B49F2"/>
    <w:rsid w:val="725C30D3"/>
    <w:rsid w:val="72675842"/>
    <w:rsid w:val="7269256C"/>
    <w:rsid w:val="726A7902"/>
    <w:rsid w:val="72710C91"/>
    <w:rsid w:val="7271182E"/>
    <w:rsid w:val="727442DD"/>
    <w:rsid w:val="7292340F"/>
    <w:rsid w:val="72975B6E"/>
    <w:rsid w:val="72992CE8"/>
    <w:rsid w:val="729B4FD1"/>
    <w:rsid w:val="72A40B57"/>
    <w:rsid w:val="72A50F7A"/>
    <w:rsid w:val="72A73D0C"/>
    <w:rsid w:val="72AA7F05"/>
    <w:rsid w:val="72AB7810"/>
    <w:rsid w:val="72AF012E"/>
    <w:rsid w:val="72B62B48"/>
    <w:rsid w:val="72B822D4"/>
    <w:rsid w:val="72BB2377"/>
    <w:rsid w:val="72C4408D"/>
    <w:rsid w:val="72D229A4"/>
    <w:rsid w:val="72D27981"/>
    <w:rsid w:val="72D8486C"/>
    <w:rsid w:val="72E15E16"/>
    <w:rsid w:val="72EA1F3A"/>
    <w:rsid w:val="72F97729"/>
    <w:rsid w:val="72FC67AC"/>
    <w:rsid w:val="72FD5AEB"/>
    <w:rsid w:val="72FF55FA"/>
    <w:rsid w:val="73076EFF"/>
    <w:rsid w:val="73093B02"/>
    <w:rsid w:val="730E3F61"/>
    <w:rsid w:val="731735E6"/>
    <w:rsid w:val="731A5B91"/>
    <w:rsid w:val="732660C5"/>
    <w:rsid w:val="732E45B3"/>
    <w:rsid w:val="7332043A"/>
    <w:rsid w:val="73377222"/>
    <w:rsid w:val="73401F3C"/>
    <w:rsid w:val="73421F7A"/>
    <w:rsid w:val="7349173E"/>
    <w:rsid w:val="734B2446"/>
    <w:rsid w:val="734E113B"/>
    <w:rsid w:val="734F5FE2"/>
    <w:rsid w:val="735142CD"/>
    <w:rsid w:val="73517F3B"/>
    <w:rsid w:val="7355410F"/>
    <w:rsid w:val="73555EBD"/>
    <w:rsid w:val="73572D10"/>
    <w:rsid w:val="735D77DB"/>
    <w:rsid w:val="736D7ACF"/>
    <w:rsid w:val="7379430D"/>
    <w:rsid w:val="7379604F"/>
    <w:rsid w:val="737A2EDC"/>
    <w:rsid w:val="737B5D85"/>
    <w:rsid w:val="73852F6D"/>
    <w:rsid w:val="73860A7E"/>
    <w:rsid w:val="73904A4D"/>
    <w:rsid w:val="73905147"/>
    <w:rsid w:val="73944970"/>
    <w:rsid w:val="73944C37"/>
    <w:rsid w:val="739473F6"/>
    <w:rsid w:val="73954FA7"/>
    <w:rsid w:val="73974431"/>
    <w:rsid w:val="73993FFB"/>
    <w:rsid w:val="739D0B8F"/>
    <w:rsid w:val="73A64EF3"/>
    <w:rsid w:val="73AB2635"/>
    <w:rsid w:val="73AD0B0A"/>
    <w:rsid w:val="73B1109E"/>
    <w:rsid w:val="73BA29EE"/>
    <w:rsid w:val="73BA4C48"/>
    <w:rsid w:val="73BA5622"/>
    <w:rsid w:val="73C859D5"/>
    <w:rsid w:val="73DB1D4D"/>
    <w:rsid w:val="73E320F1"/>
    <w:rsid w:val="73E74E7B"/>
    <w:rsid w:val="73ED07EB"/>
    <w:rsid w:val="7400480D"/>
    <w:rsid w:val="74017DF2"/>
    <w:rsid w:val="740968CB"/>
    <w:rsid w:val="74104710"/>
    <w:rsid w:val="74146287"/>
    <w:rsid w:val="7419338E"/>
    <w:rsid w:val="74253AE1"/>
    <w:rsid w:val="74257F85"/>
    <w:rsid w:val="742E7B4E"/>
    <w:rsid w:val="74336802"/>
    <w:rsid w:val="7438477F"/>
    <w:rsid w:val="743B4F27"/>
    <w:rsid w:val="74420D55"/>
    <w:rsid w:val="744D2E5A"/>
    <w:rsid w:val="744E5160"/>
    <w:rsid w:val="74593942"/>
    <w:rsid w:val="74624569"/>
    <w:rsid w:val="746D7639"/>
    <w:rsid w:val="74736548"/>
    <w:rsid w:val="747A4220"/>
    <w:rsid w:val="747F58E7"/>
    <w:rsid w:val="74822CE1"/>
    <w:rsid w:val="748B47A4"/>
    <w:rsid w:val="748F3650"/>
    <w:rsid w:val="7490294A"/>
    <w:rsid w:val="749F45D8"/>
    <w:rsid w:val="74A05010"/>
    <w:rsid w:val="74A52E74"/>
    <w:rsid w:val="74B862DE"/>
    <w:rsid w:val="74BD5B21"/>
    <w:rsid w:val="74C07CAE"/>
    <w:rsid w:val="74C303AA"/>
    <w:rsid w:val="74C47C65"/>
    <w:rsid w:val="74C7103C"/>
    <w:rsid w:val="74CE75C4"/>
    <w:rsid w:val="74DD1C0A"/>
    <w:rsid w:val="74DF2CF6"/>
    <w:rsid w:val="74E90984"/>
    <w:rsid w:val="74E91E55"/>
    <w:rsid w:val="74EE348C"/>
    <w:rsid w:val="74F20B03"/>
    <w:rsid w:val="74FB7577"/>
    <w:rsid w:val="74FC69FD"/>
    <w:rsid w:val="74FC7BCA"/>
    <w:rsid w:val="74FD52D1"/>
    <w:rsid w:val="74FF663C"/>
    <w:rsid w:val="750E7991"/>
    <w:rsid w:val="751002ED"/>
    <w:rsid w:val="75121D63"/>
    <w:rsid w:val="751D1FFC"/>
    <w:rsid w:val="75247330"/>
    <w:rsid w:val="753C3ADC"/>
    <w:rsid w:val="754813EF"/>
    <w:rsid w:val="754B7577"/>
    <w:rsid w:val="7554025E"/>
    <w:rsid w:val="755C1784"/>
    <w:rsid w:val="756248C1"/>
    <w:rsid w:val="756B55C0"/>
    <w:rsid w:val="756F5D66"/>
    <w:rsid w:val="757F5503"/>
    <w:rsid w:val="75842705"/>
    <w:rsid w:val="7586797F"/>
    <w:rsid w:val="75874327"/>
    <w:rsid w:val="758B2E47"/>
    <w:rsid w:val="758D7FEC"/>
    <w:rsid w:val="75901D19"/>
    <w:rsid w:val="75954470"/>
    <w:rsid w:val="75976C60"/>
    <w:rsid w:val="759A405B"/>
    <w:rsid w:val="759B75AD"/>
    <w:rsid w:val="75A931A2"/>
    <w:rsid w:val="75AD36EC"/>
    <w:rsid w:val="75AE09A3"/>
    <w:rsid w:val="75B4121E"/>
    <w:rsid w:val="75B4584F"/>
    <w:rsid w:val="75B543A9"/>
    <w:rsid w:val="75B72E5F"/>
    <w:rsid w:val="75B92CDE"/>
    <w:rsid w:val="75BC7D1C"/>
    <w:rsid w:val="75CA7C0C"/>
    <w:rsid w:val="75CB76C5"/>
    <w:rsid w:val="75D05B45"/>
    <w:rsid w:val="75D3214A"/>
    <w:rsid w:val="75DD4A5B"/>
    <w:rsid w:val="75E12BAC"/>
    <w:rsid w:val="75E157D8"/>
    <w:rsid w:val="75E92D0D"/>
    <w:rsid w:val="75EB18CD"/>
    <w:rsid w:val="75EF742C"/>
    <w:rsid w:val="76013E56"/>
    <w:rsid w:val="76032EE2"/>
    <w:rsid w:val="760A0A74"/>
    <w:rsid w:val="761375A9"/>
    <w:rsid w:val="76246A35"/>
    <w:rsid w:val="762B5C13"/>
    <w:rsid w:val="762C55FB"/>
    <w:rsid w:val="762F50EB"/>
    <w:rsid w:val="76320737"/>
    <w:rsid w:val="76335855"/>
    <w:rsid w:val="763E69A1"/>
    <w:rsid w:val="76430936"/>
    <w:rsid w:val="76437A8C"/>
    <w:rsid w:val="76472434"/>
    <w:rsid w:val="76492623"/>
    <w:rsid w:val="764A256D"/>
    <w:rsid w:val="764D4B3C"/>
    <w:rsid w:val="76612DCA"/>
    <w:rsid w:val="766154CC"/>
    <w:rsid w:val="766723EC"/>
    <w:rsid w:val="766A1C7F"/>
    <w:rsid w:val="766F43AC"/>
    <w:rsid w:val="76732AD5"/>
    <w:rsid w:val="767473D8"/>
    <w:rsid w:val="767E3D59"/>
    <w:rsid w:val="76815DE0"/>
    <w:rsid w:val="768852C2"/>
    <w:rsid w:val="768A5F74"/>
    <w:rsid w:val="768C42EB"/>
    <w:rsid w:val="768C7D3F"/>
    <w:rsid w:val="768F5B89"/>
    <w:rsid w:val="768F739B"/>
    <w:rsid w:val="768F7938"/>
    <w:rsid w:val="7690425B"/>
    <w:rsid w:val="76963552"/>
    <w:rsid w:val="76A2766B"/>
    <w:rsid w:val="76A42B08"/>
    <w:rsid w:val="76A83067"/>
    <w:rsid w:val="76AC7B57"/>
    <w:rsid w:val="76B16BF0"/>
    <w:rsid w:val="76B24594"/>
    <w:rsid w:val="76B451E8"/>
    <w:rsid w:val="76BC3479"/>
    <w:rsid w:val="76BF7B13"/>
    <w:rsid w:val="76C2509E"/>
    <w:rsid w:val="76CF1A5A"/>
    <w:rsid w:val="76CF37BC"/>
    <w:rsid w:val="76CF6FD7"/>
    <w:rsid w:val="76D33CC8"/>
    <w:rsid w:val="76D45029"/>
    <w:rsid w:val="76E07851"/>
    <w:rsid w:val="76E11A0B"/>
    <w:rsid w:val="76E41A31"/>
    <w:rsid w:val="76F31C74"/>
    <w:rsid w:val="76F374B8"/>
    <w:rsid w:val="76F459ED"/>
    <w:rsid w:val="76FC636B"/>
    <w:rsid w:val="77004391"/>
    <w:rsid w:val="77110F58"/>
    <w:rsid w:val="77185D9B"/>
    <w:rsid w:val="7718792D"/>
    <w:rsid w:val="77192E04"/>
    <w:rsid w:val="77213C7C"/>
    <w:rsid w:val="772207AC"/>
    <w:rsid w:val="772D2081"/>
    <w:rsid w:val="772F31EC"/>
    <w:rsid w:val="77386BAF"/>
    <w:rsid w:val="773C3B52"/>
    <w:rsid w:val="773F27EA"/>
    <w:rsid w:val="77415F0E"/>
    <w:rsid w:val="774F3949"/>
    <w:rsid w:val="77536735"/>
    <w:rsid w:val="77580225"/>
    <w:rsid w:val="776E39F1"/>
    <w:rsid w:val="77714069"/>
    <w:rsid w:val="77716BAC"/>
    <w:rsid w:val="77722DD6"/>
    <w:rsid w:val="77767560"/>
    <w:rsid w:val="777A0758"/>
    <w:rsid w:val="777F58A6"/>
    <w:rsid w:val="77891F6F"/>
    <w:rsid w:val="77935205"/>
    <w:rsid w:val="779A4EA5"/>
    <w:rsid w:val="779D1929"/>
    <w:rsid w:val="77A6318B"/>
    <w:rsid w:val="77AE1615"/>
    <w:rsid w:val="77BA1D23"/>
    <w:rsid w:val="77BF42BA"/>
    <w:rsid w:val="77C16217"/>
    <w:rsid w:val="77C52272"/>
    <w:rsid w:val="77C61F48"/>
    <w:rsid w:val="77C80759"/>
    <w:rsid w:val="77CB2E9C"/>
    <w:rsid w:val="77CD3082"/>
    <w:rsid w:val="77CD4BBB"/>
    <w:rsid w:val="77D44C46"/>
    <w:rsid w:val="77D5581E"/>
    <w:rsid w:val="77E66B14"/>
    <w:rsid w:val="77EC0499"/>
    <w:rsid w:val="77EF4B32"/>
    <w:rsid w:val="77F05DF0"/>
    <w:rsid w:val="77F12FB3"/>
    <w:rsid w:val="77F40FB7"/>
    <w:rsid w:val="77F66714"/>
    <w:rsid w:val="77F739E6"/>
    <w:rsid w:val="77FA5285"/>
    <w:rsid w:val="780B0F0E"/>
    <w:rsid w:val="780D0258"/>
    <w:rsid w:val="78124106"/>
    <w:rsid w:val="781C7A87"/>
    <w:rsid w:val="781F6570"/>
    <w:rsid w:val="78225CED"/>
    <w:rsid w:val="782337CD"/>
    <w:rsid w:val="782A04F5"/>
    <w:rsid w:val="782D29F1"/>
    <w:rsid w:val="78304EBB"/>
    <w:rsid w:val="783F0EE9"/>
    <w:rsid w:val="784373D1"/>
    <w:rsid w:val="78476316"/>
    <w:rsid w:val="78483BFB"/>
    <w:rsid w:val="784B1E6C"/>
    <w:rsid w:val="784C37F8"/>
    <w:rsid w:val="784C5CC1"/>
    <w:rsid w:val="784D4553"/>
    <w:rsid w:val="784F70A9"/>
    <w:rsid w:val="785650A9"/>
    <w:rsid w:val="785B5D23"/>
    <w:rsid w:val="78623556"/>
    <w:rsid w:val="786E6B5D"/>
    <w:rsid w:val="788021C5"/>
    <w:rsid w:val="78845B6F"/>
    <w:rsid w:val="788C2431"/>
    <w:rsid w:val="78957A07"/>
    <w:rsid w:val="789628D5"/>
    <w:rsid w:val="789D6CAA"/>
    <w:rsid w:val="789E697D"/>
    <w:rsid w:val="78A475FB"/>
    <w:rsid w:val="78A72E0D"/>
    <w:rsid w:val="78AF4B03"/>
    <w:rsid w:val="78BB4EDA"/>
    <w:rsid w:val="78BC15A4"/>
    <w:rsid w:val="78DB50B6"/>
    <w:rsid w:val="78E1103F"/>
    <w:rsid w:val="78E54394"/>
    <w:rsid w:val="78E55F35"/>
    <w:rsid w:val="78E71CAD"/>
    <w:rsid w:val="78E84C32"/>
    <w:rsid w:val="78EC7724"/>
    <w:rsid w:val="78EE1F91"/>
    <w:rsid w:val="78EE5A28"/>
    <w:rsid w:val="78F85C68"/>
    <w:rsid w:val="78F97D0E"/>
    <w:rsid w:val="78FB6475"/>
    <w:rsid w:val="79033C4C"/>
    <w:rsid w:val="79071E41"/>
    <w:rsid w:val="790A5788"/>
    <w:rsid w:val="790F6B0E"/>
    <w:rsid w:val="79155A22"/>
    <w:rsid w:val="79186C17"/>
    <w:rsid w:val="791C7FB6"/>
    <w:rsid w:val="791D122B"/>
    <w:rsid w:val="79204546"/>
    <w:rsid w:val="79252E65"/>
    <w:rsid w:val="792A053C"/>
    <w:rsid w:val="792B71C5"/>
    <w:rsid w:val="792F164C"/>
    <w:rsid w:val="7930017F"/>
    <w:rsid w:val="79300438"/>
    <w:rsid w:val="79320348"/>
    <w:rsid w:val="79346574"/>
    <w:rsid w:val="79382508"/>
    <w:rsid w:val="79442DB0"/>
    <w:rsid w:val="794669D3"/>
    <w:rsid w:val="79507852"/>
    <w:rsid w:val="79534C4C"/>
    <w:rsid w:val="79554D87"/>
    <w:rsid w:val="7971160E"/>
    <w:rsid w:val="79750A88"/>
    <w:rsid w:val="79793D75"/>
    <w:rsid w:val="79865D66"/>
    <w:rsid w:val="79870D9A"/>
    <w:rsid w:val="79882C69"/>
    <w:rsid w:val="798B023C"/>
    <w:rsid w:val="798B2638"/>
    <w:rsid w:val="798D001C"/>
    <w:rsid w:val="798D4602"/>
    <w:rsid w:val="79905EA0"/>
    <w:rsid w:val="79915EC0"/>
    <w:rsid w:val="79926002"/>
    <w:rsid w:val="7995219D"/>
    <w:rsid w:val="79981E02"/>
    <w:rsid w:val="79990BDA"/>
    <w:rsid w:val="799C7E94"/>
    <w:rsid w:val="79A061B6"/>
    <w:rsid w:val="79A917E4"/>
    <w:rsid w:val="79AB2CDA"/>
    <w:rsid w:val="79AE6381"/>
    <w:rsid w:val="79B11DE1"/>
    <w:rsid w:val="79B274E9"/>
    <w:rsid w:val="79CC2C61"/>
    <w:rsid w:val="79CE22A2"/>
    <w:rsid w:val="79CF1ADA"/>
    <w:rsid w:val="79D40520"/>
    <w:rsid w:val="79D978D0"/>
    <w:rsid w:val="79E1768B"/>
    <w:rsid w:val="79E26208"/>
    <w:rsid w:val="79E461EC"/>
    <w:rsid w:val="79EA0DBB"/>
    <w:rsid w:val="79EE0FF6"/>
    <w:rsid w:val="79F44681"/>
    <w:rsid w:val="79F778FE"/>
    <w:rsid w:val="7A020420"/>
    <w:rsid w:val="7A052022"/>
    <w:rsid w:val="7A0E4EF2"/>
    <w:rsid w:val="7A0F3269"/>
    <w:rsid w:val="7A110522"/>
    <w:rsid w:val="7A1A0EDB"/>
    <w:rsid w:val="7A273FFC"/>
    <w:rsid w:val="7A291E51"/>
    <w:rsid w:val="7A2930E6"/>
    <w:rsid w:val="7A31097F"/>
    <w:rsid w:val="7A37631C"/>
    <w:rsid w:val="7A38580D"/>
    <w:rsid w:val="7A39046A"/>
    <w:rsid w:val="7A494795"/>
    <w:rsid w:val="7A497638"/>
    <w:rsid w:val="7A4E7042"/>
    <w:rsid w:val="7A52088A"/>
    <w:rsid w:val="7A590988"/>
    <w:rsid w:val="7A5F027D"/>
    <w:rsid w:val="7A601F90"/>
    <w:rsid w:val="7A641B08"/>
    <w:rsid w:val="7A6C06BC"/>
    <w:rsid w:val="7A6C1EE6"/>
    <w:rsid w:val="7A7919BB"/>
    <w:rsid w:val="7A815650"/>
    <w:rsid w:val="7A820B46"/>
    <w:rsid w:val="7A831561"/>
    <w:rsid w:val="7A883465"/>
    <w:rsid w:val="7A8A129C"/>
    <w:rsid w:val="7A8A4D3A"/>
    <w:rsid w:val="7A8D23E0"/>
    <w:rsid w:val="7A941748"/>
    <w:rsid w:val="7A9728A0"/>
    <w:rsid w:val="7A9814B1"/>
    <w:rsid w:val="7AA63653"/>
    <w:rsid w:val="7AA84AA4"/>
    <w:rsid w:val="7AAA2208"/>
    <w:rsid w:val="7AAA2F92"/>
    <w:rsid w:val="7AB239FE"/>
    <w:rsid w:val="7AB23BF5"/>
    <w:rsid w:val="7AB7745D"/>
    <w:rsid w:val="7ABC1C8C"/>
    <w:rsid w:val="7AC5601E"/>
    <w:rsid w:val="7ACC115A"/>
    <w:rsid w:val="7AD406A6"/>
    <w:rsid w:val="7AD65B35"/>
    <w:rsid w:val="7AD754C5"/>
    <w:rsid w:val="7ADB7812"/>
    <w:rsid w:val="7AE04C06"/>
    <w:rsid w:val="7AE262DC"/>
    <w:rsid w:val="7AE83ABA"/>
    <w:rsid w:val="7AEB37DE"/>
    <w:rsid w:val="7AF50CD7"/>
    <w:rsid w:val="7AFF09A7"/>
    <w:rsid w:val="7B02692A"/>
    <w:rsid w:val="7B054C06"/>
    <w:rsid w:val="7B073E0F"/>
    <w:rsid w:val="7B0922E5"/>
    <w:rsid w:val="7B096372"/>
    <w:rsid w:val="7B0E7E38"/>
    <w:rsid w:val="7B0F1047"/>
    <w:rsid w:val="7B174FB1"/>
    <w:rsid w:val="7B39435C"/>
    <w:rsid w:val="7B3D7C92"/>
    <w:rsid w:val="7B3F1B3F"/>
    <w:rsid w:val="7B553884"/>
    <w:rsid w:val="7B5F3D7C"/>
    <w:rsid w:val="7B654FC3"/>
    <w:rsid w:val="7B6A5FA6"/>
    <w:rsid w:val="7B75534E"/>
    <w:rsid w:val="7B774A17"/>
    <w:rsid w:val="7B7955F4"/>
    <w:rsid w:val="7B8437E3"/>
    <w:rsid w:val="7B876E2F"/>
    <w:rsid w:val="7B8A13B3"/>
    <w:rsid w:val="7B8D6BCE"/>
    <w:rsid w:val="7B8F3F36"/>
    <w:rsid w:val="7B9B1D08"/>
    <w:rsid w:val="7B9B1E20"/>
    <w:rsid w:val="7B9C1C10"/>
    <w:rsid w:val="7BA67BFD"/>
    <w:rsid w:val="7BB12A63"/>
    <w:rsid w:val="7BB35E76"/>
    <w:rsid w:val="7BB901AD"/>
    <w:rsid w:val="7BBD4F47"/>
    <w:rsid w:val="7BBE4F95"/>
    <w:rsid w:val="7BC2255D"/>
    <w:rsid w:val="7BC87F24"/>
    <w:rsid w:val="7BCC620B"/>
    <w:rsid w:val="7BCE2CB0"/>
    <w:rsid w:val="7BD849B9"/>
    <w:rsid w:val="7BD87809"/>
    <w:rsid w:val="7BDA78A7"/>
    <w:rsid w:val="7BDC65E5"/>
    <w:rsid w:val="7BDC717B"/>
    <w:rsid w:val="7BE60164"/>
    <w:rsid w:val="7BE60B36"/>
    <w:rsid w:val="7BF81D28"/>
    <w:rsid w:val="7BF858C6"/>
    <w:rsid w:val="7BF8605B"/>
    <w:rsid w:val="7BFC23E4"/>
    <w:rsid w:val="7C0424AA"/>
    <w:rsid w:val="7C044924"/>
    <w:rsid w:val="7C077F47"/>
    <w:rsid w:val="7C0A3959"/>
    <w:rsid w:val="7C163245"/>
    <w:rsid w:val="7C1A66D9"/>
    <w:rsid w:val="7C1B3B60"/>
    <w:rsid w:val="7C224DAA"/>
    <w:rsid w:val="7C280612"/>
    <w:rsid w:val="7C30396B"/>
    <w:rsid w:val="7C330D65"/>
    <w:rsid w:val="7C37362A"/>
    <w:rsid w:val="7C3C2310"/>
    <w:rsid w:val="7C413ECD"/>
    <w:rsid w:val="7C4579C7"/>
    <w:rsid w:val="7C461DCD"/>
    <w:rsid w:val="7C47074C"/>
    <w:rsid w:val="7C4B2553"/>
    <w:rsid w:val="7C5A4544"/>
    <w:rsid w:val="7C5E10DC"/>
    <w:rsid w:val="7C604219"/>
    <w:rsid w:val="7C663C84"/>
    <w:rsid w:val="7C7061BC"/>
    <w:rsid w:val="7C843250"/>
    <w:rsid w:val="7C8759F0"/>
    <w:rsid w:val="7C8A156A"/>
    <w:rsid w:val="7C8C49A4"/>
    <w:rsid w:val="7C9A081D"/>
    <w:rsid w:val="7CA40BFC"/>
    <w:rsid w:val="7CA90AD9"/>
    <w:rsid w:val="7CAB16E6"/>
    <w:rsid w:val="7CAD0B17"/>
    <w:rsid w:val="7CB67090"/>
    <w:rsid w:val="7CB92CB8"/>
    <w:rsid w:val="7CC16371"/>
    <w:rsid w:val="7CC46E52"/>
    <w:rsid w:val="7CC72945"/>
    <w:rsid w:val="7CC876FF"/>
    <w:rsid w:val="7CCE711F"/>
    <w:rsid w:val="7CD14670"/>
    <w:rsid w:val="7CD7104B"/>
    <w:rsid w:val="7CDD764F"/>
    <w:rsid w:val="7CDF44A7"/>
    <w:rsid w:val="7CE00EED"/>
    <w:rsid w:val="7CE03507"/>
    <w:rsid w:val="7CE24C65"/>
    <w:rsid w:val="7CE91EFE"/>
    <w:rsid w:val="7CE93414"/>
    <w:rsid w:val="7CEB3EE7"/>
    <w:rsid w:val="7CF21BF9"/>
    <w:rsid w:val="7CF4395F"/>
    <w:rsid w:val="7CF467F7"/>
    <w:rsid w:val="7CF65DFB"/>
    <w:rsid w:val="7CF73434"/>
    <w:rsid w:val="7CFD5B1E"/>
    <w:rsid w:val="7D041578"/>
    <w:rsid w:val="7D0428EB"/>
    <w:rsid w:val="7D0821F2"/>
    <w:rsid w:val="7D0A71C3"/>
    <w:rsid w:val="7D137697"/>
    <w:rsid w:val="7D14458D"/>
    <w:rsid w:val="7D17749A"/>
    <w:rsid w:val="7D1809E7"/>
    <w:rsid w:val="7D196CAD"/>
    <w:rsid w:val="7D31799A"/>
    <w:rsid w:val="7D324039"/>
    <w:rsid w:val="7D33726F"/>
    <w:rsid w:val="7D350B5F"/>
    <w:rsid w:val="7D376C35"/>
    <w:rsid w:val="7D444C99"/>
    <w:rsid w:val="7D4A373B"/>
    <w:rsid w:val="7D4D437C"/>
    <w:rsid w:val="7D4F1BCF"/>
    <w:rsid w:val="7D4F6073"/>
    <w:rsid w:val="7D5BCC22"/>
    <w:rsid w:val="7D5D0E65"/>
    <w:rsid w:val="7D616000"/>
    <w:rsid w:val="7D652FE1"/>
    <w:rsid w:val="7D6A4C5A"/>
    <w:rsid w:val="7D7623CC"/>
    <w:rsid w:val="7D770681"/>
    <w:rsid w:val="7D7972F6"/>
    <w:rsid w:val="7D7B29C4"/>
    <w:rsid w:val="7D8D09BB"/>
    <w:rsid w:val="7D92244B"/>
    <w:rsid w:val="7D926908"/>
    <w:rsid w:val="7D95153C"/>
    <w:rsid w:val="7D985ACE"/>
    <w:rsid w:val="7D9A6D34"/>
    <w:rsid w:val="7DA00EFE"/>
    <w:rsid w:val="7DA66F24"/>
    <w:rsid w:val="7DB859C6"/>
    <w:rsid w:val="7DBC5156"/>
    <w:rsid w:val="7DBC518B"/>
    <w:rsid w:val="7DBD5C5A"/>
    <w:rsid w:val="7DC15CF3"/>
    <w:rsid w:val="7DC45A94"/>
    <w:rsid w:val="7DC91981"/>
    <w:rsid w:val="7DC9616D"/>
    <w:rsid w:val="7DC97AF2"/>
    <w:rsid w:val="7DCA3CDF"/>
    <w:rsid w:val="7DCD178C"/>
    <w:rsid w:val="7DD00F61"/>
    <w:rsid w:val="7DD6238A"/>
    <w:rsid w:val="7DE20919"/>
    <w:rsid w:val="7DE77A24"/>
    <w:rsid w:val="7DF57316"/>
    <w:rsid w:val="7DFA4230"/>
    <w:rsid w:val="7DFC168E"/>
    <w:rsid w:val="7DFC50DA"/>
    <w:rsid w:val="7DFD0060"/>
    <w:rsid w:val="7E043EF6"/>
    <w:rsid w:val="7E0E5C00"/>
    <w:rsid w:val="7E1137B4"/>
    <w:rsid w:val="7E1259C9"/>
    <w:rsid w:val="7E13310A"/>
    <w:rsid w:val="7E146EA1"/>
    <w:rsid w:val="7E1D1CA3"/>
    <w:rsid w:val="7E1F5A45"/>
    <w:rsid w:val="7E2400D6"/>
    <w:rsid w:val="7E247E21"/>
    <w:rsid w:val="7E2737B9"/>
    <w:rsid w:val="7E363BA7"/>
    <w:rsid w:val="7E3F4209"/>
    <w:rsid w:val="7E402A56"/>
    <w:rsid w:val="7E414CED"/>
    <w:rsid w:val="7E416BFE"/>
    <w:rsid w:val="7E467275"/>
    <w:rsid w:val="7E4750AB"/>
    <w:rsid w:val="7E48119D"/>
    <w:rsid w:val="7E510584"/>
    <w:rsid w:val="7E544E3A"/>
    <w:rsid w:val="7E5E4DFD"/>
    <w:rsid w:val="7E640DD7"/>
    <w:rsid w:val="7E6801DD"/>
    <w:rsid w:val="7E6D084A"/>
    <w:rsid w:val="7E7318ED"/>
    <w:rsid w:val="7E745D91"/>
    <w:rsid w:val="7E784ECC"/>
    <w:rsid w:val="7E7E4BF3"/>
    <w:rsid w:val="7E7F1C99"/>
    <w:rsid w:val="7E8038F0"/>
    <w:rsid w:val="7E957025"/>
    <w:rsid w:val="7E980502"/>
    <w:rsid w:val="7E9C7095"/>
    <w:rsid w:val="7E9F26E2"/>
    <w:rsid w:val="7EB63E39"/>
    <w:rsid w:val="7EBD0A9B"/>
    <w:rsid w:val="7EC81C39"/>
    <w:rsid w:val="7ECC04C8"/>
    <w:rsid w:val="7ED1079E"/>
    <w:rsid w:val="7ED21E5E"/>
    <w:rsid w:val="7ED30C22"/>
    <w:rsid w:val="7ED332BC"/>
    <w:rsid w:val="7ED72A0A"/>
    <w:rsid w:val="7EE50A3C"/>
    <w:rsid w:val="7EE60311"/>
    <w:rsid w:val="7EE92A2E"/>
    <w:rsid w:val="7EEB6E01"/>
    <w:rsid w:val="7EF64805"/>
    <w:rsid w:val="7EFB200E"/>
    <w:rsid w:val="7EFE2860"/>
    <w:rsid w:val="7F067831"/>
    <w:rsid w:val="7F08297D"/>
    <w:rsid w:val="7F0A146A"/>
    <w:rsid w:val="7F0C32D2"/>
    <w:rsid w:val="7F0D21BA"/>
    <w:rsid w:val="7F0F6F3A"/>
    <w:rsid w:val="7F17671C"/>
    <w:rsid w:val="7F192494"/>
    <w:rsid w:val="7F2026D1"/>
    <w:rsid w:val="7F236AA2"/>
    <w:rsid w:val="7F281404"/>
    <w:rsid w:val="7F2C0C33"/>
    <w:rsid w:val="7F2C4FD2"/>
    <w:rsid w:val="7F2F611E"/>
    <w:rsid w:val="7F354BA5"/>
    <w:rsid w:val="7F3B68AE"/>
    <w:rsid w:val="7F427DDA"/>
    <w:rsid w:val="7F460DFE"/>
    <w:rsid w:val="7F4B18B1"/>
    <w:rsid w:val="7F4B7E2D"/>
    <w:rsid w:val="7F4C0ABC"/>
    <w:rsid w:val="7F506743"/>
    <w:rsid w:val="7F5B53AD"/>
    <w:rsid w:val="7F6106E9"/>
    <w:rsid w:val="7F622BBF"/>
    <w:rsid w:val="7F673200"/>
    <w:rsid w:val="7F6E0A32"/>
    <w:rsid w:val="7F6F3664"/>
    <w:rsid w:val="7F710BE4"/>
    <w:rsid w:val="7F7168A2"/>
    <w:rsid w:val="7F7607EB"/>
    <w:rsid w:val="7F7924A3"/>
    <w:rsid w:val="7F7F2C3F"/>
    <w:rsid w:val="7F8364BF"/>
    <w:rsid w:val="7F8D4814"/>
    <w:rsid w:val="7F8F2F7F"/>
    <w:rsid w:val="7F91460F"/>
    <w:rsid w:val="7F9A24FA"/>
    <w:rsid w:val="7F9F6E3D"/>
    <w:rsid w:val="7FA24761"/>
    <w:rsid w:val="7FA73F44"/>
    <w:rsid w:val="7FB47762"/>
    <w:rsid w:val="7FB710A8"/>
    <w:rsid w:val="7FBF303C"/>
    <w:rsid w:val="7FCA0222"/>
    <w:rsid w:val="7FCC4CF0"/>
    <w:rsid w:val="7FCE30A5"/>
    <w:rsid w:val="7FCE4EE5"/>
    <w:rsid w:val="7FCF6CDA"/>
    <w:rsid w:val="7FD743DA"/>
    <w:rsid w:val="7FE24F7C"/>
    <w:rsid w:val="7FE27212"/>
    <w:rsid w:val="7FED0F57"/>
    <w:rsid w:val="7FF3582B"/>
    <w:rsid w:val="7FF41395"/>
    <w:rsid w:val="7FF657F3"/>
    <w:rsid w:val="7FFC7B21"/>
    <w:rsid w:val="7FFD3B64"/>
    <w:rsid w:val="977F400B"/>
    <w:rsid w:val="A7CF37F4"/>
    <w:rsid w:val="ADB7D078"/>
    <w:rsid w:val="B96D5DF5"/>
    <w:rsid w:val="BFDBB498"/>
    <w:rsid w:val="CD59106E"/>
    <w:rsid w:val="CD6F9736"/>
    <w:rsid w:val="F53E51D6"/>
    <w:rsid w:val="F73A1804"/>
    <w:rsid w:val="FBBF14BA"/>
    <w:rsid w:val="FDEF479D"/>
    <w:rsid w:val="FEE442D5"/>
    <w:rsid w:val="FF7F5653"/>
    <w:rsid w:val="FFDDC22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Calibri" w:eastAsia="宋体" w:cs="Times New Roman"/>
      <w:spacing w:val="5"/>
      <w:kern w:val="2"/>
      <w:sz w:val="24"/>
      <w:szCs w:val="25"/>
      <w:lang w:val="en-US" w:eastAsia="zh-CN" w:bidi="ar-SA"/>
    </w:rPr>
  </w:style>
  <w:style w:type="paragraph" w:styleId="2">
    <w:name w:val="heading 1"/>
    <w:basedOn w:val="1"/>
    <w:next w:val="1"/>
    <w:link w:val="57"/>
    <w:qFormat/>
    <w:uiPriority w:val="0"/>
    <w:pPr>
      <w:keepNext/>
      <w:pageBreakBefore/>
      <w:spacing w:before="120" w:after="120" w:line="400" w:lineRule="exact"/>
      <w:outlineLvl w:val="0"/>
    </w:pPr>
    <w:rPr>
      <w:rFonts w:ascii="Arial" w:hAnsi="Arial" w:eastAsia="黑体"/>
      <w:spacing w:val="12"/>
      <w:w w:val="90"/>
      <w:kern w:val="44"/>
      <w:sz w:val="30"/>
    </w:rPr>
  </w:style>
  <w:style w:type="paragraph" w:styleId="3">
    <w:name w:val="heading 2"/>
    <w:basedOn w:val="1"/>
    <w:next w:val="1"/>
    <w:qFormat/>
    <w:uiPriority w:val="0"/>
    <w:pPr>
      <w:keepNext/>
      <w:keepLines/>
      <w:adjustRightInd w:val="0"/>
      <w:spacing w:before="120" w:after="120" w:line="400" w:lineRule="exact"/>
      <w:textAlignment w:val="baseline"/>
      <w:outlineLvl w:val="1"/>
    </w:pPr>
    <w:rPr>
      <w:rFonts w:ascii="Arial" w:hAnsi="Arial" w:eastAsia="黑体"/>
      <w:spacing w:val="12"/>
      <w:w w:val="90"/>
      <w:kern w:val="0"/>
      <w:sz w:val="28"/>
    </w:rPr>
  </w:style>
  <w:style w:type="paragraph" w:styleId="4">
    <w:name w:val="heading 3"/>
    <w:basedOn w:val="1"/>
    <w:next w:val="1"/>
    <w:qFormat/>
    <w:uiPriority w:val="0"/>
    <w:pPr>
      <w:keepNext/>
      <w:keepLines/>
      <w:spacing w:beforeLines="0" w:afterLines="0" w:line="416" w:lineRule="auto"/>
      <w:outlineLvl w:val="2"/>
    </w:pPr>
    <w:rPr>
      <w:b/>
      <w:bCs/>
      <w:sz w:val="32"/>
      <w:szCs w:val="32"/>
    </w:rPr>
  </w:style>
  <w:style w:type="paragraph" w:styleId="5">
    <w:name w:val="heading 4"/>
    <w:basedOn w:val="1"/>
    <w:next w:val="1"/>
    <w:link w:val="58"/>
    <w:qFormat/>
    <w:uiPriority w:val="0"/>
    <w:pPr>
      <w:keepNext/>
      <w:keepLines/>
      <w:outlineLvl w:val="3"/>
    </w:pPr>
    <w:rPr>
      <w:rFonts w:ascii="Cambria" w:hAnsi="Cambria" w:eastAsia="黑体"/>
      <w:b/>
      <w:bCs/>
      <w:sz w:val="25"/>
      <w:szCs w:val="28"/>
    </w:rPr>
  </w:style>
  <w:style w:type="paragraph" w:styleId="6">
    <w:name w:val="heading 5"/>
    <w:basedOn w:val="1"/>
    <w:next w:val="1"/>
    <w:qFormat/>
    <w:uiPriority w:val="0"/>
    <w:pPr>
      <w:keepNext/>
      <w:keepLines/>
      <w:tabs>
        <w:tab w:val="left" w:pos="1080"/>
      </w:tabs>
      <w:adjustRightInd w:val="0"/>
      <w:spacing w:beforeLines="0" w:afterLines="0" w:line="480" w:lineRule="exact"/>
      <w:ind w:left="992" w:hanging="992"/>
      <w:textAlignment w:val="baseline"/>
      <w:outlineLvl w:val="4"/>
    </w:pPr>
    <w:rPr>
      <w:rFonts w:ascii="Times New Roman"/>
      <w:bCs/>
      <w:spacing w:val="-2"/>
      <w:kern w:val="0"/>
      <w:sz w:val="28"/>
      <w:szCs w:val="20"/>
    </w:rPr>
  </w:style>
  <w:style w:type="paragraph" w:styleId="7">
    <w:name w:val="heading 6"/>
    <w:basedOn w:val="1"/>
    <w:next w:val="1"/>
    <w:qFormat/>
    <w:uiPriority w:val="0"/>
    <w:pPr>
      <w:spacing w:before="100" w:beforeAutospacing="1" w:after="100" w:afterAutospacing="1"/>
      <w:jc w:val="left"/>
      <w:outlineLvl w:val="5"/>
    </w:pPr>
    <w:rPr>
      <w:rFonts w:hint="eastAsia" w:ascii="宋体" w:hAnsi="宋体" w:eastAsia="宋体" w:cs="宋体"/>
      <w:b/>
      <w:kern w:val="0"/>
      <w:sz w:val="15"/>
      <w:szCs w:val="15"/>
      <w:lang w:val="en-US" w:eastAsia="zh-CN" w:bidi="ar"/>
    </w:rPr>
  </w:style>
  <w:style w:type="character" w:default="1" w:styleId="50">
    <w:name w:val="Default Paragraph Font"/>
    <w:unhideWhenUsed/>
    <w:qFormat/>
    <w:uiPriority w:val="1"/>
  </w:style>
  <w:style w:type="table" w:default="1" w:styleId="48">
    <w:name w:val="Normal Table"/>
    <w:unhideWhenUsed/>
    <w:qFormat/>
    <w:uiPriority w:val="99"/>
    <w:tblPr>
      <w:tblCellMar>
        <w:top w:w="0" w:type="dxa"/>
        <w:left w:w="108" w:type="dxa"/>
        <w:bottom w:w="0" w:type="dxa"/>
        <w:right w:w="108" w:type="dxa"/>
      </w:tblCellMar>
    </w:tblPr>
  </w:style>
  <w:style w:type="paragraph" w:styleId="8">
    <w:name w:val="toc 7"/>
    <w:basedOn w:val="1"/>
    <w:next w:val="1"/>
    <w:semiHidden/>
    <w:qFormat/>
    <w:uiPriority w:val="0"/>
    <w:pPr>
      <w:ind w:left="1440"/>
      <w:jc w:val="left"/>
    </w:pPr>
    <w:rPr>
      <w:rFonts w:ascii="Calibri" w:hAnsi="Calibri"/>
      <w:sz w:val="18"/>
      <w:szCs w:val="18"/>
    </w:rPr>
  </w:style>
  <w:style w:type="paragraph" w:styleId="9">
    <w:name w:val="List Number 2"/>
    <w:basedOn w:val="1"/>
    <w:qFormat/>
    <w:uiPriority w:val="0"/>
    <w:pPr>
      <w:numPr>
        <w:ilvl w:val="0"/>
        <w:numId w:val="1"/>
      </w:numPr>
      <w:tabs>
        <w:tab w:val="left" w:pos="780"/>
      </w:tabs>
      <w:contextualSpacing/>
    </w:pPr>
  </w:style>
  <w:style w:type="paragraph" w:styleId="10">
    <w:name w:val="Normal Indent"/>
    <w:basedOn w:val="1"/>
    <w:next w:val="11"/>
    <w:link w:val="59"/>
    <w:qFormat/>
    <w:uiPriority w:val="0"/>
    <w:pPr>
      <w:widowControl/>
      <w:ind w:firstLine="420"/>
      <w:jc w:val="left"/>
    </w:pPr>
    <w:rPr>
      <w:rFonts w:ascii="Arial" w:hAnsi="Arial" w:eastAsia="仿宋_GB2312"/>
      <w:sz w:val="25"/>
    </w:rPr>
  </w:style>
  <w:style w:type="paragraph" w:customStyle="1" w:styleId="11">
    <w:name w:val="Char Char Char Char Char Char Char Char Char1 Char"/>
    <w:basedOn w:val="1"/>
    <w:next w:val="12"/>
    <w:qFormat/>
    <w:uiPriority w:val="0"/>
    <w:pPr>
      <w:spacing w:line="360" w:lineRule="auto"/>
      <w:ind w:firstLine="200" w:firstLineChars="200"/>
    </w:pPr>
    <w:rPr>
      <w:rFonts w:hAnsi="宋体" w:cs="宋体"/>
      <w:spacing w:val="0"/>
      <w:sz w:val="24"/>
      <w:szCs w:val="24"/>
    </w:rPr>
  </w:style>
  <w:style w:type="paragraph" w:customStyle="1" w:styleId="12">
    <w:name w:val="Body Text First Indent1"/>
    <w:basedOn w:val="13"/>
    <w:next w:val="1"/>
    <w:qFormat/>
    <w:uiPriority w:val="0"/>
    <w:pPr>
      <w:widowControl w:val="0"/>
      <w:spacing w:after="120"/>
      <w:ind w:firstLine="420"/>
      <w:jc w:val="both"/>
    </w:pPr>
    <w:rPr>
      <w:sz w:val="21"/>
      <w:szCs w:val="22"/>
      <w:lang w:val="en-US" w:eastAsia="zh-CN" w:bidi="ar-SA"/>
    </w:rPr>
  </w:style>
  <w:style w:type="paragraph" w:styleId="13">
    <w:name w:val="Body Text"/>
    <w:basedOn w:val="1"/>
    <w:next w:val="14"/>
    <w:link w:val="60"/>
    <w:qFormat/>
    <w:uiPriority w:val="0"/>
    <w:pPr>
      <w:spacing w:after="120"/>
    </w:pPr>
    <w:rPr>
      <w:rFonts w:hAnsi="Times New Roman" w:eastAsia="黑体"/>
      <w:sz w:val="25"/>
    </w:rPr>
  </w:style>
  <w:style w:type="paragraph" w:customStyle="1" w:styleId="14">
    <w:name w:val="默认段落"/>
    <w:basedOn w:val="1"/>
    <w:qFormat/>
    <w:uiPriority w:val="0"/>
  </w:style>
  <w:style w:type="paragraph" w:styleId="15">
    <w:name w:val="caption"/>
    <w:basedOn w:val="1"/>
    <w:next w:val="1"/>
    <w:link w:val="61"/>
    <w:qFormat/>
    <w:uiPriority w:val="0"/>
    <w:pPr>
      <w:spacing w:line="360" w:lineRule="auto"/>
      <w:ind w:firstLine="600" w:firstLineChars="200"/>
    </w:pPr>
    <w:rPr>
      <w:rFonts w:hAnsi="宋体" w:eastAsia="黑体"/>
      <w:spacing w:val="0"/>
      <w:szCs w:val="24"/>
    </w:rPr>
  </w:style>
  <w:style w:type="paragraph" w:styleId="16">
    <w:name w:val="Document Map"/>
    <w:basedOn w:val="1"/>
    <w:link w:val="62"/>
    <w:qFormat/>
    <w:uiPriority w:val="0"/>
    <w:pPr>
      <w:shd w:val="clear" w:color="auto" w:fill="000080"/>
    </w:pPr>
    <w:rPr>
      <w:sz w:val="25"/>
    </w:rPr>
  </w:style>
  <w:style w:type="paragraph" w:styleId="17">
    <w:name w:val="annotation text"/>
    <w:basedOn w:val="1"/>
    <w:link w:val="63"/>
    <w:qFormat/>
    <w:uiPriority w:val="0"/>
    <w:pPr>
      <w:jc w:val="left"/>
    </w:pPr>
    <w:rPr>
      <w:rFonts w:eastAsia="黑体"/>
      <w:snapToGrid w:val="0"/>
      <w:sz w:val="25"/>
    </w:rPr>
  </w:style>
  <w:style w:type="paragraph" w:styleId="18">
    <w:name w:val="Body Text Indent"/>
    <w:basedOn w:val="1"/>
    <w:qFormat/>
    <w:uiPriority w:val="0"/>
    <w:pPr>
      <w:spacing w:line="440" w:lineRule="exact"/>
      <w:ind w:firstLine="510"/>
    </w:pPr>
    <w:rPr>
      <w:rFonts w:ascii="宋体"/>
      <w:spacing w:val="12"/>
      <w:kern w:val="0"/>
      <w:sz w:val="24"/>
    </w:rPr>
  </w:style>
  <w:style w:type="paragraph" w:styleId="19">
    <w:name w:val="List 2"/>
    <w:basedOn w:val="1"/>
    <w:qFormat/>
    <w:uiPriority w:val="0"/>
    <w:pPr>
      <w:ind w:left="100" w:leftChars="200" w:hanging="200" w:hangingChars="200"/>
    </w:pPr>
    <w:rPr>
      <w:rFonts w:ascii="Times New Roman"/>
      <w:spacing w:val="0"/>
      <w:sz w:val="21"/>
      <w:szCs w:val="24"/>
    </w:rPr>
  </w:style>
  <w:style w:type="paragraph" w:styleId="20">
    <w:name w:val="Block Text"/>
    <w:basedOn w:val="1"/>
    <w:qFormat/>
    <w:uiPriority w:val="99"/>
    <w:pPr>
      <w:spacing w:line="460" w:lineRule="exact"/>
      <w:ind w:left="-540" w:leftChars="-257" w:right="-60" w:firstLine="510"/>
    </w:pPr>
    <w:rPr>
      <w:rFonts w:ascii="Times New Roman"/>
      <w:spacing w:val="0"/>
      <w:sz w:val="28"/>
      <w:szCs w:val="24"/>
    </w:rPr>
  </w:style>
  <w:style w:type="paragraph" w:styleId="21">
    <w:name w:val="toc 5"/>
    <w:basedOn w:val="1"/>
    <w:next w:val="1"/>
    <w:semiHidden/>
    <w:qFormat/>
    <w:uiPriority w:val="0"/>
    <w:pPr>
      <w:ind w:left="960"/>
      <w:jc w:val="left"/>
    </w:pPr>
    <w:rPr>
      <w:rFonts w:ascii="Calibri" w:hAnsi="Calibri"/>
      <w:sz w:val="18"/>
      <w:szCs w:val="18"/>
    </w:rPr>
  </w:style>
  <w:style w:type="paragraph" w:styleId="22">
    <w:name w:val="toc 3"/>
    <w:basedOn w:val="1"/>
    <w:next w:val="1"/>
    <w:semiHidden/>
    <w:qFormat/>
    <w:uiPriority w:val="0"/>
    <w:pPr>
      <w:ind w:left="480"/>
      <w:jc w:val="left"/>
    </w:pPr>
    <w:rPr>
      <w:rFonts w:ascii="Calibri" w:hAnsi="Calibri"/>
      <w:i/>
      <w:iCs/>
      <w:sz w:val="20"/>
      <w:szCs w:val="20"/>
    </w:rPr>
  </w:style>
  <w:style w:type="paragraph" w:styleId="23">
    <w:name w:val="Plain Text"/>
    <w:basedOn w:val="1"/>
    <w:next w:val="24"/>
    <w:link w:val="64"/>
    <w:qFormat/>
    <w:uiPriority w:val="0"/>
    <w:rPr>
      <w:rFonts w:hAnsi="Courier New"/>
      <w:sz w:val="25"/>
    </w:rPr>
  </w:style>
  <w:style w:type="paragraph" w:customStyle="1" w:styleId="24">
    <w:name w:val="Default"/>
    <w:basedOn w:val="25"/>
    <w:qFormat/>
    <w:uiPriority w:val="99"/>
    <w:pPr>
      <w:widowControl w:val="0"/>
      <w:autoSpaceDE w:val="0"/>
      <w:autoSpaceDN w:val="0"/>
      <w:adjustRightInd w:val="0"/>
    </w:pPr>
    <w:rPr>
      <w:color w:val="000000"/>
      <w:sz w:val="24"/>
      <w:szCs w:val="24"/>
      <w:lang w:val="en-US" w:eastAsia="zh-CN" w:bidi="ar-SA"/>
    </w:rPr>
  </w:style>
  <w:style w:type="paragraph" w:customStyle="1" w:styleId="25">
    <w:name w:val="A-表格文字"/>
    <w:basedOn w:val="1"/>
    <w:next w:val="1"/>
    <w:qFormat/>
    <w:uiPriority w:val="0"/>
    <w:pPr>
      <w:autoSpaceDE w:val="0"/>
      <w:autoSpaceDN w:val="0"/>
      <w:adjustRightInd w:val="0"/>
      <w:jc w:val="center"/>
      <w:textAlignment w:val="center"/>
    </w:pPr>
    <w:rPr>
      <w:rFonts w:ascii="Times New Roman" w:hAnsi="Times New Roman"/>
      <w:kern w:val="0"/>
      <w:szCs w:val="21"/>
    </w:rPr>
  </w:style>
  <w:style w:type="paragraph" w:styleId="26">
    <w:name w:val="toc 8"/>
    <w:basedOn w:val="1"/>
    <w:next w:val="1"/>
    <w:semiHidden/>
    <w:qFormat/>
    <w:uiPriority w:val="0"/>
    <w:pPr>
      <w:ind w:left="1680"/>
      <w:jc w:val="left"/>
    </w:pPr>
    <w:rPr>
      <w:rFonts w:ascii="Calibri" w:hAnsi="Calibri"/>
      <w:sz w:val="18"/>
      <w:szCs w:val="18"/>
    </w:rPr>
  </w:style>
  <w:style w:type="paragraph" w:styleId="27">
    <w:name w:val="Date"/>
    <w:basedOn w:val="1"/>
    <w:next w:val="1"/>
    <w:qFormat/>
    <w:uiPriority w:val="0"/>
    <w:pPr>
      <w:ind w:left="100" w:leftChars="2500"/>
    </w:pPr>
  </w:style>
  <w:style w:type="paragraph" w:styleId="28">
    <w:name w:val="Body Text Indent 2"/>
    <w:basedOn w:val="1"/>
    <w:link w:val="65"/>
    <w:qFormat/>
    <w:uiPriority w:val="0"/>
    <w:pPr>
      <w:widowControl/>
      <w:spacing w:after="120" w:line="480" w:lineRule="auto"/>
      <w:ind w:left="420" w:leftChars="200" w:firstLine="200" w:firstLineChars="200"/>
      <w:jc w:val="left"/>
    </w:pPr>
    <w:rPr>
      <w:rFonts w:eastAsia="黑体"/>
      <w:snapToGrid w:val="0"/>
    </w:rPr>
  </w:style>
  <w:style w:type="paragraph" w:styleId="29">
    <w:name w:val="Balloon Text"/>
    <w:basedOn w:val="1"/>
    <w:link w:val="66"/>
    <w:qFormat/>
    <w:uiPriority w:val="0"/>
    <w:rPr>
      <w:rFonts w:hAnsi="Times New Roman" w:eastAsia="黑体"/>
      <w:sz w:val="18"/>
      <w:szCs w:val="18"/>
    </w:rPr>
  </w:style>
  <w:style w:type="paragraph" w:styleId="30">
    <w:name w:val="footer"/>
    <w:basedOn w:val="1"/>
    <w:link w:val="67"/>
    <w:qFormat/>
    <w:uiPriority w:val="0"/>
    <w:pPr>
      <w:tabs>
        <w:tab w:val="center" w:pos="4153"/>
        <w:tab w:val="right" w:pos="8306"/>
      </w:tabs>
      <w:snapToGrid w:val="0"/>
      <w:jc w:val="left"/>
    </w:pPr>
    <w:rPr>
      <w:sz w:val="18"/>
      <w:szCs w:val="18"/>
    </w:rPr>
  </w:style>
  <w:style w:type="paragraph" w:styleId="31">
    <w:name w:val="header"/>
    <w:basedOn w:val="1"/>
    <w:next w:val="13"/>
    <w:link w:val="68"/>
    <w:qFormat/>
    <w:uiPriority w:val="0"/>
    <w:pPr>
      <w:pBdr>
        <w:bottom w:val="single" w:color="auto" w:sz="6" w:space="1"/>
      </w:pBdr>
      <w:tabs>
        <w:tab w:val="center" w:pos="4153"/>
        <w:tab w:val="right" w:pos="8306"/>
      </w:tabs>
      <w:snapToGrid w:val="0"/>
      <w:jc w:val="center"/>
    </w:pPr>
    <w:rPr>
      <w:sz w:val="18"/>
      <w:szCs w:val="18"/>
    </w:rPr>
  </w:style>
  <w:style w:type="paragraph" w:styleId="32">
    <w:name w:val="toc 1"/>
    <w:basedOn w:val="1"/>
    <w:next w:val="1"/>
    <w:qFormat/>
    <w:uiPriority w:val="39"/>
    <w:pPr>
      <w:spacing w:before="120" w:after="120"/>
      <w:jc w:val="left"/>
    </w:pPr>
    <w:rPr>
      <w:rFonts w:ascii="Calibri" w:hAnsi="Calibri"/>
      <w:b/>
      <w:bCs/>
      <w:caps/>
      <w:sz w:val="20"/>
      <w:szCs w:val="20"/>
    </w:rPr>
  </w:style>
  <w:style w:type="paragraph" w:styleId="33">
    <w:name w:val="toc 4"/>
    <w:basedOn w:val="1"/>
    <w:next w:val="1"/>
    <w:semiHidden/>
    <w:qFormat/>
    <w:uiPriority w:val="0"/>
    <w:pPr>
      <w:ind w:left="720"/>
      <w:jc w:val="left"/>
    </w:pPr>
    <w:rPr>
      <w:rFonts w:ascii="Calibri" w:hAnsi="Calibri"/>
      <w:sz w:val="18"/>
      <w:szCs w:val="18"/>
    </w:rPr>
  </w:style>
  <w:style w:type="paragraph" w:styleId="34">
    <w:name w:val="index heading"/>
    <w:basedOn w:val="1"/>
    <w:next w:val="35"/>
    <w:qFormat/>
    <w:uiPriority w:val="0"/>
    <w:rPr>
      <w:rFonts w:hint="eastAsia" w:ascii="Cambria" w:hAnsi="Cambria"/>
      <w:b/>
    </w:rPr>
  </w:style>
  <w:style w:type="paragraph" w:styleId="35">
    <w:name w:val="index 1"/>
    <w:basedOn w:val="1"/>
    <w:next w:val="1"/>
    <w:qFormat/>
    <w:uiPriority w:val="0"/>
    <w:pPr>
      <w:ind w:firstLine="0"/>
    </w:pPr>
  </w:style>
  <w:style w:type="paragraph" w:styleId="36">
    <w:name w:val="Subtitle"/>
    <w:basedOn w:val="1"/>
    <w:next w:val="1"/>
    <w:link w:val="69"/>
    <w:qFormat/>
    <w:uiPriority w:val="0"/>
    <w:pPr>
      <w:jc w:val="center"/>
    </w:pPr>
    <w:rPr>
      <w:rFonts w:ascii="黑体" w:hAnsi="黑体" w:eastAsia="黑体"/>
      <w:bCs/>
      <w:kern w:val="28"/>
      <w:sz w:val="21"/>
      <w:szCs w:val="32"/>
    </w:rPr>
  </w:style>
  <w:style w:type="paragraph" w:styleId="37">
    <w:name w:val="List"/>
    <w:basedOn w:val="1"/>
    <w:semiHidden/>
    <w:qFormat/>
    <w:uiPriority w:val="0"/>
    <w:pPr>
      <w:adjustRightInd w:val="0"/>
      <w:snapToGrid w:val="0"/>
      <w:jc w:val="center"/>
    </w:pPr>
    <w:rPr>
      <w:sz w:val="24"/>
      <w:szCs w:val="20"/>
    </w:rPr>
  </w:style>
  <w:style w:type="paragraph" w:styleId="38">
    <w:name w:val="toc 6"/>
    <w:basedOn w:val="1"/>
    <w:next w:val="1"/>
    <w:semiHidden/>
    <w:qFormat/>
    <w:uiPriority w:val="0"/>
    <w:pPr>
      <w:ind w:left="1200"/>
      <w:jc w:val="left"/>
    </w:pPr>
    <w:rPr>
      <w:rFonts w:ascii="Calibri" w:hAnsi="Calibri"/>
      <w:sz w:val="18"/>
      <w:szCs w:val="18"/>
    </w:rPr>
  </w:style>
  <w:style w:type="paragraph" w:styleId="39">
    <w:name w:val="Body Text Indent 3"/>
    <w:basedOn w:val="1"/>
    <w:qFormat/>
    <w:uiPriority w:val="0"/>
    <w:pPr>
      <w:spacing w:afterLines="0"/>
      <w:ind w:left="420" w:leftChars="200"/>
    </w:pPr>
    <w:rPr>
      <w:sz w:val="16"/>
      <w:szCs w:val="16"/>
    </w:rPr>
  </w:style>
  <w:style w:type="paragraph" w:styleId="40">
    <w:name w:val="table of figures"/>
    <w:basedOn w:val="1"/>
    <w:next w:val="1"/>
    <w:qFormat/>
    <w:uiPriority w:val="0"/>
    <w:pPr>
      <w:widowControl/>
      <w:jc w:val="center"/>
    </w:pPr>
    <w:rPr>
      <w:rFonts w:ascii="Calibri"/>
      <w:spacing w:val="-8"/>
      <w:kern w:val="0"/>
      <w:sz w:val="24"/>
    </w:rPr>
  </w:style>
  <w:style w:type="paragraph" w:styleId="41">
    <w:name w:val="toc 2"/>
    <w:basedOn w:val="1"/>
    <w:next w:val="1"/>
    <w:qFormat/>
    <w:uiPriority w:val="39"/>
    <w:pPr>
      <w:ind w:left="240"/>
      <w:jc w:val="left"/>
    </w:pPr>
    <w:rPr>
      <w:rFonts w:ascii="Calibri" w:hAnsi="Calibri"/>
      <w:smallCaps/>
      <w:sz w:val="20"/>
      <w:szCs w:val="20"/>
    </w:rPr>
  </w:style>
  <w:style w:type="paragraph" w:styleId="42">
    <w:name w:val="toc 9"/>
    <w:basedOn w:val="1"/>
    <w:next w:val="1"/>
    <w:semiHidden/>
    <w:qFormat/>
    <w:uiPriority w:val="0"/>
    <w:pPr>
      <w:ind w:left="1920"/>
      <w:jc w:val="left"/>
    </w:pPr>
    <w:rPr>
      <w:rFonts w:ascii="Calibri" w:hAnsi="Calibri"/>
      <w:sz w:val="18"/>
      <w:szCs w:val="18"/>
    </w:rPr>
  </w:style>
  <w:style w:type="paragraph" w:styleId="43">
    <w:name w:val="Body Text 2"/>
    <w:basedOn w:val="1"/>
    <w:qFormat/>
    <w:uiPriority w:val="0"/>
    <w:pPr>
      <w:jc w:val="center"/>
    </w:pPr>
  </w:style>
  <w:style w:type="paragraph" w:styleId="4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黑体" w:hAnsi="Courier New" w:eastAsia="黑体" w:cs="Courier New"/>
      <w:kern w:val="0"/>
      <w:sz w:val="20"/>
      <w:szCs w:val="20"/>
    </w:rPr>
  </w:style>
  <w:style w:type="paragraph" w:styleId="45">
    <w:name w:val="Normal (Web)"/>
    <w:basedOn w:val="1"/>
    <w:qFormat/>
    <w:uiPriority w:val="0"/>
    <w:pPr>
      <w:widowControl/>
      <w:spacing w:beforeLines="0" w:beforeAutospacing="1" w:afterLines="0" w:afterAutospacing="1"/>
      <w:jc w:val="left"/>
    </w:pPr>
    <w:rPr>
      <w:rFonts w:hAnsi="宋体" w:cs="宋体"/>
      <w:spacing w:val="0"/>
      <w:kern w:val="0"/>
      <w:sz w:val="24"/>
      <w:szCs w:val="24"/>
    </w:rPr>
  </w:style>
  <w:style w:type="paragraph" w:styleId="46">
    <w:name w:val="annotation subject"/>
    <w:basedOn w:val="17"/>
    <w:next w:val="17"/>
    <w:link w:val="70"/>
    <w:qFormat/>
    <w:uiPriority w:val="0"/>
    <w:rPr>
      <w:rFonts w:hAnsi="Times New Roman"/>
      <w:b/>
      <w:bCs/>
      <w:snapToGrid/>
    </w:rPr>
  </w:style>
  <w:style w:type="paragraph" w:styleId="47">
    <w:name w:val="Body Text First Indent 2"/>
    <w:basedOn w:val="18"/>
    <w:next w:val="1"/>
    <w:qFormat/>
    <w:uiPriority w:val="0"/>
    <w:pPr>
      <w:spacing w:after="120"/>
      <w:ind w:left="420" w:leftChars="200" w:firstLine="420"/>
    </w:pPr>
  </w:style>
  <w:style w:type="table" w:styleId="49">
    <w:name w:val="Table Grid"/>
    <w:basedOn w:val="4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1">
    <w:name w:val="Strong"/>
    <w:qFormat/>
    <w:uiPriority w:val="0"/>
    <w:rPr>
      <w:b/>
    </w:rPr>
  </w:style>
  <w:style w:type="character" w:styleId="52">
    <w:name w:val="page number"/>
    <w:qFormat/>
    <w:uiPriority w:val="0"/>
  </w:style>
  <w:style w:type="character" w:styleId="53">
    <w:name w:val="FollowedHyperlink"/>
    <w:qFormat/>
    <w:uiPriority w:val="0"/>
    <w:rPr>
      <w:color w:val="800080"/>
      <w:u w:val="single"/>
    </w:rPr>
  </w:style>
  <w:style w:type="character" w:styleId="54">
    <w:name w:val="Emphasis"/>
    <w:qFormat/>
    <w:uiPriority w:val="0"/>
    <w:rPr>
      <w:i/>
    </w:rPr>
  </w:style>
  <w:style w:type="character" w:styleId="55">
    <w:name w:val="Hyperlink"/>
    <w:qFormat/>
    <w:uiPriority w:val="99"/>
    <w:rPr>
      <w:rFonts w:ascii="Times New Roman" w:eastAsia="黑体"/>
      <w:snapToGrid w:val="0"/>
      <w:color w:val="0000FF"/>
      <w:spacing w:val="0"/>
      <w:sz w:val="24"/>
      <w:szCs w:val="24"/>
      <w:u w:val="single"/>
    </w:rPr>
  </w:style>
  <w:style w:type="character" w:styleId="56">
    <w:name w:val="annotation reference"/>
    <w:qFormat/>
    <w:uiPriority w:val="0"/>
    <w:rPr>
      <w:rFonts w:ascii="Times New Roman" w:eastAsia="黑体"/>
      <w:snapToGrid w:val="0"/>
      <w:spacing w:val="0"/>
      <w:sz w:val="21"/>
      <w:szCs w:val="21"/>
    </w:rPr>
  </w:style>
  <w:style w:type="character" w:customStyle="1" w:styleId="57">
    <w:name w:val="标题 1 Char"/>
    <w:link w:val="2"/>
    <w:qFormat/>
    <w:uiPriority w:val="0"/>
    <w:rPr>
      <w:rFonts w:ascii="Arial" w:hAnsi="Arial" w:eastAsia="黑体"/>
      <w:spacing w:val="12"/>
      <w:w w:val="90"/>
      <w:kern w:val="44"/>
      <w:sz w:val="30"/>
      <w:szCs w:val="25"/>
    </w:rPr>
  </w:style>
  <w:style w:type="character" w:customStyle="1" w:styleId="58">
    <w:name w:val="标题 4 Char"/>
    <w:link w:val="5"/>
    <w:qFormat/>
    <w:uiPriority w:val="0"/>
    <w:rPr>
      <w:rFonts w:ascii="Cambria" w:hAnsi="Cambria" w:eastAsia="黑体"/>
      <w:b/>
      <w:bCs/>
      <w:spacing w:val="5"/>
      <w:kern w:val="2"/>
      <w:sz w:val="25"/>
      <w:szCs w:val="28"/>
    </w:rPr>
  </w:style>
  <w:style w:type="character" w:customStyle="1" w:styleId="59">
    <w:name w:val="正文缩进 Char"/>
    <w:link w:val="10"/>
    <w:qFormat/>
    <w:uiPriority w:val="0"/>
    <w:rPr>
      <w:rFonts w:ascii="Arial" w:hAnsi="Arial" w:eastAsia="仿宋_GB2312"/>
      <w:spacing w:val="5"/>
      <w:kern w:val="2"/>
      <w:sz w:val="25"/>
      <w:szCs w:val="25"/>
    </w:rPr>
  </w:style>
  <w:style w:type="character" w:customStyle="1" w:styleId="60">
    <w:name w:val="正文文本 Char"/>
    <w:link w:val="13"/>
    <w:qFormat/>
    <w:uiPriority w:val="0"/>
    <w:rPr>
      <w:rFonts w:ascii="宋体" w:eastAsia="黑体"/>
      <w:snapToGrid/>
      <w:spacing w:val="5"/>
      <w:kern w:val="2"/>
      <w:sz w:val="25"/>
      <w:szCs w:val="25"/>
    </w:rPr>
  </w:style>
  <w:style w:type="character" w:customStyle="1" w:styleId="61">
    <w:name w:val="题注 Char"/>
    <w:link w:val="15"/>
    <w:qFormat/>
    <w:uiPriority w:val="0"/>
    <w:rPr>
      <w:rFonts w:ascii="宋体" w:hAnsi="宋体" w:eastAsia="黑体"/>
      <w:kern w:val="2"/>
      <w:sz w:val="24"/>
      <w:szCs w:val="24"/>
    </w:rPr>
  </w:style>
  <w:style w:type="character" w:customStyle="1" w:styleId="62">
    <w:name w:val="文档结构图 Char"/>
    <w:link w:val="16"/>
    <w:qFormat/>
    <w:uiPriority w:val="0"/>
    <w:rPr>
      <w:rFonts w:ascii="宋体" w:hAnsi="Calibri"/>
      <w:spacing w:val="5"/>
      <w:kern w:val="2"/>
      <w:sz w:val="25"/>
      <w:szCs w:val="25"/>
      <w:shd w:val="clear" w:color="auto" w:fill="000080"/>
    </w:rPr>
  </w:style>
  <w:style w:type="character" w:customStyle="1" w:styleId="63">
    <w:name w:val="批注文字 Char1"/>
    <w:link w:val="17"/>
    <w:qFormat/>
    <w:uiPriority w:val="0"/>
    <w:rPr>
      <w:rFonts w:ascii="宋体" w:hAnsi="Calibri" w:eastAsia="黑体"/>
      <w:snapToGrid w:val="0"/>
      <w:spacing w:val="5"/>
      <w:kern w:val="2"/>
      <w:sz w:val="25"/>
      <w:szCs w:val="25"/>
    </w:rPr>
  </w:style>
  <w:style w:type="character" w:customStyle="1" w:styleId="64">
    <w:name w:val="纯文本 Char"/>
    <w:link w:val="23"/>
    <w:qFormat/>
    <w:uiPriority w:val="0"/>
    <w:rPr>
      <w:rFonts w:ascii="宋体" w:hAnsi="Courier New"/>
      <w:spacing w:val="5"/>
      <w:kern w:val="2"/>
      <w:sz w:val="25"/>
      <w:szCs w:val="25"/>
    </w:rPr>
  </w:style>
  <w:style w:type="character" w:customStyle="1" w:styleId="65">
    <w:name w:val="正文文本缩进 2 Char"/>
    <w:link w:val="28"/>
    <w:qFormat/>
    <w:uiPriority w:val="0"/>
    <w:rPr>
      <w:rFonts w:ascii="宋体" w:hAnsi="Calibri" w:eastAsia="黑体"/>
      <w:snapToGrid w:val="0"/>
      <w:spacing w:val="5"/>
      <w:kern w:val="2"/>
      <w:sz w:val="24"/>
      <w:szCs w:val="25"/>
    </w:rPr>
  </w:style>
  <w:style w:type="character" w:customStyle="1" w:styleId="66">
    <w:name w:val="批注框文本 Char"/>
    <w:link w:val="29"/>
    <w:qFormat/>
    <w:uiPriority w:val="0"/>
    <w:rPr>
      <w:rFonts w:ascii="宋体" w:eastAsia="黑体"/>
      <w:snapToGrid/>
      <w:spacing w:val="5"/>
      <w:kern w:val="2"/>
      <w:sz w:val="18"/>
      <w:szCs w:val="18"/>
    </w:rPr>
  </w:style>
  <w:style w:type="character" w:customStyle="1" w:styleId="67">
    <w:name w:val="页脚 Char"/>
    <w:link w:val="30"/>
    <w:qFormat/>
    <w:uiPriority w:val="0"/>
    <w:rPr>
      <w:rFonts w:ascii="宋体" w:hAnsi="Calibri" w:eastAsia="宋体"/>
      <w:spacing w:val="5"/>
      <w:kern w:val="2"/>
      <w:sz w:val="18"/>
      <w:szCs w:val="18"/>
      <w:lang w:val="en-US" w:eastAsia="zh-CN" w:bidi="ar-SA"/>
    </w:rPr>
  </w:style>
  <w:style w:type="character" w:customStyle="1" w:styleId="68">
    <w:name w:val="页眉 Char"/>
    <w:link w:val="31"/>
    <w:qFormat/>
    <w:locked/>
    <w:uiPriority w:val="0"/>
    <w:rPr>
      <w:rFonts w:ascii="宋体" w:hAnsi="Calibri" w:eastAsia="宋体"/>
      <w:spacing w:val="5"/>
      <w:kern w:val="2"/>
      <w:sz w:val="18"/>
      <w:szCs w:val="18"/>
      <w:lang w:val="en-US" w:eastAsia="zh-CN" w:bidi="ar-SA"/>
    </w:rPr>
  </w:style>
  <w:style w:type="character" w:customStyle="1" w:styleId="69">
    <w:name w:val="副标题 Char"/>
    <w:link w:val="36"/>
    <w:qFormat/>
    <w:uiPriority w:val="0"/>
    <w:rPr>
      <w:rFonts w:ascii="黑体" w:hAnsi="黑体" w:eastAsia="黑体"/>
      <w:bCs/>
      <w:spacing w:val="5"/>
      <w:kern w:val="28"/>
      <w:sz w:val="21"/>
      <w:szCs w:val="32"/>
    </w:rPr>
  </w:style>
  <w:style w:type="character" w:customStyle="1" w:styleId="70">
    <w:name w:val="批注主题 Char"/>
    <w:link w:val="46"/>
    <w:qFormat/>
    <w:uiPriority w:val="0"/>
    <w:rPr>
      <w:rFonts w:ascii="宋体" w:eastAsia="黑体"/>
      <w:b/>
      <w:bCs/>
      <w:snapToGrid/>
      <w:spacing w:val="5"/>
      <w:kern w:val="2"/>
      <w:sz w:val="25"/>
      <w:szCs w:val="25"/>
    </w:rPr>
  </w:style>
  <w:style w:type="paragraph" w:customStyle="1" w:styleId="71">
    <w:name w:val="样式 表内容 + 行距: 固定值 28 磅"/>
    <w:basedOn w:val="72"/>
    <w:qFormat/>
    <w:uiPriority w:val="0"/>
    <w:pPr>
      <w:spacing w:line="240" w:lineRule="auto"/>
    </w:pPr>
    <w:rPr>
      <w:rFonts w:cs="宋体"/>
      <w:szCs w:val="20"/>
    </w:rPr>
  </w:style>
  <w:style w:type="paragraph" w:customStyle="1" w:styleId="72">
    <w:name w:val="表内容"/>
    <w:basedOn w:val="73"/>
    <w:next w:val="1"/>
    <w:qFormat/>
    <w:uiPriority w:val="0"/>
    <w:pPr>
      <w:jc w:val="center"/>
    </w:pPr>
    <w:rPr>
      <w:rFonts w:ascii="宋体" w:hAnsi="宋体" w:eastAsia="宋体"/>
      <w:kern w:val="2"/>
      <w:sz w:val="21"/>
      <w:lang w:val="en-US" w:eastAsia="zh-CN" w:bidi="ar-SA"/>
    </w:rPr>
  </w:style>
  <w:style w:type="paragraph" w:customStyle="1" w:styleId="73">
    <w:name w:val="我的表格"/>
    <w:basedOn w:val="1"/>
    <w:qFormat/>
    <w:uiPriority w:val="99"/>
    <w:pPr>
      <w:adjustRightInd w:val="0"/>
      <w:spacing w:line="280" w:lineRule="exact"/>
      <w:jc w:val="center"/>
      <w:textAlignment w:val="baseline"/>
    </w:pPr>
    <w:rPr>
      <w:rFonts w:ascii="Times New Roman"/>
      <w:sz w:val="21"/>
    </w:rPr>
  </w:style>
  <w:style w:type="paragraph" w:customStyle="1" w:styleId="74">
    <w:name w:val="正文首行缩进1"/>
    <w:basedOn w:val="13"/>
    <w:next w:val="1"/>
    <w:qFormat/>
    <w:uiPriority w:val="0"/>
    <w:pPr>
      <w:widowControl w:val="0"/>
      <w:spacing w:after="120"/>
      <w:ind w:firstLine="420"/>
      <w:jc w:val="both"/>
    </w:pPr>
    <w:rPr>
      <w:sz w:val="21"/>
      <w:szCs w:val="22"/>
      <w:lang w:val="en-US" w:eastAsia="zh-CN" w:bidi="ar-SA"/>
    </w:rPr>
  </w:style>
  <w:style w:type="character" w:customStyle="1" w:styleId="75">
    <w:name w:val="font31"/>
    <w:qFormat/>
    <w:uiPriority w:val="0"/>
    <w:rPr>
      <w:rFonts w:hint="default" w:ascii="Times New Roman" w:hAnsi="Times New Roman" w:cs="Times New Roman"/>
      <w:color w:val="000000"/>
      <w:sz w:val="28"/>
      <w:szCs w:val="28"/>
      <w:u w:val="none"/>
      <w:vertAlign w:val="subscript"/>
    </w:rPr>
  </w:style>
  <w:style w:type="character" w:customStyle="1" w:styleId="76">
    <w:name w:val="fontstyle11"/>
    <w:qFormat/>
    <w:uiPriority w:val="0"/>
    <w:rPr>
      <w:rFonts w:hint="default" w:ascii="TimesNewRomanPSMT" w:hAnsi="TimesNewRomanPSMT"/>
      <w:color w:val="000000"/>
      <w:sz w:val="24"/>
      <w:szCs w:val="24"/>
    </w:rPr>
  </w:style>
  <w:style w:type="character" w:customStyle="1" w:styleId="77">
    <w:name w:val="fontstyle31"/>
    <w:qFormat/>
    <w:uiPriority w:val="0"/>
    <w:rPr>
      <w:rFonts w:hint="default" w:ascii="Times New Roman" w:hAnsi="Times New Roman" w:cs="Times New Roman"/>
      <w:color w:val="000000"/>
      <w:sz w:val="22"/>
      <w:szCs w:val="22"/>
    </w:rPr>
  </w:style>
  <w:style w:type="character" w:customStyle="1" w:styleId="78">
    <w:name w:val="表的内容3333 Char"/>
    <w:link w:val="79"/>
    <w:qFormat/>
    <w:uiPriority w:val="0"/>
    <w:rPr>
      <w:color w:val="000000"/>
      <w:kern w:val="24"/>
      <w:sz w:val="18"/>
      <w:szCs w:val="18"/>
    </w:rPr>
  </w:style>
  <w:style w:type="paragraph" w:customStyle="1" w:styleId="79">
    <w:name w:val="表的内容3333"/>
    <w:basedOn w:val="1"/>
    <w:link w:val="78"/>
    <w:qFormat/>
    <w:uiPriority w:val="0"/>
    <w:pPr>
      <w:widowControl/>
      <w:jc w:val="center"/>
      <w:textAlignment w:val="center"/>
    </w:pPr>
    <w:rPr>
      <w:rFonts w:ascii="Times New Roman" w:hAnsi="Times New Roman"/>
      <w:color w:val="000000"/>
      <w:spacing w:val="0"/>
      <w:kern w:val="24"/>
      <w:sz w:val="18"/>
      <w:szCs w:val="18"/>
    </w:rPr>
  </w:style>
  <w:style w:type="character" w:customStyle="1" w:styleId="80">
    <w:name w:val="批注框文本 Char1"/>
    <w:qFormat/>
    <w:uiPriority w:val="0"/>
    <w:rPr>
      <w:rFonts w:ascii="宋体" w:hAnsi="Calibri" w:eastAsia="黑体"/>
      <w:snapToGrid w:val="0"/>
      <w:spacing w:val="5"/>
      <w:kern w:val="2"/>
      <w:sz w:val="18"/>
      <w:szCs w:val="18"/>
    </w:rPr>
  </w:style>
  <w:style w:type="character" w:customStyle="1" w:styleId="81">
    <w:name w:val="批注文字 字符"/>
    <w:qFormat/>
    <w:uiPriority w:val="0"/>
    <w:rPr>
      <w:rFonts w:ascii="Times New Roman" w:hAnsi="Times New Roman" w:eastAsia="宋体" w:cs="Times New Roman"/>
      <w:snapToGrid w:val="0"/>
      <w:spacing w:val="0"/>
      <w:kern w:val="0"/>
      <w:sz w:val="20"/>
      <w:szCs w:val="20"/>
    </w:rPr>
  </w:style>
  <w:style w:type="character" w:customStyle="1" w:styleId="82">
    <w:name w:val="批注主题 Char1"/>
    <w:qFormat/>
    <w:uiPriority w:val="0"/>
    <w:rPr>
      <w:rFonts w:ascii="宋体" w:hAnsi="Calibri" w:eastAsia="黑体"/>
      <w:b/>
      <w:bCs/>
      <w:snapToGrid w:val="0"/>
      <w:spacing w:val="5"/>
      <w:kern w:val="2"/>
      <w:sz w:val="25"/>
      <w:szCs w:val="25"/>
    </w:rPr>
  </w:style>
  <w:style w:type="character" w:customStyle="1" w:styleId="83">
    <w:name w:val="fontstyle01"/>
    <w:qFormat/>
    <w:uiPriority w:val="0"/>
    <w:rPr>
      <w:rFonts w:hint="eastAsia" w:ascii="宋体" w:hAnsi="宋体" w:eastAsia="宋体"/>
      <w:color w:val="000000"/>
      <w:sz w:val="24"/>
      <w:szCs w:val="24"/>
    </w:rPr>
  </w:style>
  <w:style w:type="character" w:customStyle="1" w:styleId="84">
    <w:name w:val="font51"/>
    <w:qFormat/>
    <w:uiPriority w:val="0"/>
    <w:rPr>
      <w:rFonts w:hint="default" w:ascii="Times New Roman" w:hAnsi="Times New Roman" w:cs="Times New Roman"/>
      <w:color w:val="000000"/>
      <w:sz w:val="28"/>
      <w:szCs w:val="28"/>
      <w:u w:val="none"/>
    </w:rPr>
  </w:style>
  <w:style w:type="character" w:customStyle="1" w:styleId="85">
    <w:name w:val="正文文本 Char1"/>
    <w:qFormat/>
    <w:uiPriority w:val="0"/>
    <w:rPr>
      <w:rFonts w:ascii="宋体" w:hAnsi="Calibri" w:eastAsia="黑体"/>
      <w:snapToGrid w:val="0"/>
      <w:spacing w:val="5"/>
      <w:kern w:val="2"/>
      <w:sz w:val="25"/>
      <w:szCs w:val="25"/>
    </w:rPr>
  </w:style>
  <w:style w:type="character" w:customStyle="1" w:styleId="86">
    <w:name w:val="批注文字 Char"/>
    <w:qFormat/>
    <w:uiPriority w:val="0"/>
    <w:rPr>
      <w:rFonts w:ascii="宋体" w:eastAsia="黑体"/>
      <w:snapToGrid w:val="0"/>
      <w:spacing w:val="5"/>
      <w:kern w:val="2"/>
      <w:sz w:val="25"/>
      <w:szCs w:val="25"/>
    </w:rPr>
  </w:style>
  <w:style w:type="character" w:customStyle="1" w:styleId="87">
    <w:name w:val="03_正文 Char"/>
    <w:link w:val="88"/>
    <w:qFormat/>
    <w:uiPriority w:val="0"/>
    <w:rPr>
      <w:rFonts w:ascii="宋体" w:hAnsi="Calibri" w:eastAsia="黑体"/>
      <w:color w:val="000000"/>
      <w:spacing w:val="5"/>
      <w:kern w:val="2"/>
      <w:sz w:val="25"/>
      <w:szCs w:val="25"/>
    </w:rPr>
  </w:style>
  <w:style w:type="paragraph" w:customStyle="1" w:styleId="88">
    <w:name w:val="03_正文"/>
    <w:basedOn w:val="1"/>
    <w:link w:val="87"/>
    <w:qFormat/>
    <w:uiPriority w:val="0"/>
    <w:pPr>
      <w:adjustRightInd w:val="0"/>
      <w:snapToGrid w:val="0"/>
      <w:spacing w:line="360" w:lineRule="auto"/>
    </w:pPr>
    <w:rPr>
      <w:rFonts w:eastAsia="黑体"/>
      <w:color w:val="000000"/>
      <w:sz w:val="25"/>
    </w:rPr>
  </w:style>
  <w:style w:type="character" w:customStyle="1" w:styleId="89">
    <w:name w:val="font41"/>
    <w:qFormat/>
    <w:uiPriority w:val="0"/>
    <w:rPr>
      <w:rFonts w:hint="default" w:ascii="Times New Roman" w:hAnsi="Times New Roman" w:cs="Times New Roman"/>
      <w:color w:val="000000"/>
      <w:sz w:val="28"/>
      <w:szCs w:val="28"/>
      <w:u w:val="none"/>
      <w:vertAlign w:val="superscript"/>
    </w:rPr>
  </w:style>
  <w:style w:type="character" w:customStyle="1" w:styleId="90">
    <w:name w:val="fontstyle21"/>
    <w:qFormat/>
    <w:uiPriority w:val="0"/>
    <w:rPr>
      <w:rFonts w:hint="default" w:ascii="TimesNewRomanPSMT" w:hAnsi="TimesNewRomanPSMT"/>
      <w:color w:val="000000"/>
      <w:sz w:val="24"/>
      <w:szCs w:val="24"/>
    </w:rPr>
  </w:style>
  <w:style w:type="character" w:customStyle="1" w:styleId="91">
    <w:name w:val="font61"/>
    <w:qFormat/>
    <w:uiPriority w:val="0"/>
    <w:rPr>
      <w:rFonts w:hint="eastAsia" w:ascii="宋体" w:hAnsi="宋体" w:eastAsia="宋体" w:cs="宋体"/>
      <w:color w:val="000000"/>
      <w:sz w:val="28"/>
      <w:szCs w:val="28"/>
      <w:u w:val="none"/>
    </w:rPr>
  </w:style>
  <w:style w:type="paragraph" w:customStyle="1" w:styleId="92">
    <w:name w:val="00正文"/>
    <w:qFormat/>
    <w:uiPriority w:val="0"/>
    <w:pPr>
      <w:spacing w:line="360" w:lineRule="auto"/>
      <w:ind w:firstLine="480" w:firstLineChars="200"/>
      <w:jc w:val="both"/>
    </w:pPr>
    <w:rPr>
      <w:rFonts w:ascii="Arial" w:hAnsi="宋体" w:eastAsia="Arial" w:cs="Arial"/>
      <w:bCs/>
      <w:sz w:val="24"/>
      <w:szCs w:val="24"/>
      <w:lang w:val="en-US" w:eastAsia="zh-CN" w:bidi="ar-SA"/>
    </w:rPr>
  </w:style>
  <w:style w:type="paragraph" w:customStyle="1" w:styleId="93">
    <w:name w:val="wt正文"/>
    <w:basedOn w:val="1"/>
    <w:qFormat/>
    <w:uiPriority w:val="0"/>
    <w:pPr>
      <w:adjustRightInd w:val="0"/>
      <w:snapToGrid w:val="0"/>
      <w:spacing w:line="300" w:lineRule="auto"/>
      <w:ind w:firstLine="480" w:firstLineChars="200"/>
    </w:pPr>
    <w:rPr>
      <w:rFonts w:ascii="宋体" w:hAnsi="宋体" w:eastAsia="宋体" w:cs="宋体"/>
      <w:snapToGrid w:val="0"/>
      <w:kern w:val="0"/>
      <w:sz w:val="24"/>
      <w:szCs w:val="22"/>
    </w:rPr>
  </w:style>
  <w:style w:type="paragraph" w:customStyle="1" w:styleId="94">
    <w:name w:val="表格"/>
    <w:basedOn w:val="37"/>
    <w:next w:val="1"/>
    <w:qFormat/>
    <w:uiPriority w:val="0"/>
    <w:pPr>
      <w:kinsoku w:val="0"/>
      <w:wordWrap w:val="0"/>
      <w:overflowPunct w:val="0"/>
      <w:autoSpaceDE w:val="0"/>
      <w:autoSpaceDN w:val="0"/>
      <w:adjustRightInd w:val="0"/>
      <w:spacing w:after="40" w:line="400" w:lineRule="atLeast"/>
      <w:jc w:val="center"/>
      <w:textAlignment w:val="baseline"/>
    </w:pPr>
    <w:rPr>
      <w:kern w:val="21"/>
    </w:rPr>
  </w:style>
  <w:style w:type="paragraph" w:customStyle="1" w:styleId="95">
    <w:name w:val="Char Char Char Char Char Char Char Char Char Char Char Char Char Char Char Char"/>
    <w:basedOn w:val="4"/>
    <w:qFormat/>
    <w:uiPriority w:val="0"/>
    <w:pPr>
      <w:snapToGrid w:val="0"/>
      <w:spacing w:before="0" w:after="0" w:line="360" w:lineRule="auto"/>
      <w:ind w:left="542" w:leftChars="-12" w:firstLine="200" w:firstLineChars="200"/>
      <w:jc w:val="left"/>
    </w:pPr>
    <w:rPr>
      <w:rFonts w:ascii="Times New Roman" w:hAnsi="Times New Roman" w:eastAsia="黑体"/>
      <w:b w:val="0"/>
      <w:sz w:val="24"/>
      <w:szCs w:val="24"/>
    </w:rPr>
  </w:style>
  <w:style w:type="paragraph" w:customStyle="1" w:styleId="96">
    <w:name w:val="报告书正文"/>
    <w:basedOn w:val="1"/>
    <w:qFormat/>
    <w:uiPriority w:val="0"/>
    <w:pPr>
      <w:spacing w:line="360" w:lineRule="auto"/>
      <w:ind w:firstLine="480" w:firstLineChars="200"/>
    </w:pPr>
    <w:rPr>
      <w:rFonts w:ascii="Times New Roman"/>
      <w:spacing w:val="0"/>
      <w:sz w:val="24"/>
      <w:szCs w:val="24"/>
    </w:rPr>
  </w:style>
  <w:style w:type="paragraph" w:customStyle="1" w:styleId="97">
    <w:name w:val="缩进"/>
    <w:basedOn w:val="1"/>
    <w:qFormat/>
    <w:uiPriority w:val="0"/>
    <w:pPr>
      <w:spacing w:line="360" w:lineRule="auto"/>
      <w:ind w:firstLine="200" w:firstLineChars="200"/>
    </w:pPr>
    <w:rPr>
      <w:sz w:val="24"/>
    </w:rPr>
  </w:style>
  <w:style w:type="paragraph" w:customStyle="1" w:styleId="98">
    <w:name w:val="报告正文"/>
    <w:basedOn w:val="99"/>
    <w:qFormat/>
    <w:uiPriority w:val="0"/>
    <w:pPr>
      <w:spacing w:line="360" w:lineRule="auto"/>
      <w:ind w:firstLine="482"/>
    </w:pPr>
    <w:rPr>
      <w:sz w:val="24"/>
      <w:szCs w:val="21"/>
    </w:rPr>
  </w:style>
  <w:style w:type="paragraph" w:customStyle="1" w:styleId="99">
    <w:name w:val="正文---"/>
    <w:basedOn w:val="1"/>
    <w:qFormat/>
    <w:uiPriority w:val="0"/>
    <w:pPr>
      <w:adjustRightInd w:val="0"/>
      <w:snapToGrid w:val="0"/>
      <w:spacing w:line="500" w:lineRule="exact"/>
      <w:ind w:firstLine="200" w:firstLineChars="200"/>
    </w:pPr>
    <w:rPr>
      <w:color w:val="000000"/>
      <w:sz w:val="25"/>
    </w:rPr>
  </w:style>
  <w:style w:type="paragraph" w:customStyle="1" w:styleId="100">
    <w:name w:val="图表名称1"/>
    <w:qFormat/>
    <w:uiPriority w:val="0"/>
    <w:pPr>
      <w:adjustRightInd w:val="0"/>
      <w:snapToGrid w:val="0"/>
      <w:spacing w:line="520" w:lineRule="exact"/>
      <w:jc w:val="center"/>
    </w:pPr>
    <w:rPr>
      <w:rFonts w:ascii="宋体" w:hAnsi="宋体" w:eastAsia="宋体" w:cs="宋体"/>
      <w:b/>
      <w:bCs/>
      <w:kern w:val="21"/>
      <w:sz w:val="24"/>
      <w:lang w:val="en-US" w:eastAsia="zh-CN" w:bidi="ar-SA"/>
    </w:rPr>
  </w:style>
  <w:style w:type="paragraph" w:customStyle="1" w:styleId="101">
    <w:name w:val="表、图名"/>
    <w:basedOn w:val="1"/>
    <w:qFormat/>
    <w:uiPriority w:val="0"/>
    <w:pPr>
      <w:widowControl/>
      <w:adjustRightInd w:val="0"/>
      <w:snapToGrid w:val="0"/>
      <w:spacing w:line="520" w:lineRule="exact"/>
      <w:ind w:left="-6" w:firstLine="560"/>
      <w:jc w:val="left"/>
    </w:pPr>
    <w:rPr>
      <w:rFonts w:ascii="黑体" w:hAnsi="Arial" w:eastAsia="黑体"/>
      <w:sz w:val="21"/>
    </w:rPr>
  </w:style>
  <w:style w:type="paragraph" w:customStyle="1" w:styleId="102">
    <w:name w:val="表内容       .."/>
    <w:basedOn w:val="1"/>
    <w:qFormat/>
    <w:uiPriority w:val="0"/>
    <w:pPr>
      <w:adjustRightInd w:val="0"/>
      <w:snapToGrid w:val="0"/>
      <w:spacing w:line="240" w:lineRule="exact"/>
      <w:jc w:val="center"/>
    </w:pPr>
    <w:rPr>
      <w:sz w:val="18"/>
      <w:szCs w:val="18"/>
    </w:rPr>
  </w:style>
  <w:style w:type="paragraph" w:customStyle="1" w:styleId="103">
    <w:name w:val="样式5"/>
    <w:basedOn w:val="1"/>
    <w:qFormat/>
    <w:uiPriority w:val="0"/>
    <w:pPr>
      <w:adjustRightInd w:val="0"/>
      <w:snapToGrid w:val="0"/>
      <w:spacing w:line="360" w:lineRule="auto"/>
      <w:ind w:firstLine="200" w:firstLineChars="200"/>
    </w:pPr>
    <w:rPr>
      <w:color w:val="000000"/>
      <w:sz w:val="24"/>
      <w:szCs w:val="24"/>
    </w:rPr>
  </w:style>
  <w:style w:type="paragraph" w:customStyle="1" w:styleId="104">
    <w:name w:val="表格文字2"/>
    <w:basedOn w:val="1"/>
    <w:qFormat/>
    <w:uiPriority w:val="0"/>
    <w:pPr>
      <w:tabs>
        <w:tab w:val="left" w:pos="277"/>
        <w:tab w:val="left" w:pos="600"/>
        <w:tab w:val="left" w:pos="780"/>
        <w:tab w:val="left" w:pos="2517"/>
      </w:tabs>
      <w:adjustRightInd w:val="0"/>
      <w:spacing w:before="60" w:line="360" w:lineRule="auto"/>
      <w:ind w:firstLine="480" w:firstLineChars="200"/>
      <w:textAlignment w:val="baseline"/>
    </w:pPr>
    <w:rPr>
      <w:rFonts w:ascii="Times New Roman" w:hAnsi="Times New Roman"/>
      <w:kern w:val="0"/>
    </w:rPr>
  </w:style>
  <w:style w:type="paragraph" w:customStyle="1" w:styleId="105">
    <w:name w:val="Table Paragraph"/>
    <w:basedOn w:val="1"/>
    <w:qFormat/>
    <w:uiPriority w:val="1"/>
    <w:rPr>
      <w:rFonts w:ascii="宋体" w:hAnsi="宋体" w:eastAsia="宋体" w:cs="宋体"/>
      <w:lang w:val="zh-CN" w:eastAsia="zh-CN" w:bidi="zh-CN"/>
    </w:rPr>
  </w:style>
  <w:style w:type="paragraph" w:customStyle="1" w:styleId="106">
    <w:name w:val="Char Char Char Char Char Char Char Char Char Char Char Char Char Char Char Char1"/>
    <w:basedOn w:val="4"/>
    <w:qFormat/>
    <w:uiPriority w:val="0"/>
    <w:pPr>
      <w:tabs>
        <w:tab w:val="left" w:pos="360"/>
        <w:tab w:val="left" w:pos="900"/>
      </w:tabs>
      <w:snapToGrid w:val="0"/>
      <w:spacing w:before="120" w:after="120" w:line="360" w:lineRule="auto"/>
      <w:ind w:left="542" w:leftChars="-12" w:firstLine="200" w:firstLineChars="200"/>
      <w:jc w:val="left"/>
    </w:pPr>
    <w:rPr>
      <w:rFonts w:ascii="Times New Roman" w:hAnsi="Times New Roman" w:eastAsia="黑体"/>
      <w:b w:val="0"/>
      <w:bCs w:val="0"/>
      <w:snapToGrid w:val="0"/>
      <w:spacing w:val="0"/>
      <w:sz w:val="24"/>
      <w:szCs w:val="24"/>
    </w:rPr>
  </w:style>
  <w:style w:type="paragraph" w:customStyle="1" w:styleId="107">
    <w:name w:val="_Style 19"/>
    <w:basedOn w:val="1"/>
    <w:qFormat/>
    <w:uiPriority w:val="0"/>
    <w:pPr>
      <w:jc w:val="center"/>
    </w:pPr>
    <w:rPr>
      <w:rFonts w:hAnsi="宋体"/>
      <w:color w:val="000000"/>
      <w:kern w:val="0"/>
    </w:rPr>
  </w:style>
  <w:style w:type="paragraph" w:customStyle="1" w:styleId="108">
    <w:name w:val="font0"/>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09">
    <w:name w:val="默认段落字体 Para Char"/>
    <w:basedOn w:val="1"/>
    <w:next w:val="1"/>
    <w:qFormat/>
    <w:uiPriority w:val="0"/>
    <w:pPr>
      <w:spacing w:line="360" w:lineRule="auto"/>
      <w:ind w:firstLine="200" w:firstLineChars="200"/>
    </w:pPr>
    <w:rPr>
      <w:rFonts w:ascii="Times New Roman" w:hAnsi="Times New Roman" w:eastAsia="黑体"/>
      <w:snapToGrid w:val="0"/>
      <w:spacing w:val="0"/>
      <w:kern w:val="0"/>
      <w:sz w:val="24"/>
      <w:szCs w:val="24"/>
    </w:rPr>
  </w:style>
  <w:style w:type="paragraph" w:customStyle="1" w:styleId="110">
    <w:name w:val="表格内容"/>
    <w:basedOn w:val="1"/>
    <w:next w:val="1"/>
    <w:qFormat/>
    <w:uiPriority w:val="0"/>
    <w:pPr>
      <w:spacing w:line="240" w:lineRule="auto"/>
      <w:ind w:firstLine="0" w:firstLineChars="0"/>
      <w:jc w:val="center"/>
    </w:pPr>
    <w:rPr>
      <w:kern w:val="0"/>
      <w:sz w:val="20"/>
      <w:szCs w:val="20"/>
    </w:rPr>
  </w:style>
  <w:style w:type="paragraph" w:customStyle="1" w:styleId="111">
    <w:name w:val="文本"/>
    <w:basedOn w:val="18"/>
    <w:qFormat/>
    <w:uiPriority w:val="0"/>
    <w:pPr>
      <w:adjustRightInd w:val="0"/>
      <w:snapToGrid w:val="0"/>
      <w:spacing w:line="520" w:lineRule="exact"/>
      <w:ind w:firstLine="200" w:firstLineChars="200"/>
    </w:pPr>
    <w:rPr>
      <w:rFonts w:ascii="宋体" w:eastAsia="仿宋_GB2312"/>
      <w:sz w:val="24"/>
      <w:szCs w:val="24"/>
    </w:rPr>
  </w:style>
  <w:style w:type="paragraph" w:customStyle="1" w:styleId="112">
    <w:name w:val="环保表内字（小五）"/>
    <w:basedOn w:val="1"/>
    <w:qFormat/>
    <w:uiPriority w:val="0"/>
    <w:pPr>
      <w:tabs>
        <w:tab w:val="left" w:pos="540"/>
      </w:tabs>
      <w:topLinePunct/>
      <w:adjustRightInd w:val="0"/>
      <w:snapToGrid w:val="0"/>
      <w:spacing w:line="240" w:lineRule="atLeast"/>
      <w:jc w:val="left"/>
    </w:pPr>
    <w:rPr>
      <w:rFonts w:eastAsia="Times New Roman"/>
      <w:snapToGrid w:val="0"/>
      <w:kern w:val="0"/>
      <w:sz w:val="18"/>
    </w:rPr>
  </w:style>
  <w:style w:type="paragraph" w:customStyle="1" w:styleId="113">
    <w:name w:val="再用"/>
    <w:basedOn w:val="3"/>
    <w:qFormat/>
    <w:uiPriority w:val="0"/>
    <w:pPr>
      <w:adjustRightInd/>
      <w:spacing w:line="240" w:lineRule="auto"/>
      <w:jc w:val="center"/>
      <w:textAlignment w:val="auto"/>
    </w:pPr>
    <w:rPr>
      <w:rFonts w:ascii="黑体" w:cs="宋体"/>
      <w:b/>
      <w:bCs/>
      <w:spacing w:val="0"/>
      <w:w w:val="100"/>
      <w:sz w:val="32"/>
      <w:szCs w:val="32"/>
    </w:rPr>
  </w:style>
  <w:style w:type="paragraph" w:customStyle="1" w:styleId="114">
    <w:name w:val="正文 + 行距: 1.5 倍行距"/>
    <w:basedOn w:val="1"/>
    <w:qFormat/>
    <w:uiPriority w:val="0"/>
    <w:pPr>
      <w:widowControl/>
      <w:adjustRightInd w:val="0"/>
      <w:ind w:firstLine="420" w:firstLineChars="200"/>
      <w:jc w:val="left"/>
      <w:textAlignment w:val="baseline"/>
    </w:pPr>
    <w:rPr>
      <w:rFonts w:ascii="宋体" w:hAnsi="宋体"/>
      <w:kern w:val="0"/>
      <w:sz w:val="24"/>
      <w:szCs w:val="20"/>
    </w:rPr>
  </w:style>
  <w:style w:type="paragraph" w:customStyle="1" w:styleId="115">
    <w:name w:val="a)"/>
    <w:basedOn w:val="1"/>
    <w:qFormat/>
    <w:uiPriority w:val="0"/>
    <w:pPr>
      <w:tabs>
        <w:tab w:val="left" w:pos="1134"/>
      </w:tabs>
      <w:adjustRightInd w:val="0"/>
      <w:spacing w:line="360" w:lineRule="auto"/>
      <w:ind w:firstLine="567"/>
      <w:textAlignment w:val="baseline"/>
    </w:pPr>
    <w:rPr>
      <w:rFonts w:ascii="Times New Roman" w:hAnsi="Times New Roman"/>
      <w:spacing w:val="0"/>
      <w:kern w:val="0"/>
      <w:sz w:val="28"/>
      <w:szCs w:val="20"/>
    </w:rPr>
  </w:style>
  <w:style w:type="paragraph" w:customStyle="1" w:styleId="116">
    <w:name w:val="_Style 81"/>
    <w:basedOn w:val="4"/>
    <w:qFormat/>
    <w:uiPriority w:val="0"/>
    <w:pPr>
      <w:tabs>
        <w:tab w:val="left" w:pos="360"/>
        <w:tab w:val="left" w:pos="900"/>
      </w:tabs>
      <w:snapToGrid w:val="0"/>
      <w:spacing w:before="120" w:after="120" w:line="360" w:lineRule="auto"/>
      <w:ind w:left="542" w:leftChars="-12" w:firstLine="200" w:firstLineChars="200"/>
      <w:jc w:val="left"/>
    </w:pPr>
    <w:rPr>
      <w:rFonts w:ascii="Times New Roman" w:hAnsi="Times New Roman" w:eastAsia="黑体"/>
      <w:b w:val="0"/>
      <w:bCs w:val="0"/>
      <w:snapToGrid w:val="0"/>
      <w:spacing w:val="0"/>
      <w:sz w:val="24"/>
      <w:szCs w:val="24"/>
    </w:rPr>
  </w:style>
  <w:style w:type="paragraph" w:customStyle="1" w:styleId="117">
    <w:name w:val="表格文字"/>
    <w:basedOn w:val="13"/>
    <w:next w:val="13"/>
    <w:qFormat/>
    <w:uiPriority w:val="0"/>
    <w:pPr>
      <w:overflowPunct w:val="0"/>
      <w:topLinePunct/>
      <w:autoSpaceDE w:val="0"/>
      <w:autoSpaceDN w:val="0"/>
      <w:adjustRightInd w:val="0"/>
      <w:snapToGrid w:val="0"/>
      <w:spacing w:line="360" w:lineRule="exact"/>
      <w:jc w:val="center"/>
      <w:textAlignment w:val="baseline"/>
    </w:pPr>
    <w:rPr>
      <w:rFonts w:ascii="Calibri"/>
      <w:spacing w:val="6"/>
      <w:kern w:val="0"/>
      <w:sz w:val="21"/>
      <w:szCs w:val="20"/>
    </w:rPr>
  </w:style>
  <w:style w:type="paragraph" w:customStyle="1" w:styleId="118">
    <w:name w:val="Char Char"/>
    <w:basedOn w:val="4"/>
    <w:qFormat/>
    <w:uiPriority w:val="0"/>
    <w:pPr>
      <w:tabs>
        <w:tab w:val="left" w:pos="360"/>
        <w:tab w:val="left" w:pos="900"/>
      </w:tabs>
      <w:snapToGrid w:val="0"/>
      <w:spacing w:before="120" w:after="120" w:line="360" w:lineRule="auto"/>
      <w:ind w:left="542" w:leftChars="-12" w:firstLine="200" w:firstLineChars="200"/>
      <w:jc w:val="left"/>
    </w:pPr>
    <w:rPr>
      <w:rFonts w:ascii="Times New Roman" w:eastAsia="黑体"/>
      <w:b w:val="0"/>
      <w:bCs w:val="0"/>
      <w:snapToGrid w:val="0"/>
      <w:spacing w:val="0"/>
      <w:sz w:val="24"/>
      <w:szCs w:val="24"/>
    </w:rPr>
  </w:style>
  <w:style w:type="paragraph" w:customStyle="1" w:styleId="119">
    <w:name w:val="默认段落字体 Para Char Char Char Char Char Char Char Char Char Char"/>
    <w:basedOn w:val="4"/>
    <w:qFormat/>
    <w:uiPriority w:val="0"/>
    <w:pPr>
      <w:tabs>
        <w:tab w:val="left" w:pos="360"/>
        <w:tab w:val="left" w:pos="900"/>
      </w:tabs>
      <w:snapToGrid w:val="0"/>
      <w:spacing w:beforeLines="0" w:afterLines="0" w:line="360" w:lineRule="auto"/>
      <w:ind w:left="542" w:leftChars="-12" w:firstLine="200" w:firstLineChars="200"/>
      <w:jc w:val="left"/>
    </w:pPr>
    <w:rPr>
      <w:rFonts w:ascii="Times New Roman" w:eastAsia="黑体"/>
      <w:b w:val="0"/>
      <w:bCs w:val="0"/>
      <w:snapToGrid w:val="0"/>
      <w:spacing w:val="0"/>
      <w:sz w:val="24"/>
      <w:szCs w:val="24"/>
    </w:rPr>
  </w:style>
  <w:style w:type="paragraph" w:customStyle="1" w:styleId="120">
    <w:name w:val="样式62"/>
    <w:basedOn w:val="1"/>
    <w:qFormat/>
    <w:uiPriority w:val="0"/>
    <w:pPr>
      <w:widowControl/>
      <w:spacing w:line="280" w:lineRule="exact"/>
      <w:jc w:val="center"/>
    </w:pPr>
    <w:rPr>
      <w:rFonts w:hAnsi="宋体"/>
      <w:kern w:val="0"/>
      <w:sz w:val="18"/>
      <w:szCs w:val="18"/>
    </w:rPr>
  </w:style>
  <w:style w:type="paragraph" w:customStyle="1" w:styleId="121">
    <w:name w:val="Char Char Char Char Char Char Char"/>
    <w:basedOn w:val="1"/>
    <w:semiHidden/>
    <w:qFormat/>
    <w:uiPriority w:val="0"/>
    <w:pPr>
      <w:widowControl/>
      <w:spacing w:line="560" w:lineRule="exact"/>
      <w:ind w:firstLine="200" w:firstLineChars="200"/>
      <w:jc w:val="left"/>
    </w:pPr>
    <w:rPr>
      <w:rFonts w:ascii="Verdana" w:hAnsi="Verdana"/>
      <w:spacing w:val="0"/>
      <w:kern w:val="0"/>
      <w:sz w:val="20"/>
      <w:szCs w:val="20"/>
      <w:lang w:eastAsia="en-US"/>
    </w:rPr>
  </w:style>
  <w:style w:type="paragraph" w:customStyle="1" w:styleId="122">
    <w:name w:val="段落正文"/>
    <w:basedOn w:val="1"/>
    <w:next w:val="1"/>
    <w:qFormat/>
    <w:uiPriority w:val="0"/>
    <w:pPr>
      <w:adjustRightInd w:val="0"/>
      <w:spacing w:line="360" w:lineRule="auto"/>
      <w:ind w:firstLine="556"/>
    </w:pPr>
    <w:rPr>
      <w:snapToGrid w:val="0"/>
      <w:color w:val="000000"/>
      <w:kern w:val="0"/>
      <w:sz w:val="24"/>
      <w:szCs w:val="20"/>
    </w:rPr>
  </w:style>
  <w:style w:type="paragraph" w:customStyle="1" w:styleId="123">
    <w:name w:val="_Style 2"/>
    <w:qFormat/>
    <w:uiPriority w:val="0"/>
    <w:pPr>
      <w:widowControl w:val="0"/>
      <w:spacing w:line="360" w:lineRule="auto"/>
      <w:jc w:val="center"/>
    </w:pPr>
    <w:rPr>
      <w:rFonts w:ascii="Times New Roman" w:hAnsi="Times New Roman" w:eastAsia="宋体" w:cs="Times New Roman"/>
      <w:kern w:val="2"/>
      <w:sz w:val="21"/>
      <w:szCs w:val="24"/>
      <w:lang w:val="en-US" w:eastAsia="zh-CN" w:bidi="ar-SA"/>
    </w:rPr>
  </w:style>
  <w:style w:type="paragraph" w:customStyle="1" w:styleId="124">
    <w:name w:val="耿宝正文"/>
    <w:basedOn w:val="1"/>
    <w:qFormat/>
    <w:uiPriority w:val="0"/>
    <w:pPr>
      <w:adjustRightInd w:val="0"/>
      <w:snapToGrid w:val="0"/>
      <w:spacing w:line="300" w:lineRule="auto"/>
      <w:ind w:firstLine="200" w:firstLineChars="200"/>
      <w:textAlignment w:val="baseline"/>
    </w:pPr>
    <w:rPr>
      <w:kern w:val="0"/>
      <w:sz w:val="28"/>
      <w:szCs w:val="24"/>
    </w:rPr>
  </w:style>
  <w:style w:type="paragraph" w:customStyle="1" w:styleId="125">
    <w:name w:val="_Style 64"/>
    <w:basedOn w:val="1"/>
    <w:qFormat/>
    <w:uiPriority w:val="0"/>
    <w:rPr>
      <w:rFonts w:hAnsi="宋体" w:cs="Courier New"/>
      <w:spacing w:val="0"/>
      <w:sz w:val="32"/>
      <w:szCs w:val="32"/>
    </w:rPr>
  </w:style>
  <w:style w:type="paragraph" w:customStyle="1" w:styleId="126">
    <w:name w:val="正文(首缩进)"/>
    <w:basedOn w:val="1"/>
    <w:qFormat/>
    <w:uiPriority w:val="0"/>
    <w:pPr>
      <w:spacing w:beforeLines="25" w:afterLines="25" w:line="420" w:lineRule="auto"/>
      <w:ind w:firstLine="200" w:firstLineChars="200"/>
    </w:pPr>
    <w:rPr>
      <w:sz w:val="28"/>
    </w:rPr>
  </w:style>
  <w:style w:type="paragraph" w:customStyle="1" w:styleId="127">
    <w:name w:val="表内文字"/>
    <w:basedOn w:val="128"/>
    <w:qFormat/>
    <w:uiPriority w:val="0"/>
    <w:pPr>
      <w:adjustRightInd w:val="0"/>
      <w:jc w:val="center"/>
    </w:pPr>
    <w:rPr>
      <w:rFonts w:ascii="宋体" w:cs="宋体"/>
      <w:szCs w:val="24"/>
    </w:rPr>
  </w:style>
  <w:style w:type="paragraph" w:customStyle="1" w:styleId="128">
    <w:name w:val="表内"/>
    <w:basedOn w:val="19"/>
    <w:qFormat/>
    <w:uiPriority w:val="0"/>
    <w:pPr>
      <w:widowControl/>
      <w:spacing w:beforeLines="0" w:line="240" w:lineRule="auto"/>
      <w:ind w:left="0" w:leftChars="0" w:firstLine="0" w:firstLineChars="0"/>
      <w:jc w:val="center"/>
    </w:pPr>
    <w:rPr>
      <w:rFonts w:ascii="宋体"/>
      <w:bCs/>
      <w:color w:val="000000"/>
      <w:szCs w:val="21"/>
    </w:rPr>
  </w:style>
  <w:style w:type="paragraph" w:customStyle="1" w:styleId="129">
    <w:name w:val="_Style 1"/>
    <w:qFormat/>
    <w:uiPriority w:val="0"/>
    <w:pPr>
      <w:widowControl w:val="0"/>
      <w:spacing w:line="360" w:lineRule="auto"/>
      <w:jc w:val="center"/>
    </w:pPr>
    <w:rPr>
      <w:rFonts w:ascii="Times New Roman" w:hAnsi="Times New Roman" w:eastAsia="宋体" w:cs="Times New Roman"/>
      <w:kern w:val="2"/>
      <w:sz w:val="21"/>
      <w:szCs w:val="24"/>
      <w:lang w:val="en-US" w:eastAsia="zh-CN" w:bidi="ar-SA"/>
    </w:rPr>
  </w:style>
  <w:style w:type="paragraph" w:customStyle="1" w:styleId="130">
    <w:name w:val="污正文格式"/>
    <w:basedOn w:val="1"/>
    <w:qFormat/>
    <w:uiPriority w:val="0"/>
    <w:pPr>
      <w:spacing w:line="360" w:lineRule="auto"/>
      <w:ind w:firstLine="496" w:firstLineChars="200"/>
    </w:pPr>
    <w:rPr>
      <w:rFonts w:hAnsi="宋体"/>
      <w:spacing w:val="4"/>
      <w:sz w:val="24"/>
      <w:szCs w:val="22"/>
    </w:rPr>
  </w:style>
  <w:style w:type="paragraph" w:customStyle="1" w:styleId="131">
    <w:name w:val="xl63"/>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CC00"/>
      <w:spacing w:before="100" w:beforeAutospacing="1" w:after="100" w:afterAutospacing="1"/>
      <w:jc w:val="center"/>
    </w:pPr>
    <w:rPr>
      <w:rFonts w:ascii="Calibri"/>
      <w:kern w:val="0"/>
      <w:sz w:val="20"/>
    </w:rPr>
  </w:style>
  <w:style w:type="paragraph" w:customStyle="1" w:styleId="132">
    <w:name w:val="图表名"/>
    <w:basedOn w:val="1"/>
    <w:next w:val="1"/>
    <w:qFormat/>
    <w:uiPriority w:val="0"/>
    <w:pPr>
      <w:adjustRightInd w:val="0"/>
      <w:snapToGrid w:val="0"/>
      <w:spacing w:line="400" w:lineRule="exact"/>
      <w:jc w:val="center"/>
    </w:pPr>
    <w:rPr>
      <w:rFonts w:ascii="宋体" w:hAnsi="宋体" w:eastAsia="黑体"/>
      <w:color w:val="000000"/>
      <w:sz w:val="24"/>
      <w:szCs w:val="20"/>
      <w:lang w:val="zh-CN"/>
    </w:rPr>
  </w:style>
  <w:style w:type="paragraph" w:customStyle="1" w:styleId="133">
    <w:name w:val="图格式"/>
    <w:basedOn w:val="111"/>
    <w:qFormat/>
    <w:uiPriority w:val="0"/>
    <w:pPr>
      <w:spacing w:line="240" w:lineRule="auto"/>
      <w:ind w:firstLine="0" w:firstLineChars="0"/>
      <w:jc w:val="center"/>
    </w:pPr>
    <w:rPr>
      <w:rFonts w:hAnsi="宋体"/>
    </w:rPr>
  </w:style>
  <w:style w:type="paragraph" w:customStyle="1" w:styleId="134">
    <w:name w:val="1-图表标题"/>
    <w:basedOn w:val="1"/>
    <w:qFormat/>
    <w:uiPriority w:val="0"/>
    <w:pPr>
      <w:jc w:val="center"/>
    </w:pPr>
    <w:rPr>
      <w:rFonts w:ascii="Calibri" w:hAnsi="Calibri" w:eastAsia="黑体"/>
      <w:sz w:val="21"/>
      <w:szCs w:val="22"/>
    </w:rPr>
  </w:style>
  <w:style w:type="paragraph" w:customStyle="1" w:styleId="135">
    <w:name w:val="Body Text 22"/>
    <w:qFormat/>
    <w:uiPriority w:val="0"/>
    <w:pPr>
      <w:widowControl w:val="0"/>
      <w:adjustRightInd w:val="0"/>
      <w:spacing w:line="440" w:lineRule="atLeast"/>
      <w:ind w:firstLine="480"/>
      <w:jc w:val="both"/>
      <w:textAlignment w:val="baseline"/>
    </w:pPr>
    <w:rPr>
      <w:rFonts w:ascii="Calibri" w:hAnsi="Calibri" w:eastAsia="仿宋_GB2312" w:cs="Times New Roman"/>
      <w:kern w:val="2"/>
      <w:sz w:val="24"/>
      <w:lang w:val="en-US" w:eastAsia="zh-CN" w:bidi="ar-SA"/>
    </w:rPr>
  </w:style>
  <w:style w:type="paragraph" w:customStyle="1" w:styleId="136">
    <w:name w:val="2"/>
    <w:basedOn w:val="1"/>
    <w:next w:val="39"/>
    <w:qFormat/>
    <w:uiPriority w:val="0"/>
    <w:pPr>
      <w:ind w:firstLine="527" w:firstLineChars="200"/>
    </w:pPr>
    <w:rPr>
      <w:szCs w:val="25"/>
    </w:rPr>
  </w:style>
  <w:style w:type="paragraph" w:customStyle="1" w:styleId="137">
    <w:name w:val="South Sulige Main Text"/>
    <w:basedOn w:val="10"/>
    <w:semiHidden/>
    <w:qFormat/>
    <w:uiPriority w:val="0"/>
    <w:pPr>
      <w:spacing w:beforeLines="50" w:afterLines="50" w:line="360" w:lineRule="auto"/>
      <w:ind w:firstLine="480" w:firstLineChars="200"/>
      <w:jc w:val="both"/>
    </w:pPr>
    <w:rPr>
      <w:rFonts w:ascii="宋体" w:hAnsi="宋体" w:eastAsia="宋体"/>
      <w:snapToGrid w:val="0"/>
      <w:kern w:val="28"/>
      <w:sz w:val="24"/>
    </w:rPr>
  </w:style>
  <w:style w:type="paragraph" w:customStyle="1" w:styleId="138">
    <w:name w:val="纯文本1"/>
    <w:basedOn w:val="1"/>
    <w:qFormat/>
    <w:uiPriority w:val="0"/>
    <w:pPr>
      <w:spacing w:line="480" w:lineRule="exact"/>
      <w:ind w:firstLine="544"/>
    </w:pPr>
    <w:rPr>
      <w:rFonts w:hint="eastAsia" w:ascii="宋体" w:hAnsi="Courier New"/>
      <w:color w:val="000000"/>
      <w:spacing w:val="-4"/>
    </w:rPr>
  </w:style>
  <w:style w:type="paragraph" w:customStyle="1" w:styleId="139">
    <w:name w:val="p0"/>
    <w:basedOn w:val="1"/>
    <w:qFormat/>
    <w:uiPriority w:val="0"/>
    <w:rPr>
      <w:rFonts w:hAnsi="Times New Roman"/>
      <w:kern w:val="0"/>
      <w:szCs w:val="21"/>
    </w:rPr>
  </w:style>
  <w:style w:type="paragraph" w:customStyle="1" w:styleId="140">
    <w:name w:val="正文11"/>
    <w:basedOn w:val="1"/>
    <w:qFormat/>
    <w:uiPriority w:val="0"/>
    <w:pPr>
      <w:ind w:firstLine="516" w:firstLineChars="196"/>
    </w:pPr>
    <w:rPr>
      <w:rFonts w:hAnsi="Times New Roman" w:cs="宋体"/>
      <w:bCs/>
    </w:rPr>
  </w:style>
  <w:style w:type="paragraph" w:customStyle="1" w:styleId="141">
    <w:name w:val="5"/>
    <w:basedOn w:val="1"/>
    <w:qFormat/>
    <w:uiPriority w:val="0"/>
    <w:rPr>
      <w:rFonts w:hAnsi="宋体" w:cs="Courier New"/>
      <w:spacing w:val="0"/>
      <w:sz w:val="32"/>
      <w:szCs w:val="32"/>
    </w:rPr>
  </w:style>
  <w:style w:type="paragraph" w:customStyle="1" w:styleId="142">
    <w:name w:val="0正文"/>
    <w:basedOn w:val="13"/>
    <w:qFormat/>
    <w:uiPriority w:val="0"/>
    <w:pPr>
      <w:snapToGrid w:val="0"/>
      <w:spacing w:line="360" w:lineRule="auto"/>
      <w:ind w:firstLine="480" w:firstLineChars="200"/>
    </w:pPr>
    <w:rPr>
      <w:rFonts w:ascii="Times New Roman" w:hAnsi="宋体"/>
      <w:sz w:val="24"/>
      <w:szCs w:val="21"/>
      <w:lang w:val="en-US" w:eastAsia="zh-CN"/>
    </w:rPr>
  </w:style>
  <w:style w:type="paragraph" w:customStyle="1" w:styleId="143">
    <w:name w:val="正文3"/>
    <w:qFormat/>
    <w:uiPriority w:val="0"/>
    <w:pPr>
      <w:suppressAutoHyphens/>
      <w:overflowPunct w:val="0"/>
      <w:topLinePunct/>
      <w:spacing w:line="480" w:lineRule="exact"/>
      <w:ind w:firstLine="200" w:firstLineChars="200"/>
      <w:jc w:val="both"/>
    </w:pPr>
    <w:rPr>
      <w:rFonts w:ascii="宋体" w:hAnsi="宋体" w:eastAsia="宋体" w:cs="Times New Roman"/>
      <w:bCs/>
      <w:snapToGrid w:val="0"/>
      <w:kern w:val="2"/>
      <w:sz w:val="24"/>
      <w:szCs w:val="28"/>
      <w:lang w:val="zh-CN" w:eastAsia="zh-CN" w:bidi="ar-SA"/>
    </w:rPr>
  </w:style>
  <w:style w:type="paragraph" w:customStyle="1" w:styleId="144">
    <w:name w:val="列出段落1"/>
    <w:basedOn w:val="1"/>
    <w:qFormat/>
    <w:uiPriority w:val="34"/>
    <w:pPr>
      <w:jc w:val="center"/>
    </w:pPr>
    <w:rPr>
      <w:rFonts w:ascii="Times New Roman" w:hAnsi="宋体" w:cs="宋体"/>
      <w:color w:val="000000"/>
      <w:kern w:val="0"/>
      <w:szCs w:val="24"/>
    </w:rPr>
  </w:style>
  <w:style w:type="character" w:customStyle="1" w:styleId="145">
    <w:name w:val="Char Char14"/>
    <w:qFormat/>
    <w:locked/>
    <w:uiPriority w:val="0"/>
    <w:rPr>
      <w:rFonts w:ascii="Arial" w:hAnsi="Arial" w:eastAsia="黑体"/>
      <w:spacing w:val="12"/>
      <w:w w:val="90"/>
      <w:kern w:val="44"/>
      <w:sz w:val="30"/>
      <w:szCs w:val="25"/>
      <w:lang w:val="en-US" w:eastAsia="zh-CN" w:bidi="ar-SA"/>
    </w:rPr>
  </w:style>
  <w:style w:type="character" w:customStyle="1" w:styleId="146">
    <w:name w:val="Char Char13"/>
    <w:qFormat/>
    <w:locked/>
    <w:uiPriority w:val="0"/>
    <w:rPr>
      <w:rFonts w:ascii="Cambria" w:hAnsi="Cambria" w:eastAsia="黑体"/>
      <w:b/>
      <w:bCs/>
      <w:spacing w:val="5"/>
      <w:kern w:val="2"/>
      <w:sz w:val="25"/>
      <w:szCs w:val="28"/>
      <w:lang w:val="en-US" w:eastAsia="zh-CN" w:bidi="ar-SA"/>
    </w:rPr>
  </w:style>
  <w:style w:type="character" w:customStyle="1" w:styleId="147">
    <w:name w:val="Char Char12"/>
    <w:qFormat/>
    <w:locked/>
    <w:uiPriority w:val="0"/>
    <w:rPr>
      <w:rFonts w:ascii="Arial" w:hAnsi="Arial" w:eastAsia="仿宋_GB2312" w:cs="Arial"/>
      <w:spacing w:val="5"/>
      <w:kern w:val="2"/>
      <w:sz w:val="25"/>
      <w:szCs w:val="25"/>
      <w:lang w:val="en-US" w:eastAsia="zh-CN" w:bidi="ar-SA"/>
    </w:rPr>
  </w:style>
  <w:style w:type="character" w:customStyle="1" w:styleId="148">
    <w:name w:val="Char Char9"/>
    <w:qFormat/>
    <w:locked/>
    <w:uiPriority w:val="0"/>
    <w:rPr>
      <w:rFonts w:ascii="宋体" w:hAnsi="Calibri" w:eastAsia="黑体"/>
      <w:snapToGrid w:val="0"/>
      <w:spacing w:val="5"/>
      <w:kern w:val="2"/>
      <w:sz w:val="25"/>
      <w:szCs w:val="25"/>
      <w:lang w:val="en-US" w:eastAsia="zh-CN" w:bidi="ar-SA"/>
    </w:rPr>
  </w:style>
  <w:style w:type="character" w:customStyle="1" w:styleId="149">
    <w:name w:val="Char Char3"/>
    <w:qFormat/>
    <w:locked/>
    <w:uiPriority w:val="0"/>
    <w:rPr>
      <w:rFonts w:ascii="宋体" w:hAnsi="Calibri" w:eastAsia="宋体"/>
      <w:spacing w:val="5"/>
      <w:kern w:val="2"/>
      <w:sz w:val="18"/>
      <w:szCs w:val="18"/>
      <w:lang w:val="en-US" w:eastAsia="zh-CN" w:bidi="ar-SA"/>
    </w:rPr>
  </w:style>
  <w:style w:type="character" w:customStyle="1" w:styleId="150">
    <w:name w:val="Char Char4"/>
    <w:qFormat/>
    <w:locked/>
    <w:uiPriority w:val="0"/>
    <w:rPr>
      <w:rFonts w:ascii="宋体" w:hAnsi="Calibri" w:eastAsia="宋体"/>
      <w:spacing w:val="5"/>
      <w:kern w:val="2"/>
      <w:sz w:val="18"/>
      <w:szCs w:val="18"/>
      <w:lang w:val="en-US" w:eastAsia="zh-CN" w:bidi="ar-SA"/>
    </w:rPr>
  </w:style>
  <w:style w:type="character" w:customStyle="1" w:styleId="151">
    <w:name w:val="Char Char11"/>
    <w:qFormat/>
    <w:locked/>
    <w:uiPriority w:val="0"/>
    <w:rPr>
      <w:rFonts w:ascii="宋体" w:hAnsi="宋体" w:eastAsia="黑体"/>
      <w:kern w:val="2"/>
      <w:sz w:val="24"/>
      <w:szCs w:val="24"/>
      <w:lang w:val="en-US" w:eastAsia="zh-CN" w:bidi="ar-SA"/>
    </w:rPr>
  </w:style>
  <w:style w:type="character" w:customStyle="1" w:styleId="152">
    <w:name w:val="Char Char8"/>
    <w:qFormat/>
    <w:locked/>
    <w:uiPriority w:val="0"/>
    <w:rPr>
      <w:rFonts w:ascii="宋体" w:eastAsia="黑体"/>
      <w:spacing w:val="5"/>
      <w:kern w:val="2"/>
      <w:sz w:val="25"/>
      <w:szCs w:val="25"/>
      <w:lang w:val="en-US" w:eastAsia="zh-CN" w:bidi="ar-SA"/>
    </w:rPr>
  </w:style>
  <w:style w:type="character" w:customStyle="1" w:styleId="153">
    <w:name w:val="Char Char2"/>
    <w:qFormat/>
    <w:locked/>
    <w:uiPriority w:val="0"/>
    <w:rPr>
      <w:rFonts w:ascii="黑体" w:hAnsi="黑体" w:eastAsia="黑体"/>
      <w:bCs/>
      <w:spacing w:val="5"/>
      <w:kern w:val="28"/>
      <w:sz w:val="21"/>
      <w:szCs w:val="32"/>
      <w:lang w:val="en-US" w:eastAsia="zh-CN" w:bidi="ar-SA"/>
    </w:rPr>
  </w:style>
  <w:style w:type="character" w:customStyle="1" w:styleId="154">
    <w:name w:val="Char Char6"/>
    <w:qFormat/>
    <w:locked/>
    <w:uiPriority w:val="0"/>
    <w:rPr>
      <w:rFonts w:ascii="宋体" w:hAnsi="Calibri" w:eastAsia="黑体"/>
      <w:snapToGrid w:val="0"/>
      <w:spacing w:val="5"/>
      <w:kern w:val="2"/>
      <w:sz w:val="24"/>
      <w:szCs w:val="25"/>
      <w:lang w:val="en-US" w:eastAsia="zh-CN" w:bidi="ar-SA"/>
    </w:rPr>
  </w:style>
  <w:style w:type="character" w:customStyle="1" w:styleId="155">
    <w:name w:val="Char Char10"/>
    <w:qFormat/>
    <w:locked/>
    <w:uiPriority w:val="0"/>
    <w:rPr>
      <w:rFonts w:ascii="宋体" w:hAnsi="Calibri" w:eastAsia="宋体"/>
      <w:spacing w:val="5"/>
      <w:kern w:val="2"/>
      <w:sz w:val="25"/>
      <w:szCs w:val="25"/>
      <w:lang w:val="en-US" w:eastAsia="zh-CN" w:bidi="ar-SA"/>
    </w:rPr>
  </w:style>
  <w:style w:type="character" w:customStyle="1" w:styleId="156">
    <w:name w:val="Char Char7"/>
    <w:qFormat/>
    <w:locked/>
    <w:uiPriority w:val="0"/>
    <w:rPr>
      <w:rFonts w:ascii="宋体" w:hAnsi="Courier New" w:eastAsia="宋体"/>
      <w:spacing w:val="5"/>
      <w:kern w:val="2"/>
      <w:sz w:val="25"/>
      <w:szCs w:val="25"/>
      <w:lang w:val="en-US" w:eastAsia="zh-CN" w:bidi="ar-SA"/>
    </w:rPr>
  </w:style>
  <w:style w:type="character" w:customStyle="1" w:styleId="157">
    <w:name w:val="Char Char1"/>
    <w:qFormat/>
    <w:locked/>
    <w:uiPriority w:val="0"/>
    <w:rPr>
      <w:rFonts w:ascii="宋体" w:hAnsi="宋体" w:eastAsia="黑体"/>
      <w:b/>
      <w:bCs/>
      <w:spacing w:val="5"/>
      <w:kern w:val="2"/>
      <w:sz w:val="25"/>
      <w:szCs w:val="25"/>
      <w:lang w:val="en-US" w:eastAsia="zh-CN" w:bidi="ar-SA"/>
    </w:rPr>
  </w:style>
  <w:style w:type="character" w:customStyle="1" w:styleId="158">
    <w:name w:val="Char Char5"/>
    <w:qFormat/>
    <w:locked/>
    <w:uiPriority w:val="0"/>
    <w:rPr>
      <w:rFonts w:ascii="宋体" w:hAnsi="宋体" w:eastAsia="黑体"/>
      <w:spacing w:val="5"/>
      <w:kern w:val="2"/>
      <w:sz w:val="18"/>
      <w:szCs w:val="18"/>
      <w:lang w:val="en-US" w:eastAsia="zh-CN" w:bidi="ar-SA"/>
    </w:rPr>
  </w:style>
  <w:style w:type="paragraph" w:customStyle="1" w:styleId="159">
    <w:name w:val="Char Char15"/>
    <w:basedOn w:val="4"/>
    <w:qFormat/>
    <w:uiPriority w:val="0"/>
    <w:pPr>
      <w:tabs>
        <w:tab w:val="left" w:pos="360"/>
        <w:tab w:val="left" w:pos="900"/>
      </w:tabs>
      <w:snapToGrid w:val="0"/>
      <w:spacing w:before="120" w:after="120" w:line="360" w:lineRule="auto"/>
      <w:ind w:left="542" w:leftChars="-12" w:firstLine="200" w:firstLineChars="200"/>
      <w:jc w:val="left"/>
    </w:pPr>
    <w:rPr>
      <w:rFonts w:ascii="Times New Roman" w:eastAsia="黑体"/>
      <w:b w:val="0"/>
      <w:bCs w:val="0"/>
      <w:spacing w:val="0"/>
      <w:sz w:val="24"/>
      <w:szCs w:val="24"/>
    </w:rPr>
  </w:style>
  <w:style w:type="paragraph" w:customStyle="1" w:styleId="160">
    <w:name w:val="00表格内"/>
    <w:basedOn w:val="1"/>
    <w:qFormat/>
    <w:uiPriority w:val="0"/>
    <w:pPr>
      <w:widowControl/>
      <w:spacing w:line="240" w:lineRule="auto"/>
      <w:ind w:firstLine="0" w:firstLineChars="0"/>
      <w:jc w:val="center"/>
    </w:pPr>
    <w:rPr>
      <w:rFonts w:ascii="黑体" w:hAnsi="黑体" w:eastAsia="黑体" w:cs="黑体"/>
      <w:kern w:val="0"/>
      <w:sz w:val="21"/>
      <w:lang w:eastAsia="en-US" w:bidi="en-US"/>
    </w:rPr>
  </w:style>
  <w:style w:type="paragraph" w:customStyle="1" w:styleId="161">
    <w:name w:val="lt 正文"/>
    <w:basedOn w:val="1"/>
    <w:qFormat/>
    <w:uiPriority w:val="0"/>
    <w:pPr>
      <w:keepNext/>
      <w:keepLines/>
    </w:pPr>
  </w:style>
  <w:style w:type="paragraph" w:customStyle="1" w:styleId="162">
    <w:name w:val="样式54"/>
    <w:basedOn w:val="1"/>
    <w:qFormat/>
    <w:uiPriority w:val="0"/>
    <w:pPr>
      <w:adjustRightInd/>
      <w:spacing w:line="400" w:lineRule="exact"/>
      <w:jc w:val="center"/>
    </w:pPr>
    <w:rPr>
      <w:rFonts w:ascii="黑体" w:hAnsi="宋体" w:eastAsia="黑体"/>
      <w:szCs w:val="21"/>
    </w:rPr>
  </w:style>
  <w:style w:type="paragraph" w:customStyle="1" w:styleId="163">
    <w:name w:val="列出段落11"/>
    <w:basedOn w:val="1"/>
    <w:qFormat/>
    <w:uiPriority w:val="34"/>
    <w:pPr>
      <w:jc w:val="center"/>
    </w:pPr>
    <w:rPr>
      <w:rFonts w:ascii="Times New Roman" w:hAnsi="宋体" w:cs="宋体"/>
      <w:color w:val="000000"/>
      <w:kern w:val="0"/>
      <w:szCs w:val="24"/>
    </w:rPr>
  </w:style>
  <w:style w:type="paragraph" w:customStyle="1" w:styleId="164">
    <w:name w:val="列出段落2"/>
    <w:basedOn w:val="1"/>
    <w:qFormat/>
    <w:uiPriority w:val="34"/>
    <w:pPr>
      <w:jc w:val="center"/>
    </w:pPr>
    <w:rPr>
      <w:rFonts w:ascii="Times New Roman" w:hAnsi="宋体" w:cs="宋体"/>
      <w:color w:val="000000"/>
      <w:kern w:val="0"/>
      <w:szCs w:val="24"/>
    </w:rPr>
  </w:style>
  <w:style w:type="paragraph" w:customStyle="1" w:styleId="165">
    <w:name w:val="列出段落3"/>
    <w:basedOn w:val="1"/>
    <w:qFormat/>
    <w:uiPriority w:val="0"/>
    <w:pPr>
      <w:widowControl w:val="0"/>
      <w:ind w:firstLine="420" w:firstLineChars="200"/>
      <w:jc w:val="both"/>
    </w:pPr>
    <w:rPr>
      <w:rFonts w:ascii="Times New Roman" w:hAnsi="Times New Roman" w:cs="Times New Roman"/>
      <w:kern w:val="2"/>
      <w:sz w:val="21"/>
    </w:rPr>
  </w:style>
  <w:style w:type="paragraph" w:customStyle="1" w:styleId="166">
    <w:name w:val="正文(首行缩进)"/>
    <w:basedOn w:val="10"/>
    <w:next w:val="1"/>
    <w:qFormat/>
    <w:uiPriority w:val="0"/>
    <w:pPr>
      <w:spacing w:line="360" w:lineRule="auto"/>
      <w:ind w:firstLine="540" w:firstLineChars="225"/>
    </w:pPr>
    <w:rPr>
      <w:snapToGrid/>
      <w:color w:val="000000"/>
      <w:kern w:val="0"/>
      <w:sz w:val="24"/>
    </w:rPr>
  </w:style>
  <w:style w:type="paragraph" w:customStyle="1" w:styleId="167">
    <w:name w:val="正文秦斐"/>
    <w:basedOn w:val="1"/>
    <w:qFormat/>
    <w:uiPriority w:val="0"/>
    <w:pPr>
      <w:snapToGrid w:val="0"/>
      <w:spacing w:line="360" w:lineRule="auto"/>
      <w:ind w:firstLine="560" w:firstLineChars="200"/>
    </w:pPr>
    <w:rPr>
      <w:rFonts w:ascii="仿宋" w:hAnsi="仿宋" w:eastAsia="仿宋"/>
      <w:sz w:val="28"/>
      <w:szCs w:val="28"/>
    </w:rPr>
  </w:style>
  <w:style w:type="paragraph" w:customStyle="1" w:styleId="168">
    <w:name w:val="Table caption|1"/>
    <w:basedOn w:val="1"/>
    <w:qFormat/>
    <w:uiPriority w:val="0"/>
    <w:pPr>
      <w:widowControl w:val="0"/>
      <w:shd w:val="clear" w:color="auto" w:fill="auto"/>
    </w:pPr>
    <w:rPr>
      <w:rFonts w:ascii="宋体" w:hAnsi="宋体" w:eastAsia="宋体" w:cs="宋体"/>
      <w:sz w:val="20"/>
      <w:szCs w:val="20"/>
      <w:u w:val="none"/>
      <w:shd w:val="clear" w:color="auto" w:fill="auto"/>
      <w:lang w:val="zh-TW" w:eastAsia="zh-TW" w:bidi="zh-TW"/>
    </w:rPr>
  </w:style>
  <w:style w:type="paragraph" w:customStyle="1" w:styleId="169">
    <w:name w:val="表内字"/>
    <w:basedOn w:val="1"/>
    <w:qFormat/>
    <w:uiPriority w:val="99"/>
    <w:pPr>
      <w:adjustRightInd w:val="0"/>
      <w:spacing w:line="320" w:lineRule="atLeast"/>
      <w:jc w:val="center"/>
      <w:textAlignment w:val="baseline"/>
    </w:pPr>
    <w:rPr>
      <w:rFonts w:ascii="Times New Roman"/>
      <w:spacing w:val="0"/>
      <w:w w:val="90"/>
      <w:sz w:val="21"/>
      <w:szCs w:val="20"/>
    </w:rPr>
  </w:style>
  <w:style w:type="paragraph" w:customStyle="1" w:styleId="170">
    <w:name w:val="STC 正文"/>
    <w:qFormat/>
    <w:uiPriority w:val="0"/>
    <w:pPr>
      <w:widowControl w:val="0"/>
      <w:adjustRightInd w:val="0"/>
      <w:snapToGrid w:val="0"/>
      <w:spacing w:line="331" w:lineRule="auto"/>
      <w:ind w:firstLine="200" w:firstLineChars="200"/>
      <w:jc w:val="both"/>
    </w:pPr>
    <w:rPr>
      <w:rFonts w:ascii="宋体" w:hAnsi="宋体" w:eastAsia="宋体" w:cs="Times New Roman"/>
      <w:kern w:val="2"/>
      <w:sz w:val="24"/>
      <w:szCs w:val="21"/>
      <w:lang w:val="en-US" w:eastAsia="zh-CN" w:bidi="ar-SA"/>
    </w:rPr>
  </w:style>
  <w:style w:type="character" w:customStyle="1" w:styleId="171">
    <w:name w:val="font11"/>
    <w:qFormat/>
    <w:uiPriority w:val="0"/>
    <w:rPr>
      <w:rFonts w:hint="eastAsia" w:ascii="宋体" w:hAnsi="宋体" w:eastAsia="宋体" w:cs="宋体"/>
      <w:color w:val="000000"/>
      <w:sz w:val="23"/>
      <w:szCs w:val="23"/>
      <w:u w:val="none"/>
    </w:rPr>
  </w:style>
  <w:style w:type="character" w:customStyle="1" w:styleId="172">
    <w:name w:val="font01"/>
    <w:basedOn w:val="50"/>
    <w:qFormat/>
    <w:uiPriority w:val="0"/>
    <w:rPr>
      <w:rFonts w:hint="eastAsia" w:ascii="宋体" w:hAnsi="宋体" w:eastAsia="宋体" w:cs="宋体"/>
      <w:color w:val="000000"/>
      <w:sz w:val="22"/>
      <w:szCs w:val="22"/>
      <w:u w:val="none"/>
    </w:rPr>
  </w:style>
  <w:style w:type="character" w:customStyle="1" w:styleId="173">
    <w:name w:val="font21"/>
    <w:qFormat/>
    <w:uiPriority w:val="0"/>
    <w:rPr>
      <w:rFonts w:hint="eastAsia" w:ascii="宋体" w:hAnsi="宋体" w:eastAsia="宋体" w:cs="宋体"/>
      <w:color w:val="000000"/>
      <w:sz w:val="22"/>
      <w:szCs w:val="22"/>
      <w:u w:val="none"/>
    </w:rPr>
  </w:style>
  <w:style w:type="paragraph" w:customStyle="1" w:styleId="174">
    <w:name w:val="表头"/>
    <w:qFormat/>
    <w:uiPriority w:val="0"/>
    <w:pPr>
      <w:spacing w:beforeLines="50"/>
      <w:jc w:val="center"/>
      <w:outlineLvl w:val="5"/>
    </w:pPr>
    <w:rPr>
      <w:rFonts w:ascii="Arial" w:hAnsi="Arial" w:eastAsia="黑体" w:cs="Times New Roman"/>
      <w:bCs/>
      <w:kern w:val="2"/>
      <w:sz w:val="21"/>
      <w:szCs w:val="28"/>
      <w:lang w:val="en-US" w:eastAsia="zh-CN" w:bidi="ar-SA"/>
    </w:rPr>
  </w:style>
  <w:style w:type="paragraph" w:customStyle="1" w:styleId="175">
    <w:name w:val="首选正文"/>
    <w:basedOn w:val="1"/>
    <w:qFormat/>
    <w:uiPriority w:val="0"/>
    <w:pPr>
      <w:spacing w:line="460" w:lineRule="exact"/>
      <w:ind w:left="-2" w:leftChars="-1" w:firstLine="485" w:firstLineChars="202"/>
    </w:pPr>
    <w:rPr>
      <w:kern w:val="21"/>
      <w:sz w:val="24"/>
    </w:rPr>
  </w:style>
  <w:style w:type="paragraph" w:customStyle="1" w:styleId="176">
    <w:name w:val="样式 正文文本 + 首行缩进:  2 字符"/>
    <w:basedOn w:val="13"/>
    <w:qFormat/>
    <w:uiPriority w:val="0"/>
    <w:pPr>
      <w:spacing w:afterLines="0" w:line="480" w:lineRule="exact"/>
      <w:ind w:firstLine="480" w:firstLineChars="200"/>
    </w:pPr>
    <w:rPr>
      <w:rFonts w:ascii="Times New Roman" w:cs="宋体"/>
      <w:spacing w:val="0"/>
      <w:sz w:val="24"/>
      <w:szCs w:val="20"/>
    </w:rPr>
  </w:style>
  <w:style w:type="paragraph" w:customStyle="1" w:styleId="177">
    <w:name w:val="Date1"/>
    <w:basedOn w:val="1"/>
    <w:next w:val="1"/>
    <w:qFormat/>
    <w:uiPriority w:val="99"/>
    <w:pPr>
      <w:adjustRightInd w:val="0"/>
      <w:textAlignment w:val="baseline"/>
    </w:pPr>
    <w:rPr>
      <w:rFonts w:ascii="楷体_GB2312" w:hAnsi="楷体_GB2312"/>
    </w:rPr>
  </w:style>
  <w:style w:type="paragraph" w:customStyle="1" w:styleId="178">
    <w:name w:val="Body Text Indent1"/>
    <w:basedOn w:val="1"/>
    <w:qFormat/>
    <w:uiPriority w:val="0"/>
    <w:pPr>
      <w:ind w:firstLine="570"/>
    </w:pPr>
  </w:style>
  <w:style w:type="paragraph" w:customStyle="1" w:styleId="179">
    <w:name w:val="！正文ctrl-4"/>
    <w:basedOn w:val="1"/>
    <w:qFormat/>
    <w:uiPriority w:val="0"/>
    <w:pPr>
      <w:widowControl/>
      <w:spacing w:beforeLines="50" w:line="360" w:lineRule="auto"/>
      <w:ind w:firstLine="480" w:firstLineChars="200"/>
      <w:jc w:val="left"/>
    </w:pPr>
    <w:rPr>
      <w:rFonts w:ascii="Calibri" w:hAnsi="Calibri"/>
      <w:spacing w:val="0"/>
      <w:sz w:val="24"/>
      <w:szCs w:val="24"/>
    </w:rPr>
  </w:style>
  <w:style w:type="paragraph" w:customStyle="1" w:styleId="180">
    <w:name w:val="样式 样式 样式 样式 首行缩进:  2 字符1 + 首行缩进:  2 字符 + 首行缩进:  2 字符 + 首行缩进:  2 ..."/>
    <w:basedOn w:val="1"/>
    <w:qFormat/>
    <w:uiPriority w:val="0"/>
    <w:pPr>
      <w:widowControl w:val="0"/>
      <w:ind w:firstLine="500" w:firstLineChars="200"/>
      <w:jc w:val="both"/>
    </w:pPr>
    <w:rPr>
      <w:rFonts w:ascii="Times New Roman" w:hAnsi="Times New Roman"/>
      <w:kern w:val="2"/>
      <w:szCs w:val="20"/>
    </w:rPr>
  </w:style>
  <w:style w:type="paragraph" w:customStyle="1" w:styleId="181">
    <w:name w:val="表内文字-新"/>
    <w:basedOn w:val="182"/>
    <w:next w:val="1"/>
    <w:qFormat/>
    <w:uiPriority w:val="0"/>
    <w:pPr>
      <w:adjustRightInd w:val="0"/>
      <w:snapToGrid w:val="0"/>
      <w:jc w:val="center"/>
    </w:pPr>
    <w:rPr>
      <w:rFonts w:hAnsi="宋体"/>
      <w:spacing w:val="-10"/>
      <w:sz w:val="23"/>
      <w:szCs w:val="23"/>
    </w:rPr>
  </w:style>
  <w:style w:type="paragraph" w:customStyle="1" w:styleId="182">
    <w:name w:val="正文格式"/>
    <w:basedOn w:val="1"/>
    <w:qFormat/>
    <w:uiPriority w:val="0"/>
    <w:pPr>
      <w:spacing w:line="360" w:lineRule="auto"/>
      <w:ind w:firstLine="544" w:firstLineChars="200"/>
    </w:pPr>
    <w:rPr>
      <w:rFonts w:ascii="Times New Roman"/>
      <w:spacing w:val="0"/>
      <w:sz w:val="24"/>
      <w:szCs w:val="24"/>
    </w:rPr>
  </w:style>
  <w:style w:type="paragraph" w:customStyle="1" w:styleId="183">
    <w:name w:val="正文首行缩进11"/>
    <w:next w:val="1"/>
    <w:qFormat/>
    <w:uiPriority w:val="0"/>
    <w:pPr>
      <w:widowControl w:val="0"/>
      <w:spacing w:after="120"/>
      <w:ind w:firstLine="420"/>
      <w:jc w:val="both"/>
    </w:pPr>
    <w:rPr>
      <w:rFonts w:ascii="Times New Roman" w:hAnsi="Times New Roman" w:eastAsia="宋体" w:cs="Times New Roman"/>
      <w:sz w:val="21"/>
      <w:szCs w:val="22"/>
      <w:lang w:val="en-US" w:eastAsia="zh-CN" w:bidi="ar-SA"/>
    </w:rPr>
  </w:style>
  <w:style w:type="paragraph" w:customStyle="1" w:styleId="184">
    <w:name w:val="表头图名"/>
    <w:basedOn w:val="185"/>
    <w:qFormat/>
    <w:uiPriority w:val="0"/>
    <w:pPr>
      <w:snapToGrid w:val="0"/>
      <w:spacing w:line="360" w:lineRule="auto"/>
      <w:ind w:firstLine="0" w:firstLineChars="0"/>
      <w:jc w:val="center"/>
    </w:pPr>
    <w:rPr>
      <w:rFonts w:ascii="黑体" w:hAnsi="黑体" w:eastAsia="黑体"/>
      <w:sz w:val="21"/>
      <w:szCs w:val="21"/>
    </w:rPr>
  </w:style>
  <w:style w:type="paragraph" w:customStyle="1" w:styleId="185">
    <w:name w:val="说明书正文"/>
    <w:basedOn w:val="1"/>
    <w:qFormat/>
    <w:uiPriority w:val="0"/>
    <w:pPr>
      <w:adjustRightInd w:val="0"/>
      <w:spacing w:line="440" w:lineRule="exact"/>
      <w:ind w:firstLine="200" w:firstLineChars="200"/>
      <w:textAlignment w:val="baseline"/>
    </w:pPr>
    <w:rPr>
      <w:rFonts w:ascii="Times New Roman"/>
      <w:kern w:val="0"/>
      <w:sz w:val="24"/>
      <w:szCs w:val="24"/>
    </w:rPr>
  </w:style>
  <w:style w:type="paragraph" w:customStyle="1" w:styleId="186">
    <w:name w:val="A正文*"/>
    <w:basedOn w:val="1"/>
    <w:qFormat/>
    <w:uiPriority w:val="0"/>
    <w:pPr>
      <w:spacing w:line="360" w:lineRule="auto"/>
      <w:ind w:firstLine="200" w:firstLineChars="200"/>
    </w:pPr>
    <w:rPr>
      <w:rFonts w:ascii="宋体" w:hAnsi="宋体" w:eastAsia="宋体"/>
      <w:sz w:val="24"/>
      <w:szCs w:val="24"/>
    </w:rPr>
  </w:style>
  <w:style w:type="paragraph" w:customStyle="1" w:styleId="187">
    <w:name w:val="表格1"/>
    <w:basedOn w:val="1"/>
    <w:qFormat/>
    <w:uiPriority w:val="0"/>
    <w:pPr>
      <w:adjustRightInd w:val="0"/>
      <w:snapToGrid w:val="0"/>
      <w:spacing w:line="240" w:lineRule="auto"/>
      <w:ind w:firstLine="0" w:firstLineChars="0"/>
      <w:jc w:val="center"/>
    </w:pPr>
    <w:rPr>
      <w:sz w:val="21"/>
      <w:szCs w:val="21"/>
    </w:rPr>
  </w:style>
  <w:style w:type="paragraph" w:customStyle="1" w:styleId="188">
    <w:name w:val="no"/>
    <w:basedOn w:val="13"/>
    <w:qFormat/>
    <w:uiPriority w:val="0"/>
    <w:pPr>
      <w:spacing w:line="440" w:lineRule="exact"/>
      <w:ind w:firstLine="526" w:firstLineChars="200"/>
      <w:jc w:val="left"/>
    </w:pPr>
    <w:rPr>
      <w:rFonts w:hAnsi="宋体"/>
      <w:bCs/>
      <w:color w:val="000000"/>
      <w:kern w:val="0"/>
      <w:lang w:val="en-GB"/>
    </w:rPr>
  </w:style>
  <w:style w:type="paragraph" w:customStyle="1" w:styleId="189">
    <w:name w:val="Char"/>
    <w:basedOn w:val="4"/>
    <w:qFormat/>
    <w:uiPriority w:val="0"/>
    <w:pPr>
      <w:tabs>
        <w:tab w:val="left" w:pos="360"/>
        <w:tab w:val="left" w:pos="900"/>
      </w:tabs>
      <w:snapToGrid w:val="0"/>
      <w:spacing w:before="120" w:after="120" w:line="360" w:lineRule="auto"/>
      <w:ind w:left="542" w:leftChars="-12" w:firstLine="200" w:firstLineChars="200"/>
      <w:jc w:val="left"/>
    </w:pPr>
    <w:rPr>
      <w:rFonts w:ascii="Times New Roman" w:eastAsia="黑体"/>
      <w:b w:val="0"/>
      <w:bCs w:val="0"/>
      <w:snapToGrid w:val="0"/>
      <w:spacing w:val="0"/>
      <w:sz w:val="24"/>
      <w:szCs w:val="24"/>
    </w:rPr>
  </w:style>
  <w:style w:type="paragraph" w:customStyle="1" w:styleId="190">
    <w:name w:val="WPSOffice手动目录 1"/>
    <w:uiPriority w:val="0"/>
    <w:rPr>
      <w:rFonts w:ascii="Times New Roman" w:hAnsi="Times New Roman" w:eastAsia="宋体" w:cs="Times New Roman"/>
      <w:lang w:val="en-US" w:eastAsia="zh-CN" w:bidi="ar-SA"/>
    </w:rPr>
  </w:style>
  <w:style w:type="paragraph" w:customStyle="1" w:styleId="191">
    <w:name w:val="WPSOffice手动目录 3"/>
    <w:qFormat/>
    <w:uiPriority w:val="0"/>
    <w:pPr>
      <w:ind w:leftChars="400"/>
    </w:pPr>
    <w:rPr>
      <w:rFonts w:ascii="Times New Roman" w:hAnsi="Times New Roman" w:eastAsia="宋体" w:cs="Times New Roman"/>
      <w:lang w:val="en-US" w:eastAsia="zh-CN" w:bidi="ar-SA"/>
    </w:rPr>
  </w:style>
  <w:style w:type="paragraph" w:customStyle="1" w:styleId="192">
    <w:name w:val="WPSOffice手动目录 2"/>
    <w:qFormat/>
    <w:uiPriority w:val="0"/>
    <w:pPr>
      <w:ind w:leftChars="200"/>
    </w:pPr>
    <w:rPr>
      <w:rFonts w:ascii="Times New Roman" w:hAnsi="Times New Roman" w:eastAsia="宋体" w:cs="Times New Roman"/>
      <w:lang w:val="en-US" w:eastAsia="zh-CN" w:bidi="ar-SA"/>
    </w:rPr>
  </w:style>
  <w:style w:type="paragraph" w:customStyle="1" w:styleId="193">
    <w:name w:val="!zhenwen"/>
    <w:basedOn w:val="1"/>
    <w:qFormat/>
    <w:uiPriority w:val="99"/>
    <w:pPr>
      <w:adjustRightInd w:val="0"/>
      <w:snapToGrid w:val="0"/>
      <w:spacing w:line="300" w:lineRule="auto"/>
      <w:ind w:firstLine="200" w:firstLineChars="200"/>
    </w:pPr>
    <w:rPr>
      <w:sz w:val="24"/>
      <w:szCs w:val="21"/>
    </w:rPr>
  </w:style>
  <w:style w:type="paragraph" w:styleId="194">
    <w:name w:val="No Spacing"/>
    <w:qFormat/>
    <w:uiPriority w:val="1"/>
    <w:pPr>
      <w:jc w:val="center"/>
    </w:pPr>
    <w:rPr>
      <w:rFonts w:ascii="Times New Roman" w:hAnsi="Times New Roman" w:eastAsia="宋体" w:cs="Times New Roman"/>
      <w:kern w:val="2"/>
      <w:sz w:val="21"/>
      <w:szCs w:val="21"/>
      <w:lang w:val="en-US" w:eastAsia="zh-CN" w:bidi="ar-SA"/>
    </w:rPr>
  </w:style>
  <w:style w:type="paragraph" w:customStyle="1" w:styleId="195">
    <w:name w:val="List Paragraph"/>
    <w:basedOn w:val="1"/>
    <w:qFormat/>
    <w:uiPriority w:val="1"/>
    <w:pPr>
      <w:spacing w:before="160"/>
      <w:ind w:left="1336" w:hanging="622"/>
    </w:pPr>
    <w:rPr>
      <w:rFonts w:ascii="宋体" w:hAnsi="宋体" w:eastAsia="宋体" w:cs="宋体"/>
      <w:lang w:val="zh-CN" w:eastAsia="zh-CN" w:bidi="zh-CN"/>
    </w:rPr>
  </w:style>
  <w:style w:type="paragraph" w:customStyle="1" w:styleId="196">
    <w:name w:val="报告书 正文"/>
    <w:basedOn w:val="197"/>
    <w:qFormat/>
    <w:uiPriority w:val="0"/>
    <w:pPr>
      <w:spacing w:line="500" w:lineRule="exact"/>
      <w:ind w:firstLine="200" w:firstLineChars="200"/>
    </w:pPr>
    <w:rPr>
      <w:rFonts w:cs="Times New Roman"/>
      <w:spacing w:val="0"/>
      <w:sz w:val="25"/>
    </w:rPr>
  </w:style>
  <w:style w:type="paragraph" w:customStyle="1" w:styleId="197">
    <w:name w:val="正式文字"/>
    <w:basedOn w:val="23"/>
    <w:qFormat/>
    <w:uiPriority w:val="0"/>
    <w:pPr>
      <w:autoSpaceDE w:val="0"/>
      <w:autoSpaceDN w:val="0"/>
      <w:adjustRightInd w:val="0"/>
      <w:snapToGrid w:val="0"/>
      <w:spacing w:line="312" w:lineRule="auto"/>
      <w:ind w:firstLine="567"/>
      <w:textAlignment w:val="bottom"/>
    </w:pPr>
    <w:rPr>
      <w:rFonts w:hAnsi="宋体"/>
      <w:spacing w:val="6"/>
      <w:sz w:val="28"/>
      <w:szCs w:val="20"/>
    </w:rPr>
  </w:style>
  <w:style w:type="paragraph" w:customStyle="1" w:styleId="198">
    <w:name w:val="奇正文本"/>
    <w:qFormat/>
    <w:uiPriority w:val="0"/>
    <w:pPr>
      <w:adjustRightInd w:val="0"/>
      <w:spacing w:line="440" w:lineRule="exact"/>
      <w:ind w:firstLine="602" w:firstLineChars="200"/>
      <w:jc w:val="both"/>
      <w:textAlignment w:val="baseline"/>
    </w:pPr>
    <w:rPr>
      <w:rFonts w:ascii="Times New Roman" w:hAnsi="Times New Roman" w:eastAsia="宋体" w:cs="Times New Roman"/>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file:///\\Nhs-11\DOCUME~1\ADMINI~1\LOCALS~1\Temp\ksohtml4408\wps10.jpg" TargetMode="External"/><Relationship Id="rId4" Type="http://schemas.openxmlformats.org/officeDocument/2006/relationships/header" Target="head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wmf"/><Relationship Id="rId32" Type="http://schemas.openxmlformats.org/officeDocument/2006/relationships/image" Target="media/image19.jpeg"/><Relationship Id="rId31" Type="http://schemas.openxmlformats.org/officeDocument/2006/relationships/image" Target="media/image18.emf"/><Relationship Id="rId30" Type="http://schemas.openxmlformats.org/officeDocument/2006/relationships/oleObject" Target="embeddings/oleObject2.bin"/><Relationship Id="rId3" Type="http://schemas.openxmlformats.org/officeDocument/2006/relationships/header" Target="header1.xml"/><Relationship Id="rId29" Type="http://schemas.openxmlformats.org/officeDocument/2006/relationships/image" Target="media/image17.wmf"/><Relationship Id="rId28" Type="http://schemas.openxmlformats.org/officeDocument/2006/relationships/oleObject" Target="embeddings/oleObject1.bin"/><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Info spid="_x0000_s2052"/>
    <customShpInfo spid="_x0000_s2051"/>
    <customShpInfo spid="_x0000_s2054"/>
    <customShpInfo spid="_x0000_s2053"/>
    <customShpInfo spid="_x0000_s2056"/>
    <customShpInfo spid="_x0000_s2055"/>
    <customShpInfo spid="_x0000_s1025"/>
    <customShpInfo spid="_x0000_s1026"/>
    <customShpInfo spid="_x0000_s1027"/>
    <customShpInfo spid="_x0000_s1028"/>
    <customShpInfo spid="_x0000_s1030"/>
    <customShpInfo spid="_x0000_s1031"/>
    <customShpInfo spid="_x0000_s1029"/>
    <customShpInfo spid="_x0000_s1033"/>
    <customShpInfo spid="_x0000_s1034"/>
    <customShpInfo spid="_x0000_s1035"/>
    <customShpInfo spid="_x0000_s1036"/>
    <customShpInfo spid="_x0000_s1032"/>
    <customShpInfo spid="_x0000_s1037"/>
    <customShpInfo spid="_x0000_s1039"/>
    <customShpInfo spid="_x0000_s1040"/>
    <customShpInfo spid="_x0000_s1041"/>
    <customShpInfo spid="_x0000_s1042"/>
    <customShpInfo spid="_x0000_s1043"/>
    <customShpInfo spid="_x0000_s1044"/>
    <customShpInfo spid="_x0000_s1045"/>
    <customShpInfo spid="_x0000_s1038"/>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46"/>
    <customShpInfo spid="_x0000_s1056"/>
    <customShpInfo spid="_x0000_s1058"/>
    <customShpInfo spid="_x0000_s1059"/>
    <customShpInfo spid="_x0000_s1057"/>
    <customShpInfo spid="_x0000_s1060"/>
    <customShpInfo spid="_x0000_s1061"/>
    <customShpInfo spid="_x0000_s1063"/>
    <customShpInfo spid="_x0000_s1065"/>
    <customShpInfo spid="_x0000_s1066"/>
    <customShpInfo spid="_x0000_s1067"/>
    <customShpInfo spid="_x0000_s1064"/>
    <customShpInfo spid="_x0000_s1068"/>
    <customShpInfo spid="_x0000_s1070"/>
    <customShpInfo spid="_x0000_s1071"/>
    <customShpInfo spid="_x0000_s1069"/>
    <customShpInfo spid="_x0000_s1072"/>
    <customShpInfo spid="_x0000_s1079"/>
    <customShpInfo spid="_x0000_s1080"/>
    <customShpInfo spid="_x0000_s1081"/>
    <customShpInfo spid="_x0000_s1082"/>
    <customShpInfo spid="_x0000_s1083"/>
    <customShpInfo spid="_x0000_s1078"/>
    <customShpInfo spid="_x0000_s1084"/>
    <customShpInfo spid="_x0000_s108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194</Pages>
  <Words>10407</Words>
  <Characters>12265</Characters>
  <Lines>1141</Lines>
  <Paragraphs>321</Paragraphs>
  <TotalTime>17</TotalTime>
  <ScaleCrop>false</ScaleCrop>
  <LinksUpToDate>false</LinksUpToDate>
  <CharactersWithSpaces>12538</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2025-03-03T01:51:00Z</dcterms:created>
  <dc:creator>张</dc:creator>
  <cp:lastModifiedBy>xx</cp:lastModifiedBy>
  <cp:lastPrinted>2021-03-05T00:40:00Z</cp:lastPrinted>
  <dcterms:modified xsi:type="dcterms:W3CDTF">2026-06-30T10:35:39Z</dcterms:modified>
  <dc:title>1 概述</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FF64520EA16942E7A845654462122224_13</vt:lpwstr>
  </property>
  <property fmtid="{D5CDD505-2E9C-101B-9397-08002B2CF9AE}" pid="3" name="KSOProductBuildVer">
    <vt:lpwstr>2052-12.1.0.26895</vt:lpwstr>
  </property>
  <property fmtid="{D5CDD505-2E9C-101B-9397-08002B2CF9AE}" pid="4" name="KSOTemplateDocerSaveRecord">
    <vt:lpwstr>eyJoZGlkIjoiYTFlYjE4ZGIyODQ1Y2I1OWNkY2JhOTM0NzE2ZWMwMjEiLCJ1c2VySWQiOiIzODc5NDU3MTkifQ==</vt:lpwstr>
  </property>
</Properties>
</file>